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69215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92710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2020</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ind w:left="5660"/>
              <w:spacing w:after="0"/>
              <w:rPr>
                <w:sz w:val="20"/>
                <w:szCs w:val="20"/>
                <w:color w:val="auto"/>
              </w:rPr>
            </w:pPr>
            <w:r>
              <w:rPr>
                <w:rFonts w:ascii="Times New Roman" w:cs="Times New Roman" w:eastAsia="Times New Roman" w:hAnsi="Times New Roman"/>
                <w:sz w:val="16"/>
                <w:szCs w:val="16"/>
                <w:b w:val="1"/>
                <w:bCs w:val="1"/>
                <w:color w:val="auto"/>
              </w:rPr>
              <w:t>or</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8"/>
        </w:trPr>
        <w:tc>
          <w:tcPr>
            <w:tcW w:w="7680" w:type="dxa"/>
            <w:vAlign w:val="bottom"/>
          </w:tcPr>
          <w:p>
            <w:pPr>
              <w:spacing w:after="0" w:line="147"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Transition Report Pursuant to Section 13 or 15(d) of the Securities Exchange Act of 1934 for the transition period from</w:t>
            </w:r>
          </w:p>
        </w:tc>
        <w:tc>
          <w:tcPr>
            <w:tcW w:w="400" w:type="dxa"/>
            <w:vAlign w:val="bottom"/>
            <w:tcBorders>
              <w:bottom w:val="single" w:sz="8" w:color="auto"/>
            </w:tcBorders>
          </w:tcPr>
          <w:p>
            <w:pPr>
              <w:spacing w:after="0"/>
              <w:rPr>
                <w:sz w:val="14"/>
                <w:szCs w:val="14"/>
                <w:color w:val="auto"/>
              </w:rPr>
            </w:pPr>
          </w:p>
        </w:tc>
        <w:tc>
          <w:tcPr>
            <w:tcW w:w="1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w w:val="85"/>
              </w:rPr>
              <w:t>to</w:t>
            </w:r>
          </w:p>
        </w:tc>
      </w:tr>
      <w:tr>
        <w:trPr>
          <w:trHeight w:val="267"/>
        </w:trPr>
        <w:tc>
          <w:tcPr>
            <w:tcW w:w="7680" w:type="dxa"/>
            <w:vAlign w:val="bottom"/>
          </w:tcPr>
          <w:p>
            <w:pPr>
              <w:ind w:left="4640"/>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1-6887</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49530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BANK OF HAWAII CORP</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62865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7" w:lineRule="exact"/>
        <w:rPr>
          <w:sz w:val="24"/>
          <w:szCs w:val="24"/>
          <w:color w:val="auto"/>
        </w:rPr>
      </w:pPr>
    </w:p>
    <w:p>
      <w:pPr>
        <w:ind w:left="2460"/>
        <w:spacing w:after="0"/>
        <w:tabs>
          <w:tab w:leader="none" w:pos="806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99-0148992</w:t>
      </w:r>
    </w:p>
    <w:p>
      <w:pPr>
        <w:spacing w:after="0" w:line="39" w:lineRule="exact"/>
        <w:rPr>
          <w:sz w:val="24"/>
          <w:szCs w:val="24"/>
          <w:color w:val="auto"/>
        </w:rPr>
      </w:pPr>
    </w:p>
    <w:p>
      <w:pPr>
        <w:ind w:left="2120"/>
        <w:spacing w:after="0"/>
        <w:tabs>
          <w:tab w:leader="none" w:pos="7400" w:val="left"/>
        </w:tabs>
        <w:rPr>
          <w:sz w:val="20"/>
          <w:szCs w:val="20"/>
          <w:color w:val="auto"/>
        </w:rPr>
      </w:pPr>
      <w:r>
        <w:rPr>
          <w:rFonts w:ascii="Times New Roman" w:cs="Times New Roman" w:eastAsia="Times New Roman" w:hAnsi="Times New Roman"/>
          <w:sz w:val="14"/>
          <w:szCs w:val="14"/>
          <w:color w:val="auto"/>
        </w:rPr>
        <w:t>(State of incorporation)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75" w:lineRule="exact"/>
        <w:rPr>
          <w:sz w:val="24"/>
          <w:szCs w:val="24"/>
          <w:color w:val="auto"/>
        </w:rPr>
      </w:pPr>
    </w:p>
    <w:p>
      <w:pPr>
        <w:ind w:left="660"/>
        <w:spacing w:after="0"/>
        <w:tabs>
          <w:tab w:leader="none" w:pos="3840" w:val="left"/>
          <w:tab w:leader="none" w:pos="6760" w:val="left"/>
          <w:tab w:leader="none" w:pos="9640" w:val="left"/>
        </w:tabs>
        <w:rPr>
          <w:sz w:val="20"/>
          <w:szCs w:val="20"/>
          <w:color w:val="auto"/>
        </w:rPr>
      </w:pPr>
      <w:r>
        <w:rPr>
          <w:rFonts w:ascii="Times New Roman" w:cs="Times New Roman" w:eastAsia="Times New Roman" w:hAnsi="Times New Roman"/>
          <w:sz w:val="16"/>
          <w:szCs w:val="16"/>
          <w:b w:val="1"/>
          <w:bCs w:val="1"/>
          <w:color w:val="auto"/>
        </w:rPr>
        <w:t>130 Merchant Street</w:t>
      </w:r>
      <w:r>
        <w:rPr>
          <w:sz w:val="20"/>
          <w:szCs w:val="20"/>
          <w:color w:val="auto"/>
        </w:rPr>
        <w:tab/>
      </w:r>
      <w:r>
        <w:rPr>
          <w:rFonts w:ascii="Times New Roman" w:cs="Times New Roman" w:eastAsia="Times New Roman" w:hAnsi="Times New Roman"/>
          <w:sz w:val="16"/>
          <w:szCs w:val="16"/>
          <w:b w:val="1"/>
          <w:bCs w:val="1"/>
          <w:color w:val="auto"/>
        </w:rPr>
        <w:t>Honolulu</w:t>
      </w:r>
      <w:r>
        <w:rPr>
          <w:sz w:val="20"/>
          <w:szCs w:val="20"/>
          <w:color w:val="auto"/>
        </w:rPr>
        <w:tab/>
      </w:r>
      <w:r>
        <w:rPr>
          <w:rFonts w:ascii="Times New Roman" w:cs="Times New Roman" w:eastAsia="Times New Roman" w:hAnsi="Times New Roman"/>
          <w:sz w:val="16"/>
          <w:szCs w:val="16"/>
          <w:b w:val="1"/>
          <w:bCs w:val="1"/>
          <w:color w:val="auto"/>
        </w:rPr>
        <w:t>Hawaii</w:t>
      </w:r>
      <w:r>
        <w:rPr>
          <w:sz w:val="20"/>
          <w:szCs w:val="20"/>
          <w:color w:val="auto"/>
        </w:rPr>
        <w:tab/>
      </w:r>
      <w:r>
        <w:rPr>
          <w:rFonts w:ascii="Times New Roman" w:cs="Times New Roman" w:eastAsia="Times New Roman" w:hAnsi="Times New Roman"/>
          <w:sz w:val="16"/>
          <w:szCs w:val="16"/>
          <w:b w:val="1"/>
          <w:bCs w:val="1"/>
          <w:color w:val="auto"/>
        </w:rPr>
        <w:t>96813</w:t>
      </w:r>
    </w:p>
    <w:p>
      <w:pPr>
        <w:spacing w:after="0" w:line="39" w:lineRule="exact"/>
        <w:rPr>
          <w:sz w:val="24"/>
          <w:szCs w:val="24"/>
          <w:color w:val="auto"/>
        </w:rPr>
      </w:pPr>
    </w:p>
    <w:p>
      <w:pPr>
        <w:ind w:left="220"/>
        <w:spacing w:after="0"/>
        <w:tabs>
          <w:tab w:leader="none" w:pos="4000" w:val="left"/>
          <w:tab w:leader="none" w:pos="6820" w:val="left"/>
          <w:tab w:leader="none" w:pos="954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(City)</w:t>
      </w:r>
      <w:r>
        <w:rPr>
          <w:sz w:val="20"/>
          <w:szCs w:val="20"/>
          <w:color w:val="auto"/>
        </w:rPr>
        <w:tab/>
      </w:r>
      <w:r>
        <w:rPr>
          <w:rFonts w:ascii="Times New Roman" w:cs="Times New Roman" w:eastAsia="Times New Roman" w:hAnsi="Times New Roman"/>
          <w:sz w:val="14"/>
          <w:szCs w:val="14"/>
          <w:color w:val="auto"/>
        </w:rPr>
        <w:t>(State)</w:t>
      </w:r>
      <w:r>
        <w:rPr>
          <w:sz w:val="20"/>
          <w:szCs w:val="20"/>
          <w:color w:val="auto"/>
        </w:rPr>
        <w:tab/>
      </w:r>
      <w:r>
        <w:rPr>
          <w:rFonts w:ascii="Times New Roman" w:cs="Times New Roman" w:eastAsia="Times New Roman" w:hAnsi="Times New Roman"/>
          <w:sz w:val="14"/>
          <w:szCs w:val="14"/>
          <w:color w:val="auto"/>
        </w:rPr>
        <w:t>(Zip Code)</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1-888-643-3888</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56515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6"/>
        </w:trPr>
        <w:tc>
          <w:tcPr>
            <w:tcW w:w="17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2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$.01 Par Value</w:t>
            </w:r>
          </w:p>
        </w:tc>
        <w:tc>
          <w:tcPr>
            <w:tcW w:w="120" w:type="dxa"/>
            <w:vAlign w:val="bottom"/>
          </w:tcPr>
          <w:p>
            <w:pPr>
              <w:spacing w:after="0"/>
              <w:rPr>
                <w:sz w:val="17"/>
                <w:szCs w:val="17"/>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BOH</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34" w:lineRule="exact"/>
        <w:rPr>
          <w:sz w:val="24"/>
          <w:szCs w:val="24"/>
          <w:color w:val="auto"/>
        </w:rPr>
      </w:pPr>
    </w:p>
    <w:p>
      <w:pPr>
        <w:ind w:right="3440"/>
        <w:spacing w:after="0" w:line="22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1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229" w:right="339" w:bottom="1440" w:gutter="0" w:footer="0" w:header="0"/>
        </w:sectPr>
      </w:pPr>
    </w:p>
    <w:p>
      <w:pPr>
        <w:spacing w:after="0" w:line="1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200" w:type="dxa"/>
            <w:vAlign w:val="bottom"/>
          </w:tcPr>
          <w:p>
            <w:pPr>
              <w:ind w:left="1960"/>
              <w:spacing w:after="0" w:line="151" w:lineRule="exact"/>
              <w:rPr>
                <w:sz w:val="20"/>
                <w:szCs w:val="20"/>
                <w:color w:val="auto"/>
              </w:rPr>
            </w:pPr>
            <w:r>
              <w:rPr>
                <w:rFonts w:ascii="MS PGothic" w:cs="MS PGothic" w:eastAsia="MS PGothic" w:hAnsi="MS PGothic"/>
                <w:sz w:val="15"/>
                <w:szCs w:val="15"/>
                <w:color w:val="auto"/>
              </w:rPr>
              <w:t>☒</w:t>
            </w:r>
          </w:p>
        </w:tc>
        <w:tc>
          <w:tcPr>
            <w:tcW w:w="1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Accelerated filer</w:t>
            </w:r>
          </w:p>
        </w:tc>
      </w:tr>
      <w:tr>
        <w:trPr>
          <w:trHeight w:val="240"/>
        </w:trPr>
        <w:tc>
          <w:tcPr>
            <w:tcW w:w="33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200" w:type="dxa"/>
            <w:vAlign w:val="bottom"/>
          </w:tcPr>
          <w:p>
            <w:pPr>
              <w:ind w:left="1960"/>
              <w:spacing w:after="0" w:line="151" w:lineRule="exact"/>
              <w:rPr>
                <w:sz w:val="20"/>
                <w:szCs w:val="20"/>
                <w:color w:val="auto"/>
              </w:rPr>
            </w:pPr>
            <w:r>
              <w:rPr>
                <w:rFonts w:ascii="MS PGothic" w:cs="MS PGothic" w:eastAsia="MS PGothic" w:hAnsi="MS PGothic"/>
                <w:sz w:val="15"/>
                <w:szCs w:val="15"/>
                <w:color w:val="auto"/>
              </w:rPr>
              <w:t>☐</w:t>
            </w:r>
          </w:p>
        </w:tc>
        <w:tc>
          <w:tcPr>
            <w:tcW w:w="1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Smaller reporting company</w:t>
            </w:r>
          </w:p>
        </w:tc>
      </w:tr>
      <w:tr>
        <w:trPr>
          <w:trHeight w:val="200"/>
        </w:trPr>
        <w:tc>
          <w:tcPr>
            <w:tcW w:w="3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Emerging growth company</w:t>
            </w:r>
          </w:p>
        </w:tc>
      </w:tr>
    </w:tbl>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6" w:lineRule="exact"/>
        <w:rPr>
          <w:sz w:val="24"/>
          <w:szCs w:val="24"/>
          <w:color w:val="auto"/>
        </w:rPr>
      </w:pPr>
    </w:p>
    <w:p>
      <w:pPr>
        <w:sectPr>
          <w:pgSz w:w="11900" w:h="16838" w:orient="portrait"/>
          <w:cols w:equalWidth="0" w:num="2">
            <w:col w:w="10900" w:space="100"/>
            <w:col w:w="240"/>
          </w:cols>
          <w:pgMar w:left="320" w:top="229" w:right="339" w:bottom="1440" w:gutter="0" w:footer="0" w:header="0"/>
          <w:type w:val="continuous"/>
        </w:sectPr>
      </w:pPr>
    </w:p>
    <w:p>
      <w:pPr>
        <w:ind w:right="560"/>
        <w:spacing w:after="0" w:line="26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1" w:lineRule="exact"/>
        <w:rPr>
          <w:sz w:val="24"/>
          <w:szCs w:val="24"/>
          <w:color w:val="auto"/>
        </w:rPr>
      </w:pPr>
    </w:p>
    <w:p>
      <w:pPr>
        <w:ind w:left="5180" w:right="5180" w:hanging="5180"/>
        <w:spacing w:after="0" w:line="20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12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outstanding voting common stock held by non-affiliates on June 30, 2020 (the last business day of the registrant’s most recently completed second fiscal quarter), determined using the per share closing price on that date on the New York Stock Exchange of $61.41, was approximately $2,393,046,926. There was no non-voting common equity of the registrant outstanding on that date.</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16, 2021, there were 40,134,784 shares of common stock outstanding.</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2021 Annual Meeting of Shareholders, are incorporated herein by reference in Part III of this Annual Report on Form 10-K to the extent stated herein. Such proxy statement will be filed with the Securities and Exchange Commission within 120 days of the registrant’s fiscal year end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40" w:type="dxa"/>
            <w:vAlign w:val="bottom"/>
          </w:tcPr>
          <w:p>
            <w:pPr>
              <w:jc w:val="center"/>
              <w:ind w:right="1189"/>
              <w:spacing w:after="0"/>
              <w:rPr>
                <w:sz w:val="20"/>
                <w:szCs w:val="20"/>
                <w:color w:val="auto"/>
              </w:rPr>
            </w:pPr>
            <w:r>
              <w:rPr>
                <w:rFonts w:ascii="Times New Roman" w:cs="Times New Roman" w:eastAsia="Times New Roman" w:hAnsi="Times New Roman"/>
                <w:sz w:val="22"/>
                <w:szCs w:val="22"/>
                <w:b w:val="1"/>
                <w:bCs w:val="1"/>
                <w:color w:val="auto"/>
                <w:w w:val="97"/>
              </w:rPr>
              <w:t>Bank of Hawaii Corporation</w:t>
            </w:r>
          </w:p>
        </w:tc>
        <w:tc>
          <w:tcPr>
            <w:tcW w:w="660" w:type="dxa"/>
            <w:vAlign w:val="bottom"/>
          </w:tcPr>
          <w:p>
            <w:pPr>
              <w:spacing w:after="0"/>
              <w:rPr>
                <w:sz w:val="22"/>
                <w:szCs w:val="22"/>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40" w:type="dxa"/>
            <w:vAlign w:val="bottom"/>
          </w:tcPr>
          <w:p>
            <w:pPr>
              <w:jc w:val="center"/>
              <w:ind w:right="1169"/>
              <w:spacing w:after="0"/>
              <w:rPr>
                <w:sz w:val="20"/>
                <w:szCs w:val="20"/>
                <w:color w:val="auto"/>
              </w:rPr>
            </w:pPr>
            <w:r>
              <w:rPr>
                <w:rFonts w:ascii="Times New Roman" w:cs="Times New Roman" w:eastAsia="Times New Roman" w:hAnsi="Times New Roman"/>
                <w:sz w:val="18"/>
                <w:szCs w:val="18"/>
                <w:b w:val="1"/>
                <w:bCs w:val="1"/>
                <w:color w:val="auto"/>
                <w:w w:val="99"/>
              </w:rPr>
              <w:t>2020 Form 10-K Annual Report</w:t>
            </w:r>
          </w:p>
        </w:tc>
        <w:tc>
          <w:tcPr>
            <w:tcW w:w="660" w:type="dxa"/>
            <w:vAlign w:val="bottom"/>
          </w:tcPr>
          <w:p>
            <w:pPr>
              <w:spacing w:after="0"/>
              <w:rPr>
                <w:sz w:val="18"/>
                <w:szCs w:val="18"/>
                <w:color w:val="auto"/>
              </w:rPr>
            </w:pPr>
          </w:p>
        </w:tc>
      </w:tr>
      <w:tr>
        <w:trPr>
          <w:trHeight w:val="238"/>
        </w:trPr>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40" w:type="dxa"/>
            <w:vAlign w:val="bottom"/>
          </w:tcPr>
          <w:p>
            <w:pPr>
              <w:jc w:val="center"/>
              <w:ind w:right="1189"/>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0"/>
                <w:szCs w:val="20"/>
                <w:color w:val="auto"/>
              </w:rPr>
            </w:pPr>
          </w:p>
        </w:tc>
      </w:tr>
      <w:tr>
        <w:trPr>
          <w:trHeight w:val="216"/>
        </w:trPr>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87"/>
        </w:trPr>
        <w:tc>
          <w:tcPr>
            <w:tcW w:w="1040" w:type="dxa"/>
            <w:vAlign w:val="bottom"/>
          </w:tcPr>
          <w:p>
            <w:pPr>
              <w:spacing w:after="0"/>
              <w:rPr>
                <w:sz w:val="16"/>
                <w:szCs w:val="16"/>
                <w:color w:val="auto"/>
              </w:rPr>
            </w:pPr>
          </w:p>
        </w:tc>
        <w:tc>
          <w:tcPr>
            <w:tcW w:w="9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Item</w:t>
            </w:r>
          </w:p>
        </w:tc>
        <w:tc>
          <w:tcPr>
            <w:tcW w:w="86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8"/>
        </w:trPr>
        <w:tc>
          <w:tcPr>
            <w:tcW w:w="1040" w:type="dxa"/>
            <w:vAlign w:val="bottom"/>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4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6"/>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Business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1B.</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Unresolved Staff Comments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Properties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6"/>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Mine Safety Disclosures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426"/>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Selected Financial Data</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6"/>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7.</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7A.</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8.</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Financial Statements and Supplementary Data</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6"/>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9A.</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9B.</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426"/>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10.</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Directors, Executive Officers and Corporate Governance</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11.</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Executive Compensation</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6"/>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12.</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7"/>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13.</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6"/>
        </w:trPr>
        <w:tc>
          <w:tcPr>
            <w:tcW w:w="1040" w:type="dxa"/>
            <w:vAlign w:val="bottom"/>
          </w:tcPr>
          <w:p>
            <w:pPr>
              <w:spacing w:after="0"/>
              <w:rPr>
                <w:sz w:val="22"/>
                <w:szCs w:val="22"/>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14.</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Principal Accounting Fees and Services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407"/>
        </w:trPr>
        <w:tc>
          <w:tcPr>
            <w:tcW w:w="1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15.</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Exhibits, Financial Statement Schedules</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4"/>
        </w:trPr>
        <w:tc>
          <w:tcPr>
            <w:tcW w:w="10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16.</w:t>
            </w:r>
          </w:p>
        </w:tc>
        <w:tc>
          <w:tcPr>
            <w:tcW w:w="8640" w:type="dxa"/>
            <w:vAlign w:val="bottom"/>
          </w:tcPr>
          <w:p>
            <w:pPr>
              <w:ind w:left="160"/>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Form 10-K Summary</w:t>
              </w:r>
            </w:hyperlink>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7"/>
        </w:trPr>
        <w:tc>
          <w:tcPr>
            <w:tcW w:w="1040" w:type="dxa"/>
            <w:vAlign w:val="bottom"/>
          </w:tcPr>
          <w:p>
            <w:pPr>
              <w:ind w:left="60"/>
              <w:spacing w:after="0"/>
              <w:rPr>
                <w:rFonts w:ascii="Times New Roman" w:cs="Times New Roman" w:eastAsia="Times New Roman" w:hAnsi="Times New Roman"/>
                <w:sz w:val="18"/>
                <w:szCs w:val="18"/>
                <w:b w:val="1"/>
                <w:bCs w:val="1"/>
                <w:u w:val="single" w:color="auto"/>
                <w:color w:val="0000EE"/>
              </w:rPr>
            </w:pPr>
            <w:hyperlink w:anchor="page142">
              <w:r>
                <w:rPr>
                  <w:rFonts w:ascii="Times New Roman" w:cs="Times New Roman" w:eastAsia="Times New Roman" w:hAnsi="Times New Roman"/>
                  <w:sz w:val="18"/>
                  <w:szCs w:val="18"/>
                  <w:b w:val="1"/>
                  <w:bCs w:val="1"/>
                  <w:u w:val="single" w:color="auto"/>
                  <w:color w:val="0000EE"/>
                </w:rPr>
                <w:t>Signatures</w:t>
              </w:r>
            </w:hyperlink>
          </w:p>
        </w:tc>
        <w:tc>
          <w:tcPr>
            <w:tcW w:w="900" w:type="dxa"/>
            <w:vAlign w:val="bottom"/>
          </w:tcPr>
          <w:p>
            <w:pPr>
              <w:spacing w:after="0"/>
              <w:rPr>
                <w:sz w:val="22"/>
                <w:szCs w:val="22"/>
                <w:color w:val="auto"/>
              </w:rPr>
            </w:pPr>
          </w:p>
        </w:tc>
        <w:tc>
          <w:tcPr>
            <w:tcW w:w="8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Bank of Hawaii Corporation (the “Parent”) is a Delaware corporation and a bank holding company (“BHC”) headquartered in Honolulu, Hawaii. The Parent’s principal operating subsidiary, Bank of Hawaii (the “Bank”), was organized on December 17, 1897, and is chartered by the State of Hawaii. The Bank’s deposits are insured by the Federal Deposit Insurance Corporation (the “FDIC”) and the Bank is a member of the Federal Reserve System.</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Bank, directly and through its subsidiaries, provides a broad range of financial products and services primarily to customers in Hawaii, Guam, and other Pacific Islands. References to “we,” “our,” “us,” or “the Company” refer to the Parent and its subsidiaries and are consolidated for financial reporting purposes. The Bank’s subsidiaries are identified in Exhibit 21.1 to this Form 10-K and include, among others, Bank of Hawaii Leasing, Inc., Bankoh Investment Services, Inc., and Pacific Century Life Insurance Corporation. The Bank’s subsidiaries are engaged in equipment leasing, securities brokerage, investment advisory services, and providing credit insurance.</w:t>
      </w:r>
    </w:p>
    <w:p>
      <w:pPr>
        <w:spacing w:after="0" w:line="15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We are organized into three business segments for management reporting purposes: Consumer Banking, Commercial Banking, and Treasury and Other. See Management’s Discussion and Analysis of Financial Condition and Results of Operations (“MD&amp;A”) and Note 13 to the Consolidated Financial Statements for more information.</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all amendments to those reports can be found free of charge on our website at www.boh.com as soon as reasonably practicable after such material is electronically filed with or furnished to the U.S. Securities and Exchange Commission (the “SEC”). The SEC maintains a website, www.sec.gov, which contains reports, proxy and information statements, and other information regarding issuers that file electronically with the SEC. Our Corporate Governance Guidelines; charters of the Audit and Risk Committee, the Human Resources and Compensation Committee, and the Nominating and Corporate Governance Committee; and our Code of Business Conduct and Ethics are available on our website at www.boh.com. Printed copies of this information may be obtained, without charge, by written request to the Corporate Secretary at 130 Merchant Street, Honolulu, Hawaii, 96813.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operates in a highly competitive environment subject to intense competition from traditional financial service providers including banks, savings associations, credit unions, mortgage companies, finance companies, mutual funds, brokerage firms, insurance companies, and other non-traditional providers of financial services including financial service subsidiaries of commercial and manufacturing companies. Some of our competitors are not subject to the same level of regulation and oversight that is required of banks and BHCs, and receive favorable tax treatment. As a result, some of our competitors may have lower cost structures. Also, some of our competitors, through delivery channels such as the Internet, may be based outside of the markets that we serve. By emphasizing our extensive branch network, exceptional service levels, and knowledge of local trends and conditions, the Company believes it has developed a competitive advantage in its market.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regulation by federal and state governmental authorities. The regulations are primarily intended to protect depositors, customers, and the integrity of the U.S. banking system and capital markets. The following information describes some of the more significant laws and regulations applicable to us. The descriptions below are qualified in their entirety by reference to the applicable laws and regulations. Proposals to change the laws and regulations governing the banking industry are frequently raised in Congress, in state legislatures, and with the various bank regulatory agencies. Changes in applicable laws or regulations, or a change in the way such laws or regulations are interpreted by regulatory agencies or courts, may have a material impact on our business, operations, and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Parent</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Parent is registered as a BHC under the Bank Holding Company Act of 1956, as amended (the “BHC Act”), and is subject to the supervision of and to examination by the Board of Governors of the Federal Reserve (the “FRB”). The Parent is also registered as a financial institution holding company under the Hawaii Code of Financial Institutions (the “Code”) and is subject to the registration, reporting, and examination requirements of the Code.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BHC Act prohibits, with certain exceptions, a BHC from acquiring direct or indirect beneficial ownership or control of either a company that is not a bank, or more than 5% of the voting shares of any bank, without the FRB’s prior approval. A BHC is generally prohibited from engaging in any activity other than banking, managing or controlling banks or other subsidiaries authorized under the BHC Act, or an activity that the FRB has determined to be so closely related to those activities as to be a proper incident to one of them.</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FRB policy, a BHC is expected to serve as a source of financial and management strength to its subsidiary bank. A BHC is also expected to commit resources to support its subsidiary bank in circumstances where it might not do so absent such a policy. Under this policy, a BHC is expected to maintain reliable funding and contingency plans to stand ready to provide adequate capital funds to its subsidiary bank during periods of financial adversity and to maintain the financial flexibility and capital-raising capacity to obtain additional resources for assisting its subsidiary bank.</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Riegle-Neal Interstate Banking and Branching Efficiency Act of 1994 (the “Riegle-Neal Act”) banks and BHCs from any state are permitted to acquire banks located in any other state, subject to certain conditions, including certain nationwide and state-imposed deposit concentration limits. Banks also have the ability, subject to certain restrictions, to acquire branches outside their home states by acquisition or merger. The establishment of new interstate branches is also possible in those states with laws that expressly permit de novo branching. Because the Code permits de novo branching by out-of-state banks, those banks may establish new branches in Hawaii.</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of Hawaii</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Bank is subject to extensive federal, state, territorial and foreign regulations that significantly affect its business and activities. The Bank is subject to supervision and examination by the FRB of San Francisco, the Consumer Financial Protection Bureau (the “CFPB”), and the State of Hawaii Department of Commerce and Consumer Affairs’ (“DCCA”) Division of Financial Institutions. These regulatory bodies have broad authority to implement standards and to initiate proceedings designed to prohibit depository institutions from engaging in activities that may represent “unsafe” or “unsound” banking practices or constitute violations of applicable laws, rules, regulations, administrative orders, or written agreements with regulators. The standards relate generally to operations and management, asset quality, interest rate exposure, capital, executive compensation, and consumer protection. The regulatory bodies are authorized to take action against institutions that fail to meet such standards, including the assessment of civil monetary penalties and restitution, the issuance of cease-and-desist orders, and other actions, up to and including revocation of a bank’s charter for the most severe infractions, or putting such a bank into receivership if it is not financially viable.</w:t>
      </w:r>
    </w:p>
    <w:p>
      <w:pPr>
        <w:spacing w:after="0" w:line="14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Bankoh Investment Services, Inc., the broker-dealer and investment adviser subsidiary of the Bank, is incorporated in Hawaii and is regulated by the SEC, the Financial Industry Regulatory Authority, and the DCCA’s Insurance Division. Pacific Century Life Insurance Corporation is incorporated in Arizona and is primarily regulated by the State of Arizona Department of Insurance.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Dodd Frank Act</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and its regulations implemented sweeping changes to the financial regulatory landscape aimed at strengthening the sound operation of the financial services sector by mandating higher capital and liquidity requirements, establishing new standards for mortgage lenders, increasing regulation of executive and incentive-based compensation and numerous other provisions. Provisions also limit or place significant burdens and costs on activities traditionally conducted by banking organizations, such as arranging and participating in swap and derivative transactions, proprietary trading and investing in private equity and other funds.</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Several provisions of the Dodd-Frank Act were significantly changed by enactment of the Economic Growth, Regulatory Relief, and Consumer Protection Act in May 2018, notably by eliminating the requirement for institutions like the Company to perform and publicly disclose periodic stress tests. The Company continues to monitor and implement rules, regulations, and interpretations of the Dodd-Frank Act as they are adopted and modified, and to evaluate their application to our current and future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July 2013, the FRB, the Office of the Comptroller of the Currency (the “OCC”) and the FDIC adopted new capital rules (the “Rules”). These Rules were designed to help ensure that banks maintain strong capital positions by increasing both the quantity and quality of capital held by U.S. banking organizations. The Rules reflect, in part, certain standards initially adopted by the Basel Committee on Banking Supervision in December 2010 (which are commonly called “Basel III” standards) as well as requirements by the Dodd-Frank Act.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Federal Deposit Insurance Corporation Improvement Act of 1991 (“FDICIA”) identifies five capital categories for insured depository institutions: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capitalized,” “adequately capitalized,” “undercapitalized,” “significantly undercapitalized,” and “critically undercapitalized.”</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federal banking agencies are authorized by FDICIA to impose progressively more restrictive constraints on operations, management and capital distributions, depending on the capital category in which an institution is classified. These “prompt corrective actions” can include: requiring an insured depository institution to adopt a capital restoration plan guaranteed by the institution’s parent company; placing limits on asset growth and restrictions on activities, including restrictions on transactions with affiliates; restricting the interest rates the institution may pay on deposits; prohibiting the payment of principal or interest on subordinated debt; prohibiting the holding company from making capital distribution without prior regulatory approval; and ultimately appointing a receiver for the institution.</w:t>
      </w:r>
    </w:p>
    <w:p>
      <w:pPr>
        <w:spacing w:after="0" w:line="14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 “well capitalized” institution must have a Common Equity Tier 1 Capital Ratio of at least 6.5%, a Tier 1 Capital Ratio of at least 8%, a Total Capital Ratio of at least 10%, a Tier 1 Leverage Ratio of at least 5%, and not be subject to a capital directive order. As of December 31, 2020, the Bank was classified as “well capitalized.” The classification of a depository institution under one of the categories set out above is primarily for the purpose of applying the prompt corrective actions, and is not intended to be, nor should it be interpreted as, a representation of the overall financial condition or the prospects of that financial institution. See Note 11 to the Consolidated Financial Statements for more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Restrictions</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Parent is a legal entity separate and distinct from the Bank. The Parent’s principal source of funds to pay dividends on its common stock and to service its liabilities is dividends from the Bank. Various federal and state laws and regulations limit the amount of dividends the Bank may pay to the Parent without regulatory approval. The FRB is authorized to determine the circumstances when the payment of dividends would be an unsafe or unsound practice and to prohibit such payments. The right of the Parent, its shareholders, and creditors to participate in any distribution of the assets or earnings of its subsidiaries is also subject to the prior claims of creditors of those subsidiaries. For information regarding the limitations on the Bank’s ability to pay dividends to the Parent, see Note 11 to the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Affiliates and Insiders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Transactions between the Bank and any affiliate are governed by Sections 23A and 23B of the Federal Reserve Act. An affiliate of the Bank is any company or entity which controls, is controlled by or is under common control with the Bank which is not a subsidiary of the Bank. Under federal law, the Bank is subject to restrictions that limit the transfer of funds or other items of value to the Parent, and any other non-bank affiliates in “covered transactions.” In general, covered transactions include making loans to an affiliate, the purchase of or investment in the securities issued by an affiliate, the purchase of assets from an affiliate, the acceptance of securities issued by an affiliate as collateral security for a loan or extensions of credit to any person or company, the issuance of a guarantee, acceptance or letter of credit on behalf of an affiliate, or certain transactions with an affiliate that involve the borrowing or lending of securities and certain derivative transactions with an affiliate.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Unless an exemption applies, covered transactions by the Bank with a single affiliate are limited to 10% of the Bank’s capital and surplus, and with respect to all covered transactions with affiliates in the aggregate, they are limited to 20% of the Bank’s capital and surplus. Section 23B of the Federal Reserve Act and Federal Reserve Regulation W also require that certain transactions between the Bank and its affiliates be on terms substantially the same, or at least as favorable to the Bank, as those prevailing at the time for comparable transactions with or involving other non-affiliated persons.</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Federal Reserve Act and Federal Reserve Regulation O place restrictions and certain reporting requirements on any extension of credit made by a member bank to (a) an executive officer, director, or principal shareholder of the bank, or any company of which the bank is a subsidiary, and of any other subsidiary of that company, and (b) a company controlled by such a person, or to a political or campaign committee that benefits or is controlled by such a person (collectively referred to as “insiders”). These restrictions include limits on loans to one borrower and conditions that must be met before such loans can be made. There is also an aggregate limitation on all loans to insiders and their related interests. Certain restrictions also extend to extensions of credit made to an executive officer, directors, or principal shareholder of a bank (or to a related interest of such person) by a correspondent bank.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Volcker Rule</w:t>
      </w:r>
    </w:p>
    <w:p>
      <w:pPr>
        <w:spacing w:after="0" w:line="20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December 2013, the Federal Reserve, the OCC, the FDIC, the SEC, and the Commodities Futures Trading Commission issued final rules to implement certain provisions of the Dodd-Frank Act commonly known as the “Volker Rule.” The Volcker Rule, as amended on August 20, 2019, generally prohibits U.S. banks from engaging in proprietary trading and restricts those banking entities from sponsoring, investing in, or having certain relationships with hedge funds and private equity funds. The prohibitions under the Volcker Rule are subject to a number of statutory exemptions, restrictions, and definitions. The Volcker Rule has not had a material impact on the Company’s Consolidated Financial Statements, but we continue to evaluate its application to our current and future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FDIC Insurance</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FDIC provides insurance coverage for certain deposits through the Deposit Insurance Fund, which the FDIC maintains by assessing depository institutions an insurance premium. The Company is assessed deposit insurance premiums by the FDIC using a base rate, to which is added temporary surcharges that are used to establish a FDIC reserve fund and pay certain bond obligations. A temporary surcharge ended in September 2018. The Bank’s FDIC insurance assessment was $5.8 million in 2020, $5.2 million in 2019, and $7.7 million in 2018.</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depository institution’s deposit insurance may be terminated by the FDIC upon a finding that the institution’s financial condition is unsafe or unsound, or that the institution has engaged in unsafe or unsound practices, or has violated any applicable rule, regulation, or order or condition enacted or imposed by a regulatory agency. Termination of the Bank’s deposit insurance would end its ability to function as a commercial bank in Hawaii.</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Depositor Preference</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event of the “liquidation or other resolution” of an insured depository institution, claims of insured and uninsured depositors for deposits payable in the United States (including the claims of the FDIC as subrogee of insured depositors), plus certain claims for administrative expenses of the FDIC as a receiver will have priority in payment ahead of unsecured creditors including, in the case of the Bank, the Parent.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Safety and Soundness Regulations</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federal banking agencies also have adopted guidelines prescribing safety and soundness standards. These guidelines establish general standards for internal controls, information systems, internal audit systems, loan documentation, credit underwriting, interest rate risk exposure, asset growth, asset quality, earnings standards, compensation, fees and benefits. In general, the guidelines require appropriate systems and practices to identify and manage the risks and exposures specified in the guidelines before capital becomes impaired.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Reinvestment and Consumer Protection Laws</w:t>
      </w:r>
    </w:p>
    <w:p>
      <w:pPr>
        <w:spacing w:after="0" w:line="198" w:lineRule="exact"/>
        <w:rPr>
          <w:sz w:val="20"/>
          <w:szCs w:val="20"/>
          <w:color w:val="auto"/>
        </w:rPr>
      </w:pPr>
    </w:p>
    <w:p>
      <w:pPr>
        <w:ind w:left="380" w:right="80" w:hanging="372"/>
        <w:spacing w:after="0" w:line="257"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Community Reinvestment. </w:t>
      </w:r>
      <w:r>
        <w:rPr>
          <w:rFonts w:ascii="Times New Roman" w:cs="Times New Roman" w:eastAsia="Times New Roman" w:hAnsi="Times New Roman"/>
          <w:sz w:val="18"/>
          <w:szCs w:val="18"/>
          <w:color w:val="auto"/>
        </w:rPr>
        <w:t>The Community Reinvestment Act of 1977 (“CRA”) requires the appropriate federal banking agency,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examination of a bank, to assess the bank’s record in meeting the credit needs of the communities served by the bank, including low and moderate income neighborhoods. Under the CRA, institutions are assigned a rating of “outstanding,” “satisfactory,” “needs to improve,” or “substantial non-compliance.” The regulatory assessment of the bank’s record is made available to the public. Further, these assessments are considered by regulators when evaluating mergers, acquisitions and applications to open, close, or relocate a branch or facility. The Bank’s current CRA rating is “outstanding”.</w:t>
      </w:r>
    </w:p>
    <w:p>
      <w:pPr>
        <w:spacing w:after="0" w:line="141" w:lineRule="exact"/>
        <w:rPr>
          <w:rFonts w:ascii="Times New Roman" w:cs="Times New Roman" w:eastAsia="Times New Roman" w:hAnsi="Times New Roman"/>
          <w:sz w:val="18"/>
          <w:szCs w:val="18"/>
          <w:color w:val="auto"/>
        </w:rPr>
      </w:pPr>
    </w:p>
    <w:p>
      <w:pPr>
        <w:ind w:left="380" w:right="220" w:hanging="372"/>
        <w:spacing w:after="0" w:line="267"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Consumer Protection Laws. </w:t>
      </w:r>
      <w:r>
        <w:rPr>
          <w:rFonts w:ascii="Times New Roman" w:cs="Times New Roman" w:eastAsia="Times New Roman" w:hAnsi="Times New Roman"/>
          <w:sz w:val="18"/>
          <w:szCs w:val="18"/>
          <w:color w:val="auto"/>
        </w:rPr>
        <w:t>In addition to the CRA, the Bank is subject to a number of federal laws designed to protect borrowers and promote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lending to various sectors of the economy and population in connection with its lending activities. These include the Equal Credit Opportunity Act, the Truth-in-Lending Act, the Home Mortgage Disclosure Act and the Real Estate Settlement Procedures Act.</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Federal banking regulators, pursuant to the Gramm-Leach-Bliley Act, have enacted regulations limiting the ability of banks and other financial institutions to disclose nonpublic consumer information to non-affiliated third parties. The regulations require disclosure of privacy policies and allow consumers to prevent certain personal information from being shared with non-affiliated third parties. The Fair and Accurate Credit Transaction Act (“FACT Act”) requires financial institutions to develop and implement an identity theft prevention program to detect, prevent and mitigate identity theft “red flags” to reduce the risk that customer information will be misused to conduct fraudulent financial transactions.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number of other federal and state consumer protection laws extensively govern the Bank’s relationship with its customers. These laws include the Equal Credit Opportunity Act, the Fair Credit Reporting Act, the Truth in Lending Act, the Truth in Savings Act, the Electronic Fund Transfer Act, the Expedited Funds Availability Act, the Home Mortgage Disclosure Act, the Fair Housing Act, the Real Estate Settlement Procedures Act, the Fair Debt Collection Practices Act, Telephone Consumer Protection Act, the Service Members Civil Relief Act and these laws’ respective state-law counterparts, as well as state and territorial usury laws and laws regarding unfair and deceptive acts and practices. These and other laws subject the Bank to substantial regulatory oversight and,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restrict the Bank’s ability to raise interest rates.</w:t>
      </w:r>
    </w:p>
    <w:p>
      <w:pPr>
        <w:spacing w:after="0" w:line="16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CFPB was created under the Dodd-Frank Act as an agency responsible for promulgating and enforcing regulations designed to protect consumers including adding prohibitions on unfair, deceptive and abusive acts and practices. The CFPB, along with other prudential regulators and the Department of Justice, have also expanded the focus of their regulatory examinations and investigations to include “fair and responsible banking.” Fair and responsible banking strives to provide equal credit opportunities to all applicants of a community, to prohibit discrimination by lenders on the basis of certain borrower characteristics, and to ensure that a bank’s practices are not deceptive, unfair, or take unreasonable advantage of consumers or businesses. The enhanced focus encompasses the entire loan life cycle, including post-closing activities such as collections and servicing, and pre-application activities such as marketing and loan solicitation and origination.</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Violations of applicable consumer protection laws and regulations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and civil money penalties. Failure to comply with consumer protection requirements may also result in our failure to obtain required bank regulatory approvals for transactions the Bank may wish to pursue, or prohibit us from engaging in such transactions even if approval is not required.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Secrecy Act / Anti-Money Laundering Laws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Bank is subject to the Bank Secrecy Act and other anti-money laundering laws and regulations, including the USA PATRIOT Act of 2001. The USA PATRIOT Act created new laws, regulations, and penalties, imposed significant new compliance and due diligence obligations, and expanded the application of those laws outside the U.S. Additionally, like all U.S. companies and individuals, the Company is prohibited from transacting business with certain individuals and entities named on the Office of Foreign Asset Control’s list of Specially Designated Nationals and Blocked Persons.</w:t>
      </w:r>
    </w:p>
    <w:p>
      <w:pPr>
        <w:spacing w:after="0" w:line="13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Bank has been required to implement policies, procedures, and controls to detect, prevent, and report potential money laundering and terrorist financing and to verify the identity of its customers. The Company maintains procedures and systems to identify its customers, and to monitor and block transactions related to prohibited persons and entities. Violations of these requirements can result in substantial civil and criminal sanctions. In addition, the federal financial institution regulatory agencies consider the effectiveness of a financial institution’s anti-money laundering activities when reviewing bank mergers and BHC acquisitions.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2020, we employed 2,022 full-time equivalent employees, of which 1,932 are located in the State of Hawaii, with the remainder located in Guam and other Pacific Islands. None of our employees are subject to a collective bargaining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values the contributions of all of its employees and is committed to building an active and connected employee community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Key areas of focus for the Company include:</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Diversity &amp; Inclusion: The Company believes that a diverse and inclusive workforce fosters an environment where everyone can thrive and be successful. As of December 31, 2020, approximately 86% of our workforce are minorities (non-Caucasian) and approximately 64% of our workforce are female, which accounts for 43% and 60% of our senior leaders and managers, respectively. We conduct an external pay equity study periodically to evaluate that a gender pay gap does not exist.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Employee Development and Training: The Company is committed to providing all employees with the opportunity to grow, connect and thrive within the Company. A review of organizational talent and succession planning occurs annually to enable senior leadership to monitor the development of top talent within the Company. Skills and professional development training is provided to employees at all levels, with additional development sessions specifically targeted to managers and leaders. Current key initiatives include the launch of an Advanced Leaders program to elevate leadership capabilities, as well as the development of Emerging Leaders and Aspiring Leaders programs to cultivate future talent.</w:t>
      </w:r>
    </w:p>
    <w:p>
      <w:pPr>
        <w:spacing w:after="0" w:line="18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Employee Benefits: The Company believes in enabling a healthy workforce and providing a benefits program that is designed to attract, retain, and motivate employees. In addition to competitive insurance, healthcare, and retirement offerings, examples of more innovative and workforce-specific benefits offerings include: mortgage discount program, student loan assistance program, fitness classes, well-being sessions, and personal finance education.</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Health &amp; Safety: The health and safety of our employees is a priority. In 2020, our commitment to workplace safety and workforce health enabled the Company to maintain business and operational continuity without diminishing our focus on both employee and customer safety during the COVID-19 pandemic. Examples of specific initiatives to enhance on-site safety include daily employee health screening as well as temperature scanning and social distancing protocols in both office and branch locations. We also invested in ventilation system upgrades and installed physical health guards/barriers.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executive officers of the Parent as of December 31,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 Ho, 55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 since July 2010 and President since April 2008.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 Y. Shigemura, 57</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Treasurer since October 2020; Vice Chair since December 2017; Chief Financial Officer since March 2017; Senior Executive Vice President and Controller from August 2014 to February 2017.</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Sharon M. Crofts, 55</w:t>
      </w:r>
    </w:p>
    <w:p>
      <w:pPr>
        <w:spacing w:after="0" w:line="198" w:lineRule="exact"/>
        <w:rPr>
          <w:sz w:val="20"/>
          <w:szCs w:val="20"/>
          <w:color w:val="auto"/>
        </w:rPr>
      </w:pPr>
    </w:p>
    <w:p>
      <w:pPr>
        <w:ind w:right="1940"/>
        <w:spacing w:after="0" w:line="453" w:lineRule="auto"/>
        <w:rPr>
          <w:sz w:val="20"/>
          <w:szCs w:val="20"/>
          <w:color w:val="auto"/>
        </w:rPr>
      </w:pPr>
      <w:r>
        <w:rPr>
          <w:rFonts w:ascii="Times New Roman" w:cs="Times New Roman" w:eastAsia="Times New Roman" w:hAnsi="Times New Roman"/>
          <w:sz w:val="18"/>
          <w:szCs w:val="18"/>
          <w:color w:val="auto"/>
        </w:rPr>
        <w:t>Vice Chair, Client Solutions Group since April 2016; Vice Chair, Operations and Technology from October 2012 to March 2016. James C. Polk, 54</w:t>
      </w:r>
    </w:p>
    <w:p>
      <w:pPr>
        <w:spacing w:after="0" w:line="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Vice Chair, Chief Commercial Officer since April 2020; Vice Chair, Consumer Lending and Deposit Product Group from September 2018 to March 2020 and Consumer and Residential Lending from April 2018 to March 2020; Vice Chair, Mortgage Banking from July 2017 to March 2018; Vice Chair, The Private Bank from June 2016 to June 2017; Senior Executive Vice President, Consumer Banking from January 2016 to May 2016; Senior Executive Vice President, Mortgage Banking from August 2014 to January 2016.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E. Sellers, 64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Chair and Chief Risk Officer since July 2005.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Andrea Wilson Ignacio, 48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 since April 2020; Senior Vice President and Controller since August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There are a number of risks and uncertainties that could negatively affect our business, financial condition or results of operations. We are subject to various risks resulting from changing economic, environmental, political, industry, business, financial and regulatory conditions. The risks and uncertainties described below are what management believes are the material risk factors that could affect our business and operations, although they are not the only risks that may have a material adverse effect on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and Political Conditions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Changes in business and economic conditions, in particular those of Hawaii, Guam and other Pacific Islands, are expected to lead to lower revenue, lower asset quality, and lower earnings.</w:t>
      </w:r>
    </w:p>
    <w:p>
      <w:pPr>
        <w:spacing w:after="0" w:line="12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business and earnings are closely tied to the economies of Hawaii and the Pacific Islands. These local economies rely heavily on tourism, the U.S. military, real estate, construction, government, and other service-based industries. Lower visitor arrivals or spending, real or threatened acts of war or terrorism, public unrest, increases in energy costs, the availability of affordable air transportation, climate change, natural disasters and adverse weather, public health issues including Asian air pollution and the spread of the COVID-19 pandemic, and Federal, State of Hawaii and local government budget issues may impact consumer and corporate spending.</w:t>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impacts of various travel restrictions, stay-at-home orders and quarantine requirements for visitors to Hawaii has had a dramatic negative impact on tourism. These events have contributed to a significant deterioration in general economic conditions in our markets which has impacted and will continue to adversely impact us and our customers’ operations. It is uncertain how long these conditions will last or how significant the impacts will be in Hawaii and the Pacific Islands.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Recent deterioration of economic conditions, locally, nationally, and internationally could adversely affect the quality of our assets, credit losses, and the demand for our products and services, which could lead to lower revenues, higher expenses, and lower earnings. In response to this deterioration, several government stimulus programs were initiated, including the Coronavirus Aid, Relief, and Economic Security (“CARES”) Act and the Paycheck Protection Program (“PPP”). The level of visitor arrivals and spending, housing prices, and unemployment rates are some of the metrics that we continually monitor. We also monitor the value of collateral, such as real estate, that secures the loans we have made. The borrowing power of our customers could also be negatively impacted by a decline in the value of collateral.</w:t>
      </w:r>
    </w:p>
    <w:p>
      <w:pPr>
        <w:spacing w:after="0" w:line="14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COVID-19 pandemic has disrupted the Hawaii economy and our business, and the extent and severity of the impact on our business and our financial results are highly uncertain and cannot be predicted.</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COVID-19 pandemic has had and is expected to continue to have a material adverse effect on our operations and financial performance. The duration of the COVID-19 pandemic and its effects still cannot be determined with a reasonable level of certainty. We have experienced unprecedented levels of government stimulus in response to COVID-19 in the current economic cycle, the lasting impacts of which are unknown.</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Novel viruses such as COVID-19 increase concerns related to illness when traveling and gathering in large numbers. In response, the majority of the nation’s state and local jurisdictions imposed “shelter-in-place” orders, quarantines, executive orders or similar government orders and restrictions in order to control the spread of COVID-19. Some jurisdictions have re-imposed restrictions after previously lifting them or have delayed further lifting of restrictions. On March 23, 2020, the governor of Hawaii, signed a stay-at-home order and prohibited large gatherings. The order contained exceptions for certain essential activities. Furthermore, the stay-at-home order mandated all individuals arriving or returning to Hawaii by air be subject to a mandatory 10-day self-quarantine.</w:t>
      </w:r>
    </w:p>
    <w:p>
      <w:pPr>
        <w:spacing w:after="0" w:line="14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State of Hawaii’s stay-at-home order was originally set to expire on April 30, 2020, but was extended through May 31, 2020. The order was subsequently changed to a safer-at-home order extended through July 31, 2020. Subsequent orders were issued in August, September, October, November and December of 2020 with different requirements and restrictions for different islands within Hawaii. The stay-at-home order and safer-at-home orders, along with the mandatory 10-day self-quarantine travel restrictions, have resulted in a dramatic decline in tourism in Hawaii. Additionally, tourism has declined as various public events, attractions and venues have been closed or cancelled. We cannot predict when these closures will end and cancellations diminish or when tourism levels in Hawaii will recover. This decline in tourism has, and is expected to continue to have, a negative impact to the Hawaii economy and our financial results.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Though some of the original restrictions have been relaxed, the mandatory 10-day self-quarantine travel restriction has been extended</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indefinitely. Beginning October 15, 2020, arriving passengers and interisland travelers may avoid the self-quarantine requirements by providing proof of a recent negative test result for COVID-19 prior to boarding. At this time Oahu is not requiring additional testing upon arrival but other islands are pursuing additional restrictions such as arrival testing. Whether, and by how much, this will increase visitor arrivals and restore the tourism industry in Hawaii is uncertain. In addition, these measures may be lifted or reinstated by the government as the infection rates of COVID-19 in Hawaii change, causing uncertainty and deterring travel to Hawaii.</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Travel restrictions and mandatory quarantines related to the COVID-19 pandemic may have a lasting impact on tourism in Hawaii. Because many of our customers, both commercial and consumer, derive at least some of their income from tourism, this dramatic drop in tourism affects them directly, as well as the Hawaii economy as a whole. A downturn in the Hawaii economy and widespread impact to our customers’ income have a negative impact on our operations. We are unable to predict the extent to which the pandemic and related impacts will continue to adversely affect our business, results of operations, financial condition, regulatory capital and liquidity ratios.</w:t>
      </w:r>
    </w:p>
    <w:p>
      <w:pPr>
        <w:spacing w:after="0" w:line="14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COVID-19 pandemic, the institution of physical distancing, and shelter-in-place requirements resulted in both temporary and permanent closures of many businesses. As a result, the demand for our products and services has been and may continue to be significantly impacted. The COVID-19 pandemic could prompt credit losses in our loan portfolios and increase our allowance for credit losses, particularly as businesses remain closed and as more customers draw on lines of credit or seek additional loans to help finance their businesses. Our operations may also be disrupted if significant portions of our workforce are unable to work effectively, due to illness, quarantines, government actions, or other restrictions in connection with the COVID-19 pandemic. We have already temporarily or permanently closed certain of our branches and offices and many employees are now working</w:t>
      </w:r>
    </w:p>
    <w:p>
      <w:pPr>
        <w:spacing w:after="0" w:line="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remotely. Though we have re-opened some of our branches, others remain closed. Similarly, though some employees have returned to the office, many continue to work remotely and it is anticipated that staffing levels at our headquarters will remain lower than pre-pandemic levels for some time.</w:t>
      </w:r>
    </w:p>
    <w:p>
      <w:pPr>
        <w:spacing w:after="0" w:line="14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response to the COVID-19 pandemic, we temporarily suspended residential property foreclosure sales, evictions, and involuntary automobile repossessions. Foreclosures and evictions remain suspended. We offered other expanded assistance to customers such as fee waivers, payment deferrals or forbearances on automobile loans and leases, mortgages, home equity loans and lines, as well as commercial, small business and personal loans. We continue to work with our customers as many of the initial assistance programs have been extended or renewed. The extent to which the COVID-19 pandemic impacts our business, results of operations, financial condition, regulatory capital, and liquidity ratios, will depend on the scope and duration of the COVID-19 pandemic, actions taken by governmental authorities, the availability of federal, state, or local funding programs, actions taken by other third parties in response to the COVID-19 pandemic, and the pace of recovery when the COVID-19 pandemic subsides, all of which are highly uncertain.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reduction in defense spending by the federal government could adversely impact the economy in Hawaii and the Pacific Islands.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U.S. military has a major presence in Hawaii and the Pacific Islands. As a result, the U.S. military is an important aspect of the economies in which we operate. The funding of the U.S. military is subject to the overall U.S. Government budget and appropriation decisions and processes which are driven by numerous factors, including geo-political events, macroeconomic conditions, and the ability and willingness of the U.S. Government to enact legislation. U.S. Government appropriations have been and likely will continue to be affected by larger U.S. Government budgetary issues and related legislation. Cuts in defense and other security spending could have an adverse impact on the economies in which we operate, which could adversely affect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interest rates could adversely impact our results of operations and capital.</w:t>
      </w:r>
    </w:p>
    <w:p>
      <w:pPr>
        <w:spacing w:after="0" w:line="20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earnings are highly dependent on the spread between the interest earned on loans, leases, and investment securities and the interest paid on deposits and borrowings. We primarily rely on customer deposits as a sizable source of relatively stable and low-cost funds. Changes in market interest rates impact the rates earned on loans, leases, and investment securities and the rates paid on deposits and borrowings. In addition, changes to market interest rates could impact the level of loans, leases, investment securities, deposits, and borrowings, and the credit profile of our current borrowers. Interest rates are affected by many factors beyond our control, and fluctuate in response to general economic conditions, currency fluctuations, and the monetary and fiscal policies of various governmental and regulatory authorities.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Changes in monetary policy, including changes in interest rates, will influence the origination of loans and leases, the purchase of investments, the generation of deposits, and the rates received on loans and investment securities and paid on deposits. Any substantial prolonged change in market interest rates may negatively impact our ability to attract deposits, originate loans and leases, and achieve satisfactory interest rate spreads. If we are unable to continue to fund loans and other assets through customer deposits or access capital markets on favorable terms or if we otherwise fail to manage our liquidity effectively, our liquidity, net interest margin, financial results and conditions may be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could increase if economic conditions stagnate or deteriorate further.</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Increased credit losses for the Bank could result if economic conditions stagnate or deteriorate further. The risk of nonpayment on loans and leases is inherent in all lending activities. We maintain a reserve for credit losses to absorb estimated expected credit losses over the life of the loan, lease, and commitment portfolios as of the balance sheet date. Management makes various assumptions and judgments about the loan and lease portfolios in determining the level of the reserve for credit losses. Many of these assumptions are based on current economic conditions. Should economic conditions stagnate or deteriorate further nationally or in Hawaii, we may experience higher credit losses in future periods.</w:t>
      </w:r>
    </w:p>
    <w:p>
      <w:pPr>
        <w:spacing w:after="0" w:line="143"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Inability of our borrowers to make timely repayments on their loans, or decreases in real estate collateral values may result in increased delinquencies, foreclosures, and customer bankruptcies, any of which could have a material adverse effect on our financial condition or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protection initiatives and court decisions related to the foreclosure process affect our remedies as a creditor.</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Proposed consumer protection initiatives related to the foreclosure process, including voluntary and/or mandatory programs intended to permit or require lenders to consider loan modifications or other alternatives to foreclosure, could increase our credit losses or increase our expense in pursuing our remedies as a creditor.</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Hawaii’s appellate courts have made rulings that increase the complexity and risk of nonjudicial, or out-of-court, foreclosures. At the same time, a chronic backlog of cases in the Hawaii courts has slowed the judicial foreclosure process, which delays the Bank’s ability to take over, preserve, and sell the mortgaged property. The manner in which these issues are ultimately resolved could impact our foreclosure procedures and costs, which in turn could affect our financial condition or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capital markets could materially affect the level of assets under management and the demand for our other fee-based services.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Changes in the capital markets could affect the volume of income from and demand for our fee-based services. Our investment management revenues depend in large part on the level of assets under management. Market volatility that leads customers to liquidate investments or move investments to other institutions or asset classes, as well as lower asset values can reduce our level of assets under management, thereby decreasing our investment management revenues.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Parent’s liquidity is dependent on dividends from the Bank.</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Parent is a separate and distinct legal entity from the Bank. The Parent receives substantially all of its cash in the form of dividends from the Bank. These dividends are the principal source of funds to pay, dividends on the Parent’s common stock or to repurchase common stock under the Parent’s share repurchase program. Various federal and state laws and regulations limit the amount of dividends that the Bank may pay to the Parent. The Parent’s ability to meet its obligations, pay dividends to shareholders, or repurchase stock, may be further limited if federal and state laws and regulations further limit the amount of dividends the Bank is permitted to pay the Parent.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 can be no assurance that the Parent will continue to declare cash dividends or repurchase stock.</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2020, the Parent repurchased 156,358 shares of common stock at a total cost of $14.0 million under its share repurchase program. On March 17, 2020, we suspended share repurchases in light of the COVID-19 pandemic. The actual amount and timing of future share repurchases, if any, will depend on market conditions, applicable SEC rules, and various other factors. The Parent also paid cash dividends of $107.4 million during 2020. In January 2021, the Parent’s Board of Directors declared a quarterly cash dividend of $0.67 per share on the Parent’s outstanding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dividend payments and/or stock repurchases may change from time-to-time, and we cannot provide assurance that we will continue to declare dividends and/or repurchase stock in any particular amounts or at all. Dividends and/or stock repurchases are subject to capital availability and periodic determinations by our Board of Directors. We continue to evaluate the potential impact that regulatory proposals may have on our liquidity and capital management strategies, including Basel III and those required under the Dodd-Frank Act. The actual amount and timing of future dividends and share repurchases, if any, will depend on market and economic conditions, applicable SEC rules, federal and state regulatory restrictions, and various other factors. In addition, the amount we spend and the number of shares we are able to repurchase under our stock repurchase program may further be affected by a number of other factors, including the stock price and blackout periods in which we are restricted from repurchasing shares. A reduction in or elimination of our dividend payments and/or stock repurchases could have a negative effect on our stock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Changes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anticipated end of LIBOR on December 31, 2021, may adversely affect our financial instruments that are directly or indirectly tied to LIBOR.</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27, 2017, the United Kingdom’s Financial Conduct Authority, which regulates LIBOR announced that after December 31, 2021, it would no longer compel banks to submit the rates required to calculate LIBOR. With this announcement there is uncertainty about the continued availability of LIBOR after December 31, 2021 (which may be extended). If LIBOR ceases to be available or the methods of calculating LIBOR change from the current methods, financial products with interest rates tied to LIBOR may be adversely affected. Even if LIBOR remains available it is uncertain whether it will continue to be viewed as an acceptable market benchmark, what rate or rates may become accepted alternatives to LIBOR or what the effect of any such changes in views or alternatives may be on the markets for LIBOR-indexed financial instruments. We have loans, derivative contracts, and other financial instruments with rates that are either directly or indirectly tied to LIBOR. If any of the foregoing were to occur, the interest rates on these instruments, as well as the revenue and expenses associated with the same, may be adversely affected. Furthermore, failure to adequately manage this transition process with our customers could adversely impact our reputation.</w:t>
      </w:r>
    </w:p>
    <w:p>
      <w:pPr>
        <w:spacing w:after="0" w:line="18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formed an enterprise-wide, cross-functional project team to oversee the transition. The project team reports to a steering committee as well as Management and the Board on a periodic basis. The project team is organized around key work streams, which cover the products, systems, and operational processes impacted by the transition as well as client communication. In addition, the project team has completed an inventory of existing LIBOR-indexed products, which is monitored on an ongoing basis, LIBOR fallback language has been added to new loans, and LIBOR-based mortgage ARMs have been removed from our product offering.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and Monetary Policy changes may significantly impact our profitability and liquidity</w:t>
      </w:r>
    </w:p>
    <w:p>
      <w:pPr>
        <w:spacing w:after="0" w:line="2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business and earnings are significantly affected by the fiscal and monetary policies of the Federal Government and its agencies. The Bank is particularly affected by the policies of the Federal Reserve, which regulates the supply of money and credit in the United States. Among the instruments of monetary policy available to the Federal Reserve are (a) conducting open market operations in U.S. government securities, (b) changing the discount rates of borrowings of depository institutions, (c) imposing or changing reserve requirements against depository institutions’ deposits, and (d) imposing or changing reserve requirements against certain borrowings by banks and their affiliates. These methods are used in varying degrees and combinations to directly affect the availability of bank loans and deposits, as well as the interest rates charged on loans and paid on deposits. Changes to these policies of the Federal Reserve may have a material effect on our business, results of operations and financial condition.</w:t>
      </w:r>
    </w:p>
    <w:p>
      <w:pPr>
        <w:spacing w:after="0" w:line="146"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i w:val="1"/>
          <w:iCs w:val="1"/>
          <w:color w:val="auto"/>
        </w:rPr>
        <w:t>Legislation and regulatory initiatives affecting the financial services industry, including new interpretations, restrictions and requirements, could detrimentally affect the Company’s business.</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Dodd-Frank Act, enacted in July 2010, triggered sweeping reforms to the financial services industry. Although almost all of the rules and regulations implementing the Dodd-Frank Act have already gone into effect, some of the rules have yet to be implemented and others are being interpreted by federal regulators and the courts. The Dodd-Frank Act, other consumer protection laws, and their implementing rules and regulations are likely to continue to result in increased compliance costs, along with possible restrictions on our products, services and manner of operations, any of which may have a material adverse effect on our operating results and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CFPB has exercised its broad rule-making, supervisory, and examination authority of consumer financial products, as well as expanded data collection and enforcement powers, over depository institutions with more than $10.0 billion in assets. Staff changes to key positions within the CFPB by the Biden administration may result in the CFPB pursuing more strict enforcement policies, similar to that experienced under the Obama administration. Regulation of overall safety and soundness, the CRA, federal housing and flood insurance, as they pertain to consumer financial products and services, remains with the FRB. As a result of greater regulatory scrutiny of consumer financial products as a whole, the Company has become subject to more and expanded regulatory examinations, which also could result in increased costs as well as harm to our reputation in the event of a finding that we have not complied with the increased regulatory requirements.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New laws, regulations, and changes, and the uncertainty surrounding whether such laws, regulations and changes will be implemented, interpreted, repealed or reinstated, in the current regulatory and political climate, may continue to increase our costs of regulatory compliance. They may significantly affect the markets in which we do business, the markets for and value of our investments, and our ongoing operations, costs, and profitability.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Bank of Hawaii and its nonbank subsidiaries are subject to extensive federal and applicable state regulation and supervision. The bank regulatory scheme is primarily intended to protect depositors’ funds, federal deposit insurance funds, and the banking system as a whole, not shareholders. This regulatory framework affects our lending practices, capital structure, investment practices, dividend policy, and growth, among other things. Congress and federal regulatory agencies continually review banking laws, regulations, and policies for possible changes, and proposed changes can be expected from the new federal administration taking office in January 2021. With Democratic control of the White House and both chambers of Congress there may be greater oversight of the banking industry. This may include increased scrutiny of the banking industry’s efforts to provide COVID-19 relief programs as well as consumer financial rights as a whole.</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Further, leadership and staff changes in regulatory agencies such as the CFPB, CFTC, SEC, and the Treasury Department could lead to changes in the rulemaking, supervision, examination and enforcement priorities and policies of the agencies. The potential impact of any changes within these agencies cannot be predicted at this time.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capital, leverage, liquidity requirements for financial institutions could materially affect future requirements of the Company.</w:t>
      </w:r>
    </w:p>
    <w:p>
      <w:pPr>
        <w:spacing w:after="0" w:line="18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Under Basel III, financial institutions are required to have more capital and a higher quality of capital. Under the final rules issued by the banking regulators, minimum requirements increased for both the quantity and quality of capital held by the Company.</w:t>
      </w:r>
    </w:p>
    <w:p>
      <w:pPr>
        <w:spacing w:after="0" w:line="13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Compliance with Basel III resulted in increased capital, liquidity, and disclosure requirements. See the “Regulatory Initiatives Affecting the Banking Industry” section in MD&amp;A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income tax laws and interpretations, or in accounting standards, could materially affect our financial condition or results of operations.</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 changes in income tax laws could be enacted, or interpretations of existing income tax laws could change, causing an adverse effect on our financial condition or results of operations. Similarly, our accounting policies and methods are fundamental to how we report our financial condition and results of operations. Some of these policies require use of estimates and assumptions that may affect the value of our assets, liabilities, and financial results. Periodically, new accounting standards are issued or existing standards are revised, changing the methods for preparing our financial statements. These changes are not within our control and may significantly impact our financial condition and results of operations.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18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A failure in or breach of our operational systems, information systems, or infrastructure, or those of our third party vendors and other service providers, may result in financial losses, loss of customers, or damage to our reputation.</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rely heavily on communications and information systems to conduct our business. In addition, we rely on third parties to provide key components of our infrastructure, including loan, deposit and general ledger processing, internet connections, and network access. These types of information and related systems are critical to the operation of our business and essential to our ability to perform day-to-day operations, and, in some cases, are critical to the operations of certain of our customers. These third parties with which we do business or that facilitate our business activities, including exchanges, clearing firms, financial intermediaries or vendors that provide services or security solutions for our operations, could also be sources of operational and information security risk to us, including breakdowns or failures of their own systems or capacity constraints. Although we have safeguards and business continuity plans in place, our business operations may be adversely affected by significant and widespread disruption to our physical infrastructure or operating systems that support our business and our customers, resulting in financial losses, loss of customers, or damage to our reputation.</w:t>
      </w:r>
    </w:p>
    <w:p>
      <w:pPr>
        <w:spacing w:after="0" w:line="149" w:lineRule="exact"/>
        <w:rPr>
          <w:sz w:val="20"/>
          <w:szCs w:val="20"/>
          <w:color w:val="auto"/>
        </w:rPr>
      </w:pPr>
    </w:p>
    <w:p>
      <w:pPr>
        <w:jc w:val="both"/>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An interruption or breach in security of our information systems or those related to merchants and third party vendors, including as a result of cyber attacks, could disrupt our business, result in the disclosure or misuse of confidential or proprietary information, damage our reputation, or result in financial losses.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requires the collection and retention of large volumes of customer data, including payment card numbers and other personally identifiable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in various information systems that we maintain and in those maintained by third parties with whom we contract to provide data services.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maintain important internal company data such as personally identifiable information about our employees and information relating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The integrity and protection of that customer and company data is important to us. As customer, public, legislative and regulatory expectations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requirements regarding operational and information security have increased, our operating systems and infrastructure must continue to be safeguarded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monitored for potential failures, disruptions and breakdowns.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us. These cybersecurity threats and attacks may include, but are not limited to, attempts to access information, including customer and company information, malicious code, computer viruses and denial of service attacks that could result in unauthorized access, misuse, loss or destruction of data (including confidential customer information), account takeovers, unavailability of service or other events. These types of threats may result from human error, fraud or malice on the part of external or internal parties, intelligence-gathering by foreign governments, or from accidental technological failure internally or by our vendors. Further, to access our products and services our customers may use computers and mobile devices that are beyond our security control systems. The risk of a security breach or disruption, particularly through cyber-attack or cyber intrusion, including by computer hackers, has increased as the number, intensity and sophistication of attempted attacks and intrusions around the world have increased.</w:t>
      </w:r>
    </w:p>
    <w:p>
      <w:pPr>
        <w:spacing w:after="0" w:line="1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customers and employees have been, and will continue to be, targeted by parties using fraudulent emails and other communications in attempts to misappropriate passwords, payment card numbers, bank account information or other personal information or to introduce viruses or other malware through “trojan horse” programs to our customers’ devices. These communications may appear to be legitimate messages sent by the Bank or other businesses, but direct recipients to fake websites operated by the sender of the email or request that the recipient send a password or other confidential information via email or download a program. Despite our efforts to mitigate these threats through product improvements, use of encryption and authentication technology to secure online transmission of confidential consumer information, and customer and employee education, such attempted frauds against us or our merchants and our third party service providers remain a serious issue. The pervasiveness of cyber security incidents in general and the risks of cyber-crime are complex and continue to evolve. In light of several recent high-profile data breaches involving other companies’ losses of customer personal and financial information, we believe this risk could cause customer and/or Bank losses, damage to our brand, and increase our costs through the ongoing cost of technology investments to improve security, as well as the potential financial and reputational impact of a cyber security incident involving the Company.</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we make significant efforts to maintain the security and integrity of our information systems and have implemented various measures to manage the risk of a security breach or disruption, there can be no assurance that our security efforts and measures will be effective or that attempted security breaches or disruptions would not be successful or damaging. Even the most well-protected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in some cases are designed not to be detected and, in fact, may not be detected. Accordingly, we may be unable to anticipate these techniques or to implement adequate security barriers or other preventative measures, and thus making it virtually impossible for us to entirely mitigate this risk. A security breach or other significant disruption could: 1) disrupt the proper functioning of our networks and systems and therefore our operations and/or those of certain of our customers; 2) result in the unauthorized access to, and destruction, loss, theft, misappropriation or release of confidential, sensitive or otherwise valuable information of ours or our customers, including account numbers and other financial information; 3) result in a violation of applicable privacy, data breach and other laws, subjecting the Bank to additional regulatory scrutiny and exposing the Bank to civil litigation, governmental fines and possible financial liability; 4) require significant management attention and resources to remedy the damages that result; or 5) harm our reputation or cause a decrease in the number of customers that choose to do business with us or reduce the level of business that our customers do with us. The occurrence of any such failures, disruptions or security breaches could have a negative impact on our results of operations, financial condition, and cash flows as well as damage our brand and reputation.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mortgage banking income may experience significant volatility.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mortgage banking income is highly influenced by the level and direction of mortgage interest rates, real estate activity, and refinancing</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activity. Interest rates can affect the amount of mortgage banking activity and impact fee income and the fair value of our derivative financial instruments and mortgage servicing rights. Mortgage banking income may also be impacted by changes in our strategy to manage our residential mortgage portfolio. For example, we may occasionally decide to add more conforming saleable loans to our portfolio (as opposed to selling the loans in the secondary market) which would reduce our gains on sales of residential mortgage loans. These variables could adversely affect mortgage banking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mortgage loan servicing business may be impacted if we do not meet our obligations, or if servicing standards change.</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act as servicer for mortgage loans sold into the secondary market, primarily to government sponsored entities (“GSEs”) such as Fannie Mae. As a seller and servicer for those loans, we make warranties about their origination and are required to perform servicing according to complex contractual and handbook requirements. We maintain systems and procedures intended to ensure that we comply with these requirements. We may be penalized and, in limited instances required to repurchase certain mortgages, due to alleged failures to adhere to these requirements. Should GSEs change the requirements in their servicing handbooks, we may sustain higher compliance costs.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requirement to record certain assets and liabilities at fair value may adversely affect our financial results.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report certain assets, including available-for-sale investment securities, at fair value. Generally, for assets that are reported at fair value we use quoted market prices or valuation models that utilize market data inputs to estimate fair value. Because we record these assets at their estimated fair value, we may incur losses even if the asset in question presents minimal credit risk. The level of interest rates can impact the estimated fair value of investment securities. Disruptions in the capital markets may require us to reserve for credit losses in future periods with respect to investment securities in our portfolio. The amount and timing of any credit allowance recognized will be measured as the difference between the security’s amortized cost basis and the amount expected to be collected over the security’s lifetime.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disasters and adverse weather could negatively affect real estate property values and bank operations.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Real estate and real estate property values play an important role for the Bank in several ways. The Bank owns or leases many real estate properties in connection with its operations, primarily located in Hawaii with its unique weather and geology. Our business operations could suffer to the extent the Bank cannot utilize its branch network due to damage from weather or other natural disasters. Real estate is also utilized as collateral for many of our loans. A natural disaster in Hawaii or the Pacific Islands could cause property values in the affected areas to fall, which could require the Bank to record an impairment on its financial statements. A natural disaster could also impact borrowers’ ability to pay their financial obligations, which would increase our exposure to loan defaults.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 may adversely affect our business.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depends on our ability to compete effectively. We compete for deposits, loans, leases, and other financial services with a variety of competitors, including banks, thrifts, savings associations, credit unions, mortgage companies, finance companies, mutual funds, brokerage firms, insurance companies, and other non-traditional providers of financial services, including financial service subsidiaries of commercial and manufacturing companies. Some of our competitors are not subject to the same level of regulation and oversight that is required of banks and BHCs, and may benefit from tax exemptions or lower tax rates. As a result, some of these competitors may have lower cost structures.</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expect competitive conditions to intensify as consolidation in the financial services industry continues. The financial services industry is also likely to become more competitive as further technological advances enable more companies, including non-depository institutions, to provide financial services. Also, some of our competitors, through delivery channels such as the Internet, may be based outside of the markets that we serve.</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Both federal and local laws provide mechanisms for out-of-state banks and their holding companies to acquire or open branches in our service territories. Failure to effectively address this competitive risk by competing, innovating and making effective use of new and existing channels to deliver our products and services could adversely affect our financial condition or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public opinion could damage our reputation and adversely impact our earnings and liquidity.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Reputational risk, or the risk to our business, earnings, liquidity, and capital from negative public opinion, could result from our actual or alleged conduct in a variety of areas, including legal and regulatory compliance, lending practices, corporate governance, litigation, ethical issues, or inadequate protection of customer information. We expend significant resources to comply with regulatory requirements. Failure to comply could result in reputational harm or significant legal or remedial costs. Damage to our reputation could adversely affect our ability to retain and attract new customers, and adversely impact our earnings and liquidity.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certain litigation, and our expenses related to this litigation may adversely affect our results.</w:t>
      </w:r>
    </w:p>
    <w:p>
      <w:pPr>
        <w:spacing w:after="0" w:line="20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are, from time-to-time, involved in various legal proceedings arising from our normal business activities. These claims and legal actions, including supervisory actions by our regulators, could involve large monetary claims and significant defense costs. The outcome of these cases is</w:t>
      </w: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uncertain. Substantial legal liability or significant regulatory action against us could have material financial effects or cause significant reputational harm to us, which in turn could seriously harm our business prospects. We may be exposed to substantial uninsured liabilities, which could materially affect our results of operations and financial condition. Based on information currently available, we believe that the eventual outcome of known actions against us will not be materially in excess of such amounts accrued by us. However, in the event of unexpected future developments, it is possible that the ultimate resolution of those matters may be material to our financial results for any particular period. See the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section of Note 20 to the Consolidated Financial Statements for more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performance depends on attracting and retaining key employees and skilled personnel to operate our business effectively.</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success is dependent on our ability to recruit qualified and skilled personnel to operate our business effectively. Competition for these qualified and skilled people is intense. There are a limited number of qualified personnel in the markets we serve, so our success depends in part on the continued services of many of our current management and other key employees. Failure to retain our key employees and maintain adequate staffing of qualified personnel could adversely impact our operations and our ability to compete.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soundness of other financial institutions may adversely impact our financial condition or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engage in routine funding transactions could be adversely affected by the actions and commercial soundness of other financial</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institutions. Financial services institutions are interrelated as a result of trading, clearing, lending, counterparty, or other relationships. As a result, defaults by, or even rumors or questions about, one or more financial services institutions or the financial services industry in general have led to market-wide liquidity problems and could lead to losses or defaults by us or by other institutions. We have exposure to many different industries and counterparties, and we routinely execute transactions with brokers and dealers, commercial banks, investment banks, mutual funds, and other institutional clients. Many of these transactions expose us to credit risk in the event of default of our counterparty or client. In addition, our credit risk may be exacerbated when the collateral held by us cannot be realized upon or is liquidated at prices not sufficient to recover the full amount of the loan or derivative exposure due us. Such losses could materially affect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in the Financial Plaza of the Pacific in Honolulu, Hawaii. We own and lease other branch offices and operating facilities located throughout Hawaii and the Pacific Islands. Additional information with respect to premises and equipment is presented in Notes 6 and 23 to the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from time to time subject to lawsuits, investigations and claims arising out of the conduct of our business. Management believes that the ultimate resolution of these matters is not likely to materially affect our financial position and results of operations. For additional information, see Note 20 to the Consolidated Financial Statements, under the discussion related to Contingencies.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Shareholders, and 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historical market prices of the Parent’s common stock, book value, and dividends declared on that stock are shown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Prices, Book Values, and Common Stock Dividends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Market Price Range</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Dividends</w:t>
            </w:r>
          </w:p>
        </w:tc>
      </w:tr>
      <w:tr>
        <w:trPr>
          <w:trHeight w:val="214"/>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Year/Period</w:t>
            </w:r>
          </w:p>
        </w:tc>
        <w:tc>
          <w:tcPr>
            <w:tcW w:w="2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High</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Low</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Close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Declared</w:t>
            </w:r>
          </w:p>
        </w:tc>
      </w:tr>
      <w:tr>
        <w:trPr>
          <w:trHeight w:val="211"/>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2020</w:t>
            </w:r>
          </w:p>
        </w:tc>
        <w:tc>
          <w:tcPr>
            <w:tcW w:w="2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95.53</w:t>
            </w:r>
          </w:p>
        </w:tc>
        <w:tc>
          <w:tcPr>
            <w:tcW w:w="5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46.70</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76.62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34.26</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2.68</w:t>
            </w: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95.53</w:t>
            </w:r>
          </w:p>
        </w:tc>
        <w:tc>
          <w:tcPr>
            <w:tcW w:w="5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46.70</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0.67</w:t>
            </w:r>
          </w:p>
        </w:tc>
      </w:tr>
      <w:tr>
        <w:trPr>
          <w:trHeight w:val="21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51.15</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61.41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0.67</w:t>
            </w: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61.94</w:t>
            </w:r>
          </w:p>
        </w:tc>
        <w:tc>
          <w:tcPr>
            <w:tcW w:w="5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48.77</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0.67</w:t>
            </w:r>
          </w:p>
        </w:tc>
      </w:tr>
      <w:tr>
        <w:trPr>
          <w:trHeight w:val="21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80.38</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49.25</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76.62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0.67</w:t>
            </w:r>
          </w:p>
        </w:tc>
      </w:tr>
      <w:tr>
        <w:trPr>
          <w:trHeight w:val="216"/>
        </w:trPr>
        <w:tc>
          <w:tcPr>
            <w:tcW w:w="3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2019</w:t>
            </w:r>
          </w:p>
        </w:tc>
        <w:tc>
          <w:tcPr>
            <w:tcW w:w="2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5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66.54</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95.16</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32.14</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2.59</w:t>
            </w: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83.94</w:t>
            </w:r>
          </w:p>
        </w:tc>
        <w:tc>
          <w:tcPr>
            <w:tcW w:w="5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66.54</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0.62</w:t>
            </w:r>
          </w:p>
        </w:tc>
      </w:tr>
      <w:tr>
        <w:trPr>
          <w:trHeight w:val="21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84.53</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75.24</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82.91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0.65</w:t>
            </w: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w:t>
            </w:r>
          </w:p>
        </w:tc>
        <w:tc>
          <w:tcPr>
            <w:tcW w:w="58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79.13</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0.65</w:t>
            </w:r>
          </w:p>
        </w:tc>
      </w:tr>
      <w:tr>
        <w:trPr>
          <w:trHeight w:val="21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81.29</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95.16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0.67</w:t>
            </w: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common stock of the Parent is traded on the New York Stock Exchange (NYSE Symbol: BOH) and quoted daily in leading financial publications. As of February 16, 2021, there were 5,456 common shareholders of record.</w:t>
      </w:r>
    </w:p>
    <w:p>
      <w:pPr>
        <w:spacing w:after="0" w:line="135"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The Parent’s Board of Directors considers on a quarterly basis the feasibility of paying a cash dividend to its shareholders and the level and feasibility of repurchasing shares of the Parent’s common stock. Under the Parent’s historical practice, dividends declared are paid within the quarter. See “Dividend Restrictions” under “Supervision and Regulation” in Item 1 of this report and Note 11 to the Consolidated Financial Statements for more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6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2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7"/>
                <w:szCs w:val="17"/>
                <w:color w:val="auto"/>
              </w:rPr>
            </w:pPr>
          </w:p>
        </w:tc>
        <w:tc>
          <w:tcPr>
            <w:tcW w:w="166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Value of Shares</w:t>
            </w:r>
          </w:p>
        </w:tc>
      </w:tr>
      <w:tr>
        <w:trPr>
          <w:trHeight w:val="203"/>
        </w:trPr>
        <w:tc>
          <w:tcPr>
            <w:tcW w:w="2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Pr>
          <w:p>
            <w:pPr>
              <w:spacing w:after="0"/>
              <w:rPr>
                <w:sz w:val="17"/>
                <w:szCs w:val="17"/>
                <w:color w:val="auto"/>
              </w:rPr>
            </w:pPr>
          </w:p>
        </w:tc>
        <w:tc>
          <w:tcPr>
            <w:tcW w:w="166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that May Yet Be</w:t>
            </w:r>
          </w:p>
        </w:tc>
      </w:tr>
      <w:tr>
        <w:trPr>
          <w:trHeight w:val="203"/>
        </w:trPr>
        <w:tc>
          <w:tcPr>
            <w:tcW w:w="2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400" w:type="dxa"/>
            <w:vAlign w:val="bottom"/>
          </w:tcPr>
          <w:p>
            <w:pPr>
              <w:spacing w:after="0"/>
              <w:rPr>
                <w:sz w:val="17"/>
                <w:szCs w:val="17"/>
                <w:color w:val="auto"/>
              </w:rPr>
            </w:pPr>
          </w:p>
        </w:tc>
        <w:tc>
          <w:tcPr>
            <w:tcW w:w="166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Purchased Under</w:t>
            </w:r>
          </w:p>
        </w:tc>
      </w:tr>
      <w:tr>
        <w:trPr>
          <w:trHeight w:val="199"/>
        </w:trPr>
        <w:tc>
          <w:tcPr>
            <w:tcW w:w="2560" w:type="dxa"/>
            <w:vAlign w:val="bottom"/>
          </w:tcPr>
          <w:p>
            <w:pPr>
              <w:spacing w:after="0"/>
              <w:rPr>
                <w:sz w:val="17"/>
                <w:szCs w:val="17"/>
                <w:color w:val="auto"/>
              </w:rPr>
            </w:pPr>
          </w:p>
        </w:tc>
        <w:tc>
          <w:tcPr>
            <w:tcW w:w="25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540" w:type="dxa"/>
            <w:vAlign w:val="bottom"/>
          </w:tcPr>
          <w:p>
            <w:pPr>
              <w:spacing w:after="0"/>
              <w:rPr>
                <w:sz w:val="17"/>
                <w:szCs w:val="17"/>
                <w:color w:val="auto"/>
              </w:rPr>
            </w:pPr>
          </w:p>
        </w:tc>
        <w:tc>
          <w:tcPr>
            <w:tcW w:w="16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400" w:type="dxa"/>
            <w:vAlign w:val="bottom"/>
          </w:tcPr>
          <w:p>
            <w:pPr>
              <w:spacing w:after="0"/>
              <w:rPr>
                <w:sz w:val="17"/>
                <w:szCs w:val="17"/>
                <w:color w:val="auto"/>
              </w:rPr>
            </w:pPr>
          </w:p>
        </w:tc>
        <w:tc>
          <w:tcPr>
            <w:tcW w:w="166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the Plans or</w:t>
            </w:r>
          </w:p>
        </w:tc>
      </w:tr>
      <w:tr>
        <w:trPr>
          <w:trHeight w:val="22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560" w:type="dxa"/>
            <w:vAlign w:val="bottom"/>
            <w:tcBorders>
              <w:bottom w:val="single" w:sz="8" w:color="auto"/>
            </w:tcBorders>
          </w:tcPr>
          <w:p>
            <w:pPr>
              <w:jc w:val="right"/>
              <w:ind w:right="8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Shares Purchased </w:t>
            </w:r>
            <w:r>
              <w:rPr>
                <w:rFonts w:ascii="Times New Roman" w:cs="Times New Roman" w:eastAsia="Times New Roman" w:hAnsi="Times New Roman"/>
                <w:sz w:val="25"/>
                <w:szCs w:val="25"/>
                <w:b w:val="1"/>
                <w:bCs w:val="1"/>
                <w:color w:val="auto"/>
                <w:vertAlign w:val="superscript"/>
              </w:rPr>
              <w:t>1</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Programs </w:t>
            </w:r>
            <w:r>
              <w:rPr>
                <w:rFonts w:ascii="Times New Roman" w:cs="Times New Roman" w:eastAsia="Times New Roman" w:hAnsi="Times New Roman"/>
                <w:sz w:val="25"/>
                <w:szCs w:val="25"/>
                <w:b w:val="1"/>
                <w:bCs w:val="1"/>
                <w:color w:val="auto"/>
                <w:vertAlign w:val="superscript"/>
              </w:rPr>
              <w:t>2</w:t>
            </w:r>
          </w:p>
        </w:tc>
      </w:tr>
      <w:tr>
        <w:trPr>
          <w:trHeight w:val="21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October 1 - 31, 2020</w:t>
            </w:r>
          </w:p>
        </w:tc>
        <w:tc>
          <w:tcPr>
            <w:tcW w:w="25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2,163</w:t>
            </w:r>
          </w:p>
        </w:tc>
        <w:tc>
          <w:tcPr>
            <w:tcW w:w="5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50.59</w:t>
            </w:r>
          </w:p>
        </w:tc>
        <w:tc>
          <w:tcPr>
            <w:tcW w:w="1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113,073,521</w:t>
            </w:r>
          </w:p>
        </w:tc>
      </w:tr>
      <w:tr>
        <w:trPr>
          <w:trHeight w:val="213"/>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November 1 - 30, 2020</w:t>
            </w:r>
          </w:p>
        </w:tc>
        <w:tc>
          <w:tcPr>
            <w:tcW w:w="25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6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113,073,521</w:t>
            </w:r>
          </w:p>
        </w:tc>
      </w:tr>
      <w:tr>
        <w:trPr>
          <w:trHeight w:val="216"/>
        </w:trPr>
        <w:tc>
          <w:tcPr>
            <w:tcW w:w="2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1 - 31, 2020</w:t>
            </w:r>
          </w:p>
        </w:tc>
        <w:tc>
          <w:tcPr>
            <w:tcW w:w="2560" w:type="dxa"/>
            <w:vAlign w:val="bottom"/>
            <w:tcBorders>
              <w:bottom w:val="single" w:sz="8" w:color="auto"/>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113,073,521</w:t>
            </w:r>
          </w:p>
        </w:tc>
      </w:tr>
      <w:tr>
        <w:trPr>
          <w:trHeight w:val="211"/>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2,163</w:t>
            </w:r>
          </w:p>
        </w:tc>
        <w:tc>
          <w:tcPr>
            <w:tcW w:w="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50.59</w:t>
            </w:r>
          </w:p>
        </w:tc>
        <w:tc>
          <w:tcPr>
            <w:tcW w:w="1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85" w:lineRule="exact"/>
        <w:rPr>
          <w:sz w:val="20"/>
          <w:szCs w:val="20"/>
          <w:color w:val="auto"/>
        </w:rPr>
      </w:pPr>
    </w:p>
    <w:p>
      <w:pPr>
        <w:ind w:left="200" w:right="60" w:hanging="192"/>
        <w:spacing w:after="0" w:line="227" w:lineRule="auto"/>
        <w:tabs>
          <w:tab w:leader="none" w:pos="2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During the fourth quarter of 2020, 2,163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 (2) thereof. The trustee under the trust and the participants under the DDCP are accredited investors, as defined in Rule 501(a) under the Securities Act. The</w:t>
      </w:r>
    </w:p>
    <w:p>
      <w:pPr>
        <w:spacing w:after="0" w:line="1" w:lineRule="exact"/>
        <w:rPr>
          <w:sz w:val="20"/>
          <w:szCs w:val="20"/>
          <w:color w:val="auto"/>
        </w:rPr>
      </w:pPr>
    </w:p>
    <w:p>
      <w:pPr>
        <w:ind w:left="200" w:right="60"/>
        <w:spacing w:after="0" w:line="221" w:lineRule="auto"/>
        <w:rPr>
          <w:sz w:val="20"/>
          <w:szCs w:val="20"/>
          <w:color w:val="auto"/>
        </w:rPr>
      </w:pPr>
      <w:r>
        <w:rPr>
          <w:rFonts w:ascii="Times New Roman" w:cs="Times New Roman" w:eastAsia="Times New Roman" w:hAnsi="Times New Roman"/>
          <w:sz w:val="14"/>
          <w:szCs w:val="14"/>
          <w:color w:val="auto"/>
        </w:rPr>
        <w:t>transaction did not involve a public offering and occurred without general solicitation or advertising. The shares were purchased at the closing price of the Parent’s common stock on the dates of purchase.</w:t>
      </w:r>
    </w:p>
    <w:p>
      <w:pPr>
        <w:spacing w:after="0" w:line="1" w:lineRule="exact"/>
        <w:rPr>
          <w:sz w:val="20"/>
          <w:szCs w:val="20"/>
          <w:color w:val="auto"/>
        </w:rPr>
      </w:pPr>
    </w:p>
    <w:p>
      <w:pPr>
        <w:ind w:left="200" w:right="40" w:hanging="192"/>
        <w:spacing w:after="0" w:line="239" w:lineRule="auto"/>
        <w:tabs>
          <w:tab w:leader="none" w:pos="2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following graph shows the cumulative total return for the Parent’s common stock compared to the cumulative total returns for the Standard &amp; Poor’s (“S&amp;P”) 500 Index and the S&amp;P Banks Index. The graph assumes that $100 was invested on December 31, 2015, in the Parent’s common stock, the S&amp;P 500 Index, and the S&amp;P Banks Index. The cumulative total return on each investment is as of December 31 of each of the subsequent five years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125730</wp:posOffset>
            </wp:positionV>
            <wp:extent cx="5271770" cy="3634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7177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468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0"/>
        </w:trPr>
        <w:tc>
          <w:tcPr>
            <w:tcW w:w="468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Bank of Hawaii Corporation</w:t>
            </w:r>
          </w:p>
        </w:tc>
        <w:tc>
          <w:tcPr>
            <w:tcW w:w="30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right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right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143</w:t>
            </w:r>
          </w:p>
        </w:tc>
        <w:tc>
          <w:tcPr>
            <w:tcW w:w="30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116</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169</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w:t>
            </w:r>
          </w:p>
        </w:tc>
      </w:tr>
      <w:tr>
        <w:trPr>
          <w:trHeight w:val="210"/>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S&amp;P 500 Index</w:t>
            </w: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112</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136</w:t>
            </w: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130</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171</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203</w:t>
            </w:r>
          </w:p>
        </w:tc>
      </w:tr>
      <w:tr>
        <w:trPr>
          <w:trHeight w:val="210"/>
        </w:trPr>
        <w:tc>
          <w:tcPr>
            <w:tcW w:w="468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S&amp;P Banks Index</w:t>
            </w:r>
          </w:p>
        </w:tc>
        <w:tc>
          <w:tcPr>
            <w:tcW w:w="30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right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right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124</w:t>
            </w: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151</w:t>
            </w:r>
          </w:p>
        </w:tc>
        <w:tc>
          <w:tcPr>
            <w:tcW w:w="30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127</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right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178</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Selected Consolidated Financial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millions, except per share amounts)</w:t>
            </w:r>
          </w:p>
        </w:tc>
        <w:tc>
          <w:tcPr>
            <w:tcW w:w="1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55"/>
        </w:trPr>
        <w:tc>
          <w:tcPr>
            <w:tcW w:w="41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Results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496.3</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497.7</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486.4</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457.2</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417.6</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117.8</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16.0</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13.4</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16.9</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184.4</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183.3</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168.9</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185.4</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197.3</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373.8</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379.2</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371.6</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357.7</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350.6</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153.8</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225.9</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219.6</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184.7</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181.5</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3.87</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5.59</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5.26</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4.37</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4.26</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3.86</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5.56</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5.23</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4.33</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4.23</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2.68</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2.59</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2.34</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2.04</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1.89</w:t>
            </w:r>
          </w:p>
        </w:tc>
      </w:tr>
      <w:tr>
        <w:trPr>
          <w:trHeight w:val="162"/>
        </w:trPr>
        <w:tc>
          <w:tcPr>
            <w:tcW w:w="4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Performance Ratios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to Average Total Assets (ROA)</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Net Income to Average Shareholders’ Equity (ROE)</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11.38</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17.65</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17.63</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15.27</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15.79</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Efficiency Ratio </w:t>
            </w:r>
            <w:r>
              <w:rPr>
                <w:rFonts w:ascii="Times New Roman" w:cs="Times New Roman" w:eastAsia="Times New Roman" w:hAnsi="Times New Roman"/>
                <w:sz w:val="12"/>
                <w:szCs w:val="12"/>
                <w:color w:val="auto"/>
              </w:rPr>
              <w:t>1</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54.91</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55.68</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56.71</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55.66</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57.01</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Interest Margin </w:t>
            </w:r>
            <w:r>
              <w:rPr>
                <w:rFonts w:ascii="Times New Roman" w:cs="Times New Roman" w:eastAsia="Times New Roman" w:hAnsi="Times New Roman"/>
                <w:sz w:val="12"/>
                <w:szCs w:val="12"/>
                <w:color w:val="auto"/>
              </w:rPr>
              <w:t>2</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2.73</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3.03</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3.05</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2.93</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2.83</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Dividend Payout Ratio </w:t>
            </w:r>
            <w:r>
              <w:rPr>
                <w:rFonts w:ascii="Times New Roman" w:cs="Times New Roman" w:eastAsia="Times New Roman" w:hAnsi="Times New Roman"/>
                <w:sz w:val="12"/>
                <w:szCs w:val="12"/>
                <w:color w:val="auto"/>
              </w:rPr>
              <w:t>3</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69.25</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46.33</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44.49</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46.68</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44.37</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Average Shareholders’ Equity to Average Assets</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6.97</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7.30</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7.34</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7.22</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7.26</w:t>
            </w:r>
          </w:p>
        </w:tc>
      </w:tr>
      <w:tr>
        <w:trPr>
          <w:trHeight w:val="162"/>
        </w:trPr>
        <w:tc>
          <w:tcPr>
            <w:tcW w:w="4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Average Balances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Average Loans and Leases</w:t>
            </w: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11,592.1</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10,668.4</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10,043.7</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9,346.8</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8,362.2</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Average Assets</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19,387.7</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17,537.6</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16,971.0</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16,749.2</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15,825.4</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Average Deposits</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16,900.2</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15,228.1</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14,757.7</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14,505.4</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13,619.5</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Average Shareholders’ Equity</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1,351.6</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1,280.1</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1,245.7</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1,209.1</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1,149.3</w:t>
            </w:r>
          </w:p>
        </w:tc>
      </w:tr>
      <w:tr>
        <w:trPr>
          <w:trHeight w:val="162"/>
        </w:trPr>
        <w:tc>
          <w:tcPr>
            <w:tcW w:w="4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Basic Weighted Average Shares</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39,726,210</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40,384,328</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41,714,770</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42,280,931</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42,644,100</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Diluted Weighted Average Shares</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39,892,107</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40,649,570</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41,999,399</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42,607,057</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42,879,783</w:t>
            </w:r>
          </w:p>
        </w:tc>
      </w:tr>
      <w:tr>
        <w:trPr>
          <w:trHeight w:val="162"/>
        </w:trPr>
        <w:tc>
          <w:tcPr>
            <w:tcW w:w="4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Sheet Totals</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Loans and Leases</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11,940.0</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10,990.9</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10,448.8</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9,797.0</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8,949.8</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20,603.7</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18,095.5</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17,144.0</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17,089.1</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16,492.4</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18,211.6</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15,784.5</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15,027.2</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14,884.0</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14,320.2</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Debt</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60.5</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85.6</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135.6</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260.7</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267.9</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1,374.5</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1,286.8</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1,268.2</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1,231.9</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1,161.5</w:t>
            </w:r>
          </w:p>
        </w:tc>
      </w:tr>
      <w:tr>
        <w:trPr>
          <w:trHeight w:val="162"/>
        </w:trPr>
        <w:tc>
          <w:tcPr>
            <w:tcW w:w="4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Quality</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216.3</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110.0</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106.7</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107.3</w:t>
            </w:r>
          </w:p>
        </w:tc>
        <w:tc>
          <w:tcPr>
            <w:tcW w:w="2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104.3</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18.5</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20.1</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12.9</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16.1</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19.8</w:t>
            </w:r>
          </w:p>
        </w:tc>
      </w:tr>
      <w:tr>
        <w:trPr>
          <w:trHeight w:val="162"/>
        </w:trPr>
        <w:tc>
          <w:tcPr>
            <w:tcW w:w="4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Ratios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Allowance to Loans and Leases Outstanding</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Tier 1 Capital Ratio</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12.06</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12.18</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13.07</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13.24</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13.24</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Capital Ratio</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13.31</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13.28</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14.21</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14.46</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14.49</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Tier 1 Leverage Ratio</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6.71</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7.25</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7.60</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7.26</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7.21</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Shareholders’ Equity to Total Assets</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6.67</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7.11</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7.40</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7.21</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7.04</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Tangible Common Equity to Tangible Assets </w:t>
            </w:r>
            <w:r>
              <w:rPr>
                <w:rFonts w:ascii="Times New Roman" w:cs="Times New Roman" w:eastAsia="Times New Roman" w:hAnsi="Times New Roman"/>
                <w:sz w:val="12"/>
                <w:szCs w:val="12"/>
                <w:color w:val="auto"/>
              </w:rPr>
              <w:t>4</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6.53</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6.95</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7.23</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7.04</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6.86</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Tangible Common Equity to Risk-Weighted Assets </w:t>
            </w:r>
            <w:r>
              <w:rPr>
                <w:rFonts w:ascii="Times New Roman" w:cs="Times New Roman" w:eastAsia="Times New Roman" w:hAnsi="Times New Roman"/>
                <w:sz w:val="12"/>
                <w:szCs w:val="12"/>
                <w:color w:val="auto"/>
              </w:rPr>
              <w:t>4</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11.89</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11.85</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12.52</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12.84</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12.81</w:t>
            </w:r>
          </w:p>
        </w:tc>
      </w:tr>
      <w:tr>
        <w:trPr>
          <w:trHeight w:val="162"/>
        </w:trPr>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Non-Financial Data</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Full-Time Equivalent Employees</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2,124</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2,122</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2,132</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2,122</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Branches and Offices</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68</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69</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69</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69</w:t>
            </w:r>
          </w:p>
        </w:tc>
      </w:tr>
      <w:tr>
        <w:trPr>
          <w:trHeight w:val="16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ATMs</w:t>
            </w:r>
          </w:p>
        </w:tc>
        <w:tc>
          <w:tcPr>
            <w:tcW w:w="12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357</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387</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382</w:t>
            </w:r>
          </w:p>
        </w:tc>
        <w:tc>
          <w:tcPr>
            <w:tcW w:w="2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387</w:t>
            </w:r>
          </w:p>
        </w:tc>
        <w:tc>
          <w:tcPr>
            <w:tcW w:w="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449</w:t>
            </w:r>
          </w:p>
        </w:tc>
      </w:tr>
      <w:tr>
        <w:trPr>
          <w:trHeight w:val="16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Shareholders of Record</w:t>
            </w:r>
          </w:p>
        </w:tc>
        <w:tc>
          <w:tcPr>
            <w:tcW w:w="1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5,490</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5,588</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5,797</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5,982</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6,121</w:t>
            </w:r>
          </w:p>
        </w:tc>
      </w:tr>
    </w:tbl>
    <w:p>
      <w:pPr>
        <w:spacing w:after="0" w:line="85"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Eff</w:t>
      </w:r>
      <w:r>
        <w:rPr>
          <w:rFonts w:ascii="Times New Roman" w:cs="Times New Roman" w:eastAsia="Times New Roman" w:hAnsi="Times New Roman"/>
          <w:sz w:val="14"/>
          <w:szCs w:val="14"/>
          <w:color w:val="auto"/>
        </w:rPr>
        <w:t>iciency ratio is defined as noninterest expense divided by total revenue (net interest income and noninterest income).</w:t>
      </w:r>
    </w:p>
    <w:p>
      <w:pPr>
        <w:ind w:left="200" w:hanging="192"/>
        <w:spacing w:after="0" w:line="226" w:lineRule="auto"/>
        <w:tabs>
          <w:tab w:leader="none" w:pos="2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Net interest margin is defined as net interest income, on a taxable-equivalent basis, as a percentage of average earning assets.</w:t>
      </w:r>
    </w:p>
    <w:p>
      <w:pPr>
        <w:spacing w:after="0" w:line="22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3  </w:t>
      </w:r>
      <w:r>
        <w:rPr>
          <w:rFonts w:ascii="Times New Roman" w:cs="Times New Roman" w:eastAsia="Times New Roman" w:hAnsi="Times New Roman"/>
          <w:sz w:val="14"/>
          <w:szCs w:val="14"/>
          <w:color w:val="auto"/>
        </w:rPr>
        <w:t>Dividend payout ratio is defined as dividends declared per share divided by basic earnings per share.</w:t>
      </w:r>
    </w:p>
    <w:p>
      <w:pPr>
        <w:ind w:left="200" w:right="140" w:hanging="1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 xml:space="preserve">4 </w:t>
      </w:r>
      <w:r>
        <w:rPr>
          <w:rFonts w:ascii="Times New Roman" w:cs="Times New Roman" w:eastAsia="Times New Roman" w:hAnsi="Times New Roman"/>
          <w:sz w:val="14"/>
          <w:szCs w:val="14"/>
          <w:color w:val="auto"/>
        </w:rPr>
        <w:t>Tangible common equity to tangible assets and tangible common equity to risk-weighted assets are Non-GAAP financial measures. See the “Use of Non-GAAP Financial Measures”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3"/>
          <w:szCs w:val="13"/>
          <w:color w:val="auto"/>
        </w:rPr>
        <w:t>section</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3"/>
          <w:szCs w:val="13"/>
          <w:color w:val="auto"/>
        </w:rPr>
        <w:t>below.</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company, they have limitations as analytical tools, and should not be considered in isolation, or as a substitute for analyses of results as reported under GAAP. The following table provides a reconciliation of these Non-GAAP financial measures with their most closely related GAAP measures.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2017</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157"/>
        </w:trPr>
        <w:tc>
          <w:tcPr>
            <w:tcW w:w="570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shd w:val="clear" w:color="auto" w:fill="CFF0FC"/>
          </w:tcPr>
          <w:p>
            <w:pPr>
              <w:jc w:val="right"/>
              <w:ind w:right="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ind w:right="47"/>
              <w:spacing w:after="0" w:line="157" w:lineRule="exact"/>
              <w:rPr>
                <w:sz w:val="20"/>
                <w:szCs w:val="20"/>
                <w:color w:val="auto"/>
              </w:rPr>
            </w:pPr>
            <w:r>
              <w:rPr>
                <w:rFonts w:ascii="Times New Roman" w:cs="Times New Roman" w:eastAsia="Times New Roman" w:hAnsi="Times New Roman"/>
                <w:sz w:val="14"/>
                <w:szCs w:val="14"/>
                <w:color w:val="auto"/>
              </w:rPr>
              <w:t>1,374,507</w:t>
            </w:r>
          </w:p>
        </w:tc>
        <w:tc>
          <w:tcPr>
            <w:tcW w:w="26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27"/>
              <w:spacing w:after="0" w:line="157" w:lineRule="exact"/>
              <w:rPr>
                <w:sz w:val="20"/>
                <w:szCs w:val="20"/>
                <w:color w:val="auto"/>
              </w:rPr>
            </w:pPr>
            <w:r>
              <w:rPr>
                <w:rFonts w:ascii="Times New Roman" w:cs="Times New Roman" w:eastAsia="Times New Roman" w:hAnsi="Times New Roman"/>
                <w:sz w:val="14"/>
                <w:szCs w:val="14"/>
                <w:color w:val="auto"/>
              </w:rPr>
              <w:t>1,286,832</w:t>
            </w:r>
          </w:p>
        </w:tc>
        <w:tc>
          <w:tcPr>
            <w:tcW w:w="22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27"/>
              <w:spacing w:after="0" w:line="157" w:lineRule="exact"/>
              <w:rPr>
                <w:sz w:val="20"/>
                <w:szCs w:val="20"/>
                <w:color w:val="auto"/>
              </w:rPr>
            </w:pPr>
            <w:r>
              <w:rPr>
                <w:rFonts w:ascii="Times New Roman" w:cs="Times New Roman" w:eastAsia="Times New Roman" w:hAnsi="Times New Roman"/>
                <w:sz w:val="14"/>
                <w:szCs w:val="14"/>
                <w:color w:val="auto"/>
              </w:rPr>
              <w:t>1,268,200</w:t>
            </w:r>
          </w:p>
        </w:tc>
        <w:tc>
          <w:tcPr>
            <w:tcW w:w="220" w:type="dxa"/>
            <w:vAlign w:val="bottom"/>
            <w:shd w:val="clear" w:color="auto" w:fill="CFF0FC"/>
          </w:tcPr>
          <w:p>
            <w:pPr>
              <w:jc w:val="right"/>
              <w:ind w:right="8"/>
              <w:spacing w:after="0" w:line="15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27"/>
              <w:spacing w:after="0" w:line="157" w:lineRule="exact"/>
              <w:rPr>
                <w:sz w:val="20"/>
                <w:szCs w:val="20"/>
                <w:color w:val="auto"/>
              </w:rPr>
            </w:pPr>
            <w:r>
              <w:rPr>
                <w:rFonts w:ascii="Times New Roman" w:cs="Times New Roman" w:eastAsia="Times New Roman" w:hAnsi="Times New Roman"/>
                <w:sz w:val="14"/>
                <w:szCs w:val="14"/>
                <w:color w:val="auto"/>
              </w:rPr>
              <w:t>1,231,868</w:t>
            </w:r>
          </w:p>
        </w:tc>
        <w:tc>
          <w:tcPr>
            <w:tcW w:w="220" w:type="dxa"/>
            <w:vAlign w:val="bottom"/>
            <w:shd w:val="clear" w:color="auto" w:fill="CFF0FC"/>
          </w:tcPr>
          <w:p>
            <w:pPr>
              <w:jc w:val="right"/>
              <w:ind w:right="8"/>
              <w:spacing w:after="0" w:line="15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67"/>
              <w:spacing w:after="0" w:line="157" w:lineRule="exact"/>
              <w:rPr>
                <w:sz w:val="20"/>
                <w:szCs w:val="20"/>
                <w:color w:val="auto"/>
              </w:rPr>
            </w:pPr>
            <w:r>
              <w:rPr>
                <w:rFonts w:ascii="Times New Roman" w:cs="Times New Roman" w:eastAsia="Times New Roman" w:hAnsi="Times New Roman"/>
                <w:sz w:val="14"/>
                <w:szCs w:val="14"/>
                <w:color w:val="auto"/>
              </w:rPr>
              <w:t>1,161,537</w:t>
            </w:r>
          </w:p>
        </w:tc>
        <w:tc>
          <w:tcPr>
            <w:tcW w:w="0" w:type="dxa"/>
            <w:vAlign w:val="bottom"/>
          </w:tcPr>
          <w:p>
            <w:pPr>
              <w:spacing w:after="0"/>
              <w:rPr>
                <w:sz w:val="1"/>
                <w:szCs w:val="1"/>
                <w:color w:val="auto"/>
              </w:rPr>
            </w:pPr>
          </w:p>
        </w:tc>
      </w:tr>
      <w:tr>
        <w:trPr>
          <w:trHeight w:val="162"/>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Less: Goodwill</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31,517</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31,517</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31,517</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31,517</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31,517</w:t>
            </w:r>
          </w:p>
        </w:tc>
        <w:tc>
          <w:tcPr>
            <w:tcW w:w="0" w:type="dxa"/>
            <w:vAlign w:val="bottom"/>
          </w:tcPr>
          <w:p>
            <w:pPr>
              <w:spacing w:after="0"/>
              <w:rPr>
                <w:sz w:val="1"/>
                <w:szCs w:val="1"/>
                <w:color w:val="auto"/>
              </w:rPr>
            </w:pPr>
          </w:p>
        </w:tc>
      </w:tr>
      <w:tr>
        <w:trPr>
          <w:trHeight w:val="156"/>
        </w:trPr>
        <w:tc>
          <w:tcPr>
            <w:tcW w:w="570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Tangible Common Equity</w:t>
            </w: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Times New Roman" w:cs="Times New Roman" w:eastAsia="Times New Roman" w:hAnsi="Times New Roman"/>
                <w:sz w:val="14"/>
                <w:szCs w:val="14"/>
                <w:color w:val="auto"/>
              </w:rPr>
              <w:t>1,342,990</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ind w:right="127"/>
              <w:spacing w:after="0" w:line="155" w:lineRule="exact"/>
              <w:rPr>
                <w:sz w:val="20"/>
                <w:szCs w:val="20"/>
                <w:color w:val="auto"/>
              </w:rPr>
            </w:pPr>
            <w:r>
              <w:rPr>
                <w:rFonts w:ascii="Times New Roman" w:cs="Times New Roman" w:eastAsia="Times New Roman" w:hAnsi="Times New Roman"/>
                <w:sz w:val="14"/>
                <w:szCs w:val="14"/>
                <w:color w:val="auto"/>
              </w:rPr>
              <w:t>1,255,315</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ind w:right="127"/>
              <w:spacing w:after="0" w:line="155" w:lineRule="exact"/>
              <w:rPr>
                <w:sz w:val="20"/>
                <w:szCs w:val="20"/>
                <w:color w:val="auto"/>
              </w:rPr>
            </w:pPr>
            <w:r>
              <w:rPr>
                <w:rFonts w:ascii="Times New Roman" w:cs="Times New Roman" w:eastAsia="Times New Roman" w:hAnsi="Times New Roman"/>
                <w:sz w:val="14"/>
                <w:szCs w:val="14"/>
                <w:color w:val="auto"/>
              </w:rPr>
              <w:t>1,236,683</w:t>
            </w:r>
          </w:p>
        </w:tc>
        <w:tc>
          <w:tcPr>
            <w:tcW w:w="2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ind w:right="127"/>
              <w:spacing w:after="0" w:line="155" w:lineRule="exact"/>
              <w:rPr>
                <w:sz w:val="20"/>
                <w:szCs w:val="20"/>
                <w:color w:val="auto"/>
              </w:rPr>
            </w:pPr>
            <w:r>
              <w:rPr>
                <w:rFonts w:ascii="Times New Roman" w:cs="Times New Roman" w:eastAsia="Times New Roman" w:hAnsi="Times New Roman"/>
                <w:sz w:val="14"/>
                <w:szCs w:val="14"/>
                <w:color w:val="auto"/>
              </w:rPr>
              <w:t>1,200,351</w:t>
            </w:r>
          </w:p>
        </w:tc>
        <w:tc>
          <w:tcPr>
            <w:tcW w:w="2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67"/>
              <w:spacing w:after="0" w:line="155" w:lineRule="exact"/>
              <w:rPr>
                <w:sz w:val="20"/>
                <w:szCs w:val="20"/>
                <w:color w:val="auto"/>
              </w:rPr>
            </w:pPr>
            <w:r>
              <w:rPr>
                <w:rFonts w:ascii="Times New Roman" w:cs="Times New Roman" w:eastAsia="Times New Roman" w:hAnsi="Times New Roman"/>
                <w:sz w:val="14"/>
                <w:szCs w:val="14"/>
                <w:color w:val="auto"/>
              </w:rPr>
              <w:t>1,130,020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47"/>
              <w:spacing w:after="0" w:line="143" w:lineRule="exact"/>
              <w:rPr>
                <w:sz w:val="20"/>
                <w:szCs w:val="20"/>
                <w:color w:val="auto"/>
              </w:rPr>
            </w:pPr>
            <w:r>
              <w:rPr>
                <w:rFonts w:ascii="Times New Roman" w:cs="Times New Roman" w:eastAsia="Times New Roman" w:hAnsi="Times New Roman"/>
                <w:sz w:val="14"/>
                <w:szCs w:val="14"/>
                <w:color w:val="auto"/>
              </w:rPr>
              <w:t>20,603,651</w:t>
            </w:r>
          </w:p>
        </w:tc>
        <w:tc>
          <w:tcPr>
            <w:tcW w:w="2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7"/>
              <w:spacing w:after="0" w:line="143" w:lineRule="exact"/>
              <w:rPr>
                <w:sz w:val="20"/>
                <w:szCs w:val="20"/>
                <w:color w:val="auto"/>
              </w:rPr>
            </w:pPr>
            <w:r>
              <w:rPr>
                <w:rFonts w:ascii="Times New Roman" w:cs="Times New Roman" w:eastAsia="Times New Roman" w:hAnsi="Times New Roman"/>
                <w:sz w:val="14"/>
                <w:szCs w:val="14"/>
                <w:color w:val="auto"/>
              </w:rPr>
              <w:t>18,095,496</w:t>
            </w:r>
          </w:p>
        </w:tc>
        <w:tc>
          <w:tcPr>
            <w:tcW w:w="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7"/>
              <w:spacing w:after="0" w:line="143" w:lineRule="exact"/>
              <w:rPr>
                <w:sz w:val="20"/>
                <w:szCs w:val="20"/>
                <w:color w:val="auto"/>
              </w:rPr>
            </w:pPr>
            <w:r>
              <w:rPr>
                <w:rFonts w:ascii="Times New Roman" w:cs="Times New Roman" w:eastAsia="Times New Roman" w:hAnsi="Times New Roman"/>
                <w:sz w:val="14"/>
                <w:szCs w:val="14"/>
                <w:color w:val="auto"/>
              </w:rPr>
              <w:t>17,143,974</w:t>
            </w:r>
          </w:p>
        </w:tc>
        <w:tc>
          <w:tcPr>
            <w:tcW w:w="220" w:type="dxa"/>
            <w:vAlign w:val="bottom"/>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7"/>
              <w:spacing w:after="0" w:line="143" w:lineRule="exact"/>
              <w:rPr>
                <w:sz w:val="20"/>
                <w:szCs w:val="20"/>
                <w:color w:val="auto"/>
              </w:rPr>
            </w:pPr>
            <w:r>
              <w:rPr>
                <w:rFonts w:ascii="Times New Roman" w:cs="Times New Roman" w:eastAsia="Times New Roman" w:hAnsi="Times New Roman"/>
                <w:sz w:val="14"/>
                <w:szCs w:val="14"/>
                <w:color w:val="auto"/>
              </w:rPr>
              <w:t>17,089,052</w:t>
            </w:r>
          </w:p>
        </w:tc>
        <w:tc>
          <w:tcPr>
            <w:tcW w:w="220" w:type="dxa"/>
            <w:vAlign w:val="bottom"/>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7"/>
              <w:spacing w:after="0" w:line="143" w:lineRule="exact"/>
              <w:rPr>
                <w:sz w:val="20"/>
                <w:szCs w:val="20"/>
                <w:color w:val="auto"/>
              </w:rPr>
            </w:pPr>
            <w:r>
              <w:rPr>
                <w:rFonts w:ascii="Times New Roman" w:cs="Times New Roman" w:eastAsia="Times New Roman" w:hAnsi="Times New Roman"/>
                <w:sz w:val="14"/>
                <w:szCs w:val="14"/>
                <w:color w:val="auto"/>
              </w:rPr>
              <w:t>16,492,367</w:t>
            </w:r>
          </w:p>
        </w:tc>
        <w:tc>
          <w:tcPr>
            <w:tcW w:w="0" w:type="dxa"/>
            <w:vAlign w:val="bottom"/>
          </w:tcPr>
          <w:p>
            <w:pPr>
              <w:spacing w:after="0"/>
              <w:rPr>
                <w:sz w:val="1"/>
                <w:szCs w:val="1"/>
                <w:color w:val="auto"/>
              </w:rPr>
            </w:pPr>
          </w:p>
        </w:tc>
      </w:tr>
      <w:tr>
        <w:trPr>
          <w:trHeight w:val="162"/>
        </w:trPr>
        <w:tc>
          <w:tcPr>
            <w:tcW w:w="57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Goodwill</w:t>
            </w:r>
          </w:p>
        </w:tc>
        <w:tc>
          <w:tcPr>
            <w:tcW w:w="1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31,517</w:t>
            </w:r>
          </w:p>
        </w:tc>
        <w:tc>
          <w:tcPr>
            <w:tcW w:w="2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27"/>
              <w:spacing w:after="0"/>
              <w:rPr>
                <w:sz w:val="20"/>
                <w:szCs w:val="20"/>
                <w:color w:val="auto"/>
              </w:rPr>
            </w:pPr>
            <w:r>
              <w:rPr>
                <w:rFonts w:ascii="Times New Roman" w:cs="Times New Roman" w:eastAsia="Times New Roman" w:hAnsi="Times New Roman"/>
                <w:sz w:val="14"/>
                <w:szCs w:val="14"/>
                <w:color w:val="auto"/>
              </w:rPr>
              <w:t>31,517</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27"/>
              <w:spacing w:after="0"/>
              <w:rPr>
                <w:sz w:val="20"/>
                <w:szCs w:val="20"/>
                <w:color w:val="auto"/>
              </w:rPr>
            </w:pPr>
            <w:r>
              <w:rPr>
                <w:rFonts w:ascii="Times New Roman" w:cs="Times New Roman" w:eastAsia="Times New Roman" w:hAnsi="Times New Roman"/>
                <w:sz w:val="14"/>
                <w:szCs w:val="14"/>
                <w:color w:val="auto"/>
              </w:rPr>
              <w:t>31,517</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27"/>
              <w:spacing w:after="0"/>
              <w:rPr>
                <w:sz w:val="20"/>
                <w:szCs w:val="20"/>
                <w:color w:val="auto"/>
              </w:rPr>
            </w:pPr>
            <w:r>
              <w:rPr>
                <w:rFonts w:ascii="Times New Roman" w:cs="Times New Roman" w:eastAsia="Times New Roman" w:hAnsi="Times New Roman"/>
                <w:sz w:val="14"/>
                <w:szCs w:val="14"/>
                <w:color w:val="auto"/>
              </w:rPr>
              <w:t>31,517</w:t>
            </w: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67"/>
              <w:spacing w:after="0"/>
              <w:rPr>
                <w:sz w:val="20"/>
                <w:szCs w:val="20"/>
                <w:color w:val="auto"/>
              </w:rPr>
            </w:pPr>
            <w:r>
              <w:rPr>
                <w:rFonts w:ascii="Times New Roman" w:cs="Times New Roman" w:eastAsia="Times New Roman" w:hAnsi="Times New Roman"/>
                <w:sz w:val="14"/>
                <w:szCs w:val="14"/>
                <w:color w:val="auto"/>
              </w:rPr>
              <w:t>31,517</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Tangible Assets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47"/>
              <w:spacing w:after="0" w:line="155" w:lineRule="exact"/>
              <w:rPr>
                <w:sz w:val="20"/>
                <w:szCs w:val="20"/>
                <w:color w:val="auto"/>
              </w:rPr>
            </w:pPr>
            <w:r>
              <w:rPr>
                <w:rFonts w:ascii="Times New Roman" w:cs="Times New Roman" w:eastAsia="Times New Roman" w:hAnsi="Times New Roman"/>
                <w:sz w:val="14"/>
                <w:szCs w:val="14"/>
                <w:color w:val="auto"/>
              </w:rPr>
              <w:t>20,572,134</w:t>
            </w:r>
          </w:p>
        </w:tc>
        <w:tc>
          <w:tcPr>
            <w:tcW w:w="2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27"/>
              <w:spacing w:after="0" w:line="155" w:lineRule="exact"/>
              <w:rPr>
                <w:sz w:val="20"/>
                <w:szCs w:val="20"/>
                <w:color w:val="auto"/>
              </w:rPr>
            </w:pPr>
            <w:r>
              <w:rPr>
                <w:rFonts w:ascii="Times New Roman" w:cs="Times New Roman" w:eastAsia="Times New Roman" w:hAnsi="Times New Roman"/>
                <w:sz w:val="14"/>
                <w:szCs w:val="14"/>
                <w:color w:val="auto"/>
              </w:rPr>
              <w:t>18,063,979</w:t>
            </w:r>
          </w:p>
        </w:tc>
        <w:tc>
          <w:tcPr>
            <w:tcW w:w="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27"/>
              <w:spacing w:after="0" w:line="155" w:lineRule="exact"/>
              <w:rPr>
                <w:sz w:val="20"/>
                <w:szCs w:val="20"/>
                <w:color w:val="auto"/>
              </w:rPr>
            </w:pPr>
            <w:r>
              <w:rPr>
                <w:rFonts w:ascii="Times New Roman" w:cs="Times New Roman" w:eastAsia="Times New Roman" w:hAnsi="Times New Roman"/>
                <w:sz w:val="14"/>
                <w:szCs w:val="14"/>
                <w:color w:val="auto"/>
              </w:rPr>
              <w:t>17,112,457</w:t>
            </w:r>
          </w:p>
        </w:tc>
        <w:tc>
          <w:tcPr>
            <w:tcW w:w="22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27"/>
              <w:spacing w:after="0" w:line="155" w:lineRule="exact"/>
              <w:rPr>
                <w:sz w:val="20"/>
                <w:szCs w:val="20"/>
                <w:color w:val="auto"/>
              </w:rPr>
            </w:pPr>
            <w:r>
              <w:rPr>
                <w:rFonts w:ascii="Times New Roman" w:cs="Times New Roman" w:eastAsia="Times New Roman" w:hAnsi="Times New Roman"/>
                <w:sz w:val="14"/>
                <w:szCs w:val="14"/>
                <w:color w:val="auto"/>
              </w:rPr>
              <w:t>17,057,535</w:t>
            </w:r>
          </w:p>
        </w:tc>
        <w:tc>
          <w:tcPr>
            <w:tcW w:w="22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7"/>
              <w:spacing w:after="0" w:line="155" w:lineRule="exact"/>
              <w:rPr>
                <w:sz w:val="20"/>
                <w:szCs w:val="20"/>
                <w:color w:val="auto"/>
              </w:rPr>
            </w:pPr>
            <w:r>
              <w:rPr>
                <w:rFonts w:ascii="Times New Roman" w:cs="Times New Roman" w:eastAsia="Times New Roman" w:hAnsi="Times New Roman"/>
                <w:sz w:val="14"/>
                <w:szCs w:val="14"/>
                <w:color w:val="auto"/>
              </w:rPr>
              <w:t>16,460,850</w:t>
            </w:r>
          </w:p>
        </w:tc>
        <w:tc>
          <w:tcPr>
            <w:tcW w:w="0" w:type="dxa"/>
            <w:vAlign w:val="bottom"/>
          </w:tcPr>
          <w:p>
            <w:pPr>
              <w:spacing w:after="0"/>
              <w:rPr>
                <w:sz w:val="1"/>
                <w:szCs w:val="1"/>
                <w:color w:val="auto"/>
              </w:rPr>
            </w:pPr>
          </w:p>
        </w:tc>
      </w:tr>
      <w:tr>
        <w:trPr>
          <w:trHeight w:val="120"/>
        </w:trPr>
        <w:tc>
          <w:tcPr>
            <w:tcW w:w="570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3"/>
                <w:szCs w:val="13"/>
                <w:color w:val="auto"/>
              </w:rPr>
              <w:t>Risk-Weighted Assets, determined in accordance with prescribed</w:t>
            </w: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11,295,077</w:t>
            </w: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ind w:right="127"/>
              <w:spacing w:after="0"/>
              <w:rPr>
                <w:sz w:val="20"/>
                <w:szCs w:val="20"/>
                <w:color w:val="auto"/>
              </w:rPr>
            </w:pPr>
            <w:r>
              <w:rPr>
                <w:rFonts w:ascii="Times New Roman" w:cs="Times New Roman" w:eastAsia="Times New Roman" w:hAnsi="Times New Roman"/>
                <w:sz w:val="14"/>
                <w:szCs w:val="14"/>
                <w:color w:val="auto"/>
              </w:rPr>
              <w:t>10,589,061</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ind w:right="127"/>
              <w:spacing w:after="0"/>
              <w:rPr>
                <w:sz w:val="20"/>
                <w:szCs w:val="20"/>
                <w:color w:val="auto"/>
              </w:rPr>
            </w:pPr>
            <w:r>
              <w:rPr>
                <w:rFonts w:ascii="Times New Roman" w:cs="Times New Roman" w:eastAsia="Times New Roman" w:hAnsi="Times New Roman"/>
                <w:sz w:val="14"/>
                <w:szCs w:val="14"/>
                <w:color w:val="auto"/>
              </w:rPr>
              <w:t>9,878,904</w:t>
            </w:r>
          </w:p>
        </w:tc>
        <w:tc>
          <w:tcPr>
            <w:tcW w:w="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ind w:right="127"/>
              <w:spacing w:after="0"/>
              <w:rPr>
                <w:sz w:val="20"/>
                <w:szCs w:val="20"/>
                <w:color w:val="auto"/>
              </w:rPr>
            </w:pPr>
            <w:r>
              <w:rPr>
                <w:rFonts w:ascii="Times New Roman" w:cs="Times New Roman" w:eastAsia="Times New Roman" w:hAnsi="Times New Roman"/>
                <w:sz w:val="14"/>
                <w:szCs w:val="14"/>
                <w:color w:val="auto"/>
              </w:rPr>
              <w:t>9,348,296</w:t>
            </w:r>
          </w:p>
        </w:tc>
        <w:tc>
          <w:tcPr>
            <w:tcW w:w="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4"/>
                <w:szCs w:val="14"/>
                <w:color w:val="auto"/>
              </w:rPr>
              <w:t>8,823,485</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regulatory requirements</w:t>
            </w: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Total Shareholders’ Equity to Total Assets</w:t>
            </w:r>
          </w:p>
        </w:tc>
        <w:tc>
          <w:tcPr>
            <w:tcW w:w="160" w:type="dxa"/>
            <w:vAlign w:val="bottom"/>
          </w:tcPr>
          <w:p>
            <w:pPr>
              <w:spacing w:after="0"/>
              <w:rPr>
                <w:sz w:val="12"/>
                <w:szCs w:val="12"/>
                <w:color w:val="auto"/>
              </w:rPr>
            </w:pPr>
          </w:p>
        </w:tc>
        <w:tc>
          <w:tcPr>
            <w:tcW w:w="840" w:type="dxa"/>
            <w:vAlign w:val="bottom"/>
          </w:tcPr>
          <w:p>
            <w:pPr>
              <w:jc w:val="right"/>
              <w:ind w:right="47"/>
              <w:spacing w:after="0" w:line="143" w:lineRule="exact"/>
              <w:rPr>
                <w:sz w:val="20"/>
                <w:szCs w:val="20"/>
                <w:color w:val="auto"/>
              </w:rPr>
            </w:pPr>
            <w:r>
              <w:rPr>
                <w:rFonts w:ascii="Times New Roman" w:cs="Times New Roman" w:eastAsia="Times New Roman" w:hAnsi="Times New Roman"/>
                <w:sz w:val="14"/>
                <w:szCs w:val="14"/>
                <w:color w:val="auto"/>
              </w:rPr>
              <w:t>6.67%</w:t>
            </w:r>
          </w:p>
        </w:tc>
        <w:tc>
          <w:tcPr>
            <w:tcW w:w="26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7.11%</w:t>
            </w:r>
          </w:p>
        </w:tc>
        <w:tc>
          <w:tcPr>
            <w:tcW w:w="22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7.40%</w:t>
            </w:r>
          </w:p>
        </w:tc>
        <w:tc>
          <w:tcPr>
            <w:tcW w:w="22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7.21%</w:t>
            </w:r>
          </w:p>
        </w:tc>
        <w:tc>
          <w:tcPr>
            <w:tcW w:w="22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Tangible Common Equity to Tangible Assets (Non-GAAP)</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6.53%</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Tier 1 Capital Ratio</w:t>
            </w:r>
          </w:p>
        </w:tc>
        <w:tc>
          <w:tcPr>
            <w:tcW w:w="16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12.06%</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Tangible Common Equity to Risk-Weighted Assets (Non-GAAP)</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4"/>
                <w:szCs w:val="14"/>
                <w:color w:val="auto"/>
              </w:rPr>
              <w:t>11.89%</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Company and its operations and is focused on our 2020 and 2019 financial results, including comparisons of year-to-year performance between these years. Discussion and analysis of our 2018 fiscal year, as well as the year-to-year comparison between 2019 and 2018, are included "Management's Discussion and Analysis of Financial Condition and Results of Operations" in Part II, Item 7 in our Annual Report on Form 10-K for the fiscal year ended December 31, 2019, filed with the SEC on March 2, 2020.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the compounding effects of the COVID-19 pandemic, including reduced tourism in Hawaii, the duration and scope of government mandates or other limitations of or restrictions on travel, volatility in the international and national economy and credit markets, worker absenteeism, quarantines or other travel or health-related restrictions, the length and severity of the COVID-19 pandemic, the pace of recovery following the COVID-19 pandemic, and the effect of government, business and individual actions intended to mitigate the effects of the COVID-19 pandemic; 3) changes in market interest rates that may affect credit markets and our ability to maintain our net interest margin; 4) changes in our credit quality or risk profile that may increase or decrease the required level of our reserve for credit losses; 5) the impact of legislative and regulatory initiatives, particularly the Dodd-Frank Wall Street Reform and Consumer Protection Act of 2010 (the “Dodd-Frank Act”) and Economic Growth, Regulatory Relief, and Consumer Protection Act of 2018; 6) changes to the amount and timing of proposed common stock repurchases; 7) unanticipated changes in the securities markets, public debt markets, and other capital markets in the U.S. and internationally, including, without limitation, the anticipated elimination of the London Interbank Offered Rate (“LIBOR”) as a benchmark interest rate; 8) changes in fiscal and monetary policies of the markets in which we operate; 9) the increased cost of maintaining or the Company’s ability to maintain adequate liquidity and capital, based on the requirements adopted by the Basel Committee on Banking Supervision and U.S. regulators; 10) changes in accounting standards;</w:t>
      </w:r>
    </w:p>
    <w:p>
      <w:pPr>
        <w:spacing w:after="0" w:line="206" w:lineRule="exact"/>
        <w:rPr>
          <w:sz w:val="20"/>
          <w:szCs w:val="20"/>
          <w:color w:val="auto"/>
        </w:rPr>
      </w:pPr>
    </w:p>
    <w:p>
      <w:pPr>
        <w:ind w:right="20" w:firstLine="8"/>
        <w:spacing w:after="0" w:line="251" w:lineRule="auto"/>
        <w:tabs>
          <w:tab w:leader="none" w:pos="2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including Public Law 115-97, commonly known as the Tax Cuts and Jobs Act, or the interpretation of such laws and regulations; 12) any failure in or breach of our operational systems, information systems or infrastructure, or those of our merchants, third party vendors and other service providers; 13) any interruption or breach of security of our information systems resulting in failures or disruptions in customer account management, general ledger processing, and loan or deposit systems; 14) natural disasters, public unrest or adverse weather, public health, disease outbreaks, and other conditions impacting us and our customers’ operations or negatively impacting the tourism industry in Hawaii; 15) competitive pressures in the markets for financial services and products; 16) actual or alleged conduct which could harm our reputation; and 17) the impact of litigation and regulatory investigations of the Company, including costs, expenses, settlements, and judgments.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 of this report.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were prepared in accordance with U.S. generally accepted accounting principles (“GAAP”) and follow general practices within the industries in which we operate. The most significant accounting policies we follow are presented in Note 1 to the Consolidated Financial Statements. Application of these principles requires us to make estimates, assumptions, and judgments that affect the amounts reported in the Consolidated Financial Statements and accompanying notes. Most accounting policies are not considered by management to be critical accounting policies. Several factors are considered in determining whether or not a policy is critical in the preparation of the Consolidated Financial</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These factors include among other things, whether the policy requires management to make difficult, subjective, and complex judgments about matters that are inherently uncertain and because it is likely that materially different amounts would be reported under different conditions or using different assumptions. The accounting policies which we believe to be most critical in preparing our Consolidated Financial Statements are those that are related to the determination of the reserve for credit losses, fair value estimates, leased asset residual values,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Credit Losses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consequence of lending activities is that we may incur credit losses. The amount of such losses will vary depending upon the risk characteristics of the loan and lease portfolio as affected by economic conditions such as rising interest rates and the financial performance of borrowers.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reserve for credit losses consists of the allowance for credit losses (the “Allowance”) and the reserve for unfunded commitments (the “Unfunded Reserve”). As of December 31, 2020, the reserve for credit losses also included a reserve for accrued interest receivable related to loans in which interest payment forbearances were granted to borrowers impacted by the COVID-19 pandemic. As a result of our January 1, 2020, adoption of ASU No. 2016-13,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and its related amendments, our methodology for estimating the reserve for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changed significantly from December 31, 2019. The standard replaced the “incurred loss” approach with an “expected loss” approach known as current expected credit loss (“CECL”). The CECL approach requires an estimate of the credit losses expected over the life of an exposure (or pool of exposures). It removes the incurred loss approach’s threshold that delayed the recognition of a credit loss until it was “probable” a loss event was “incurred.”</w:t>
      </w:r>
    </w:p>
    <w:p>
      <w:pPr>
        <w:spacing w:after="0" w:line="200" w:lineRule="exact"/>
        <w:rPr>
          <w:sz w:val="20"/>
          <w:szCs w:val="20"/>
          <w:color w:val="auto"/>
        </w:rPr>
      </w:pPr>
    </w:p>
    <w:p>
      <w:pPr>
        <w:spacing w:after="0" w:line="2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We then consider whether the historical loss experience should be adjusted for asset-specific risk characteristics or current conditions at the reporting date that did not exist over the period from which historical experience was used. Finally, we consider forecasts about future economic conditions that are reasonable and supportable.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determined by estimating future draws and applying the expected loss rates on those draws.</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Management’s evaluation of the appropriateness of the reserve for credit losses is often the most critical of accounting estimates for a financial institution. Our determination of the amount of the reserve for credit losses is a critical accounting estimate as it requires significant reliance on the credit risk rating we assign to individual borrowers, the use of estimates and significant judgment as to the amount and timing of expected future cash flows on criticized loans, significant reliance on historical loss rates on homogenous portfolios, consideration of our quantitative and qualitative evaluation of economic factors, and the reliance on our reasonable and supportable forecasts. While our methodology in establishing the reserve for credit losses attributes portions of the Allowance and Unfunded Reserve to the commercial and consumer portfolio segments, the entire Allowance and Unfunded Reserve is available to absorb credit losses inherent in the total loan and lease portfolio and total amount of unfunded credit commitments,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reserve for credit losses related to our commercial portfolio segment is generally most sensitive to the credit risk rating assigned to each</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borrower. Commercial loan risk ratings are evaluated based on each situation by experienced senior credit officers and are subject to periodic review by an independent internal team of credit specialists. The reserve for credit losses related to our consumer portfolio segment is generally most sensitive to economic assumptions and delinquency trends. The reserve for credit losses attributable to each portfolio segment also includes an amount for inherent risks not reflected in the historical analyses. Relevant factors include, but are not limited to, concentrations of credit risk (geographic, large borrower, and industry), economic trends and conditions, changes in underwriting standards, experience and depth of lending staff, trends in delinquencies, and the level of criticized loans.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to the reserve for credit losses, and therefore, greater volatility to our reported earnings. See Notes 1 and 4 to the Consolidated Financial Statements and the “Corporate Risk Profile - Credit Risk” section in Management’s Discussion and Analysis of Financial Condition and Results of Operations (“MD&amp;A”) for more information on the Allowance and the Unfunded Reserve.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0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measurements, we maximize the use of observable inputs and minimize the use of unobservable inputs.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fair value hierarchy defines Level 1 valuations as those based on quoted prices, unadjusted, for identical instruments traded in active markets. Level 2 valuations are those based on quoted prices for similar instruments in active markets, quoted prices for identical or similar instruments in markets that are not active, or model-based valuation techniques for which all significant assumptions are observable in the market. Level 3 valuations are based on model-based techniques that use at least one significant assumption not observable in the market, or significant management judgment or estimation, some of which may be internally developed.</w:t>
      </w:r>
    </w:p>
    <w:p>
      <w:pPr>
        <w:spacing w:after="0" w:line="14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Financial assets that are recorded at fair value on a recurring basis include available-for-sale investment securities, loans held for sale, mortgage servicing rights, investments related to deferred compensation arrangements, and derivative financial instruments. As of December 31, 2020, and December 31, 2019, $4.0 billion or 20% and $2.7 billion or 15%, respectively, of our total assets consisted of financial assets recorded at fair value on a recurring basis and most of these financial assets consisted of available-for-sale investment securities measured using information from a third-party pricing service. These investments in debt securities and mortgage-backed securities were all classified in either Levels 1 or 2 of the fair value</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hierarchy. Financial liabilities that are recorded at fair value on a recurring basis are comprised of derivative financial instruments. As of December 31, 2020, and December 31, 2019, $17.4 million and $6.4 million, respectively, or less than 1% of our total liabilities consisted of financial liabilities recorded at fair value on a recurring basis. As of December 31, 2020, and December 31, 2019, Level 3 financial assets recorded at fair value on a recurring basis were $96.4 million and $29.7 million, respectively, or less than 1% of our total assets, and were comprised of mortgage servicing rights and derivative financial instruments. As of December 31, 2020, and December 31, 2019, Level 3 financial liabilities recorded at fair value on a recurring basis were $17.4 million and $6.1 million, respectively, or less than 1% of our total liabilities, and were comprised of derivative financial instruments.</w:t>
      </w:r>
    </w:p>
    <w:p>
      <w:pPr>
        <w:spacing w:after="0" w:line="1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third-party pricing service makes no representations or warranties that the pricing data provided to us is complete or free from errors, omissions, or defects. As a result, we have processes in place to monitor and periodically review the information provided to us by our third-party pricing service such as: 1) Our third-party pricing service provides us with documentation by asset class of inputs and methodologies used to value securities. We review this documentation to evaluate the inputs and valuation methodologies used to place securities into the appropriate level of the fair value hierarchy. This documentation is periodically updated by our third-party pricing service. Accordingly, transfers of securities within the fair value hierarchy are made if deemed necessary. 2) On a quarterly basis, management also selects a sample of securities priced by the Company’s third-party pricing service and reviews the significant assumptions and valuation methodologies used by the pricing service with respect to those securities. The information provided is comprised of market reference data, which may include reported trades; bids, offers, or broker-dealer dealer quotes; benchmark yields and spreads; as well as other reference data as appropriate. Periodically, based on these reviews, management determines whether the current placement of the security in the fair value hierarchy is appropriate or whether transfers may be warranted. 3) On a quarterly basis, management reviews the pricing information received from our third-party pricing service. This review process includes a comparison to a second source. 4) Our third-party pricing service has also established processes for us to submit inquiries regarding quoted prices. Periodically, we will challenge the quoted prices provided by our third-party pricing service. Our third-party pricing service will review the inputs to the evaluation in light of the new market data presented by us. Our third-party pricing service may then affirm the original quoted price or may update the evaluation on a going forward basis. Generally, we do not adjust the price from the third-party service provider. 5) On an annual basis, we obtain and review the third-party’s most recently issued Service Organization Controls report related to controls placed in operation and tests of operating effectiveness, to update our understanding of the third-party pricing service’s control environment.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21 to the Consolidated Financial Statements for more information on our fair value measurements.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our liabilities for income taxes based on current tax regulations and interpretations in tax jurisdictions where our income is subject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Currently, we file tax returns for federal, six state and local domestic jurisdictions, and three foreign jurisdictions. In estimating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payable or receivable, we assess the relative merits and risks of the appropriate tax treatment considering statutory, judicial, and regulatory guidance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context of each tax position. Accordingly, previously estimated liabilities are regularly reevaluated and adjusted through the provision for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Changes in the estimate of income taxes payable or receivable occur periodically due to changes in tax rates, interpretations of tax law, the status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examinations being conducted by various taxing authorities, and newly enacted statutory, judicial and regulatory guidance that impact the relative merits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risks of each tax position. These changes, when they occur, may affect the provision for income taxes as well as current and deferred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be significant to our statements of income and condition.</w:t>
      </w:r>
    </w:p>
    <w:p>
      <w:pPr>
        <w:spacing w:after="0" w:line="1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Management's determination of the realization of net deferred tax assets is based upon management's judgment of various future events and uncertainties, including the timing and amount of future income, as well as the implementation of various tax planning strategies to maximize realization of the deferred tax assets. A valuation allowance is provided when it is more likely than not that some portion of the deferred tax asset will not be realized. As of December 31, 2020, and December 31, 2019, we carried a valuation allowance of $3.6 million and $2.5 million, respectively, related to our deferred tax assets established in connection with our low-income housing investments.</w:t>
      </w:r>
    </w:p>
    <w:p>
      <w:pPr>
        <w:spacing w:after="0" w:line="14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are also required to record a liability, referred to as an unrecognized tax benefit ("UTB"), for the entire amount of benefit taken in a prior or future income tax return when we determine that a tax position has a less than 50% likelihood of being accepted by the taxing authority. As of December 31, 2020, and December 31, 2019, our liabilities for UTBs were $5.4 million and $6.1 million, respectively.</w:t>
      </w:r>
    </w:p>
    <w:p>
      <w:pPr>
        <w:spacing w:after="0" w:line="14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2020, the Company recognized federal and State of Hawaii investment tax credits from energy investments. The Company uses the deferral method of accounting for its investment tax credit with the benefit recognized in the provision for income taxes. These credits reduced the Company's provision for income taxes by $3.1 million, 4.1 million, and 5.0 million in 2020, 2019, and 2018,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are a regional financial services company serving businesses, consumers, and governments in Hawaii, Guam, and other Pacific Islands. Our principal operating subsidiary, the Bank, was founded in 1897.</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business strategy is to use our unique market knowledge, prudent management discipline and brand strength to deliver exceptional value to our stakeholders. Our business plan is balanced between growth and risk management while maintaining flexibility to adjust to economic changes. We will continue to focus on providing customers with best-in-class service and an innovative mix of products and services. We will also remain focused on continuing to deliver strong financial results while maintaining prudent risk and capital management strategies as well as our commitment to support our local communities.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Hawaii Economy</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year 2020 began with overall healthy economic conditions in Hawaii that were sharply impacted by a shut-down of tourism at the end of March in an attempt to isolate the State from additional travel-related transmission of COVID-19. The actions taken by the State of Hawaii beginning in March were imposed to mitigate the spread and lessen the public health impact of the COVID-19 pandemic in Hawaii. Although at-risk industries of leisure and hospitality represents 19% of jobs and 10% of Hawaii’s GDP, Hawaii benefits from a wide range of industries that help to provide stability in the case of economic shocks. Federal government jobs, primarily military, have historically been a stabilizing part of Hawaii’s economy and represent about 20% of GDP. Construction activity, including the Honolulu Rail Project, and other non-visitor-related activities have continued despite COVID-19. Hawaii’s large retiree population also contributes to a stable economic base. Notwithstanding the foregoing, the Hawaii economy will likely continue to face significant challenges in the near future.</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taken and continue to take significant steps to help our customers who have been impacted by COVID-19. For our consumer customers, we are providing payment relief for residential mortgage, home equity, auto loan, auto lease and direct personal loans for up to six months. We waived associated late fees, while not reporting these payment deferrals as late payments to the credit bureaus for all customers who were current prior to the event. For our commercial customers that continue to make interest payments, we provided six months of principal deferral, or alternatively, three months of interest or interest and principal deferral. As the COVID-19 pandemic persists in negatively impacting the economy, the Company continues to offer loan modifications an additional round of loan modifications to borrowers struggling as a result of COVID-19.</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Bank continues to responsibly lend to qualified consumer and commercial customers. We have been a participant in the SBA’s (“SBA’s”) Small Business PPP. As of February 24, 2021, the Bank had 4,237 PPP loans totaling $504.9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has taken and continues to take additional steps to help minimize the financial impact of COVID-19 for its customers:</w:t>
      </w:r>
    </w:p>
    <w:p>
      <w:pPr>
        <w:spacing w:after="0" w:line="185"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ATM surcharge fees for other banks ATM users through June 30, 2020.</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ATM fees for Bank debit cardholders who used their cards at non-Bank ATMs in the U.S. and U.S. Territories through July 21, 2020.</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early withdrawal penalties for time deposit accounts through June 30, 2020.</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increased our mobile deposits limit from $5,000 to $10,000 per rolling five business days.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the first branch hour of the day to serve our elderly (65 years and older) and those at-risk, as well as their caregivers or family members.</w:t>
      </w:r>
    </w:p>
    <w:p>
      <w:pPr>
        <w:spacing w:after="0" w:line="184" w:lineRule="exact"/>
        <w:rPr>
          <w:rFonts w:ascii="Times New Roman" w:cs="Times New Roman" w:eastAsia="Times New Roman" w:hAnsi="Times New Roman"/>
          <w:sz w:val="18"/>
          <w:szCs w:val="18"/>
          <w:color w:val="auto"/>
        </w:rPr>
      </w:pPr>
    </w:p>
    <w:p>
      <w:pPr>
        <w:ind w:left="380" w:right="40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our call center capabilities by training and deputizing more than 100 branch, private banking and commercial staff members to provide additional support over the phone.</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Small Dollar Emergency Relief Loan Program to assist customers who were financially impacted by COVID-19 with loans up to $3,000.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Summary</w:t>
      </w:r>
    </w:p>
    <w:p>
      <w:pPr>
        <w:spacing w:after="0" w:line="2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income for 2020 was $153.8 million, a decrease of $72.1 million or 32% compared to 2019. Diluted earnings per share were $3.86 in 2020, a decrease of $1.70 or 31% compared to 2019. Our return on average assets was 0.79% in 2020, a decrease of 50 basis points from 2019, and our return on average shareholders’ equity was 11.38% in 2020, compared to 17.65% in 2019.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lower net income in 2020 was primarily due to the following:</w:t>
      </w:r>
    </w:p>
    <w:p>
      <w:pPr>
        <w:spacing w:after="0" w:line="185" w:lineRule="exact"/>
        <w:rPr>
          <w:sz w:val="20"/>
          <w:szCs w:val="20"/>
          <w:color w:val="auto"/>
        </w:rPr>
      </w:pPr>
    </w:p>
    <w:p>
      <w:pPr>
        <w:ind w:left="380" w:hanging="372"/>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$117.8 million provision for credit losses in 2020 compared to a $16.0 million provision recorded in 2019. This increase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w:t>
      </w:r>
    </w:p>
    <w:p>
      <w:pPr>
        <w:spacing w:after="0" w:line="139" w:lineRule="exact"/>
        <w:rPr>
          <w:rFonts w:ascii="Times New Roman" w:cs="Times New Roman" w:eastAsia="Times New Roman" w:hAnsi="Times New Roman"/>
          <w:sz w:val="18"/>
          <w:szCs w:val="18"/>
          <w:color w:val="auto"/>
        </w:rPr>
      </w:pPr>
    </w:p>
    <w:p>
      <w:pPr>
        <w:ind w:left="380" w:right="200" w:hanging="372"/>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exchange, and other service charges was $47.1 million in 2020, a decrease of $10.8 million or 19% compared to 2019. This decrease was primarily due to lower debit and credit card transaction volume and the Bank’s suspension of ATM surcharge fees from April 1, 2020, through June 30, 2020. In addition, merchant income decreased due to lower sales volume.</w:t>
      </w:r>
    </w:p>
    <w:p>
      <w:pPr>
        <w:spacing w:after="0" w:line="135"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equipment expense was $35.4 million in 2020, an increase of $6.2 million or 21% compared to 2019. This increase was primarily due to a $2.5 million increase in software license fees and maintenance, coupled with a $2.2 million increase in depreciation expense.</w:t>
      </w:r>
    </w:p>
    <w:p>
      <w:pPr>
        <w:spacing w:after="0" w:line="121" w:lineRule="exact"/>
        <w:rPr>
          <w:rFonts w:ascii="Times New Roman" w:cs="Times New Roman" w:eastAsia="Times New Roman" w:hAnsi="Times New Roman"/>
          <w:sz w:val="18"/>
          <w:szCs w:val="18"/>
          <w:color w:val="auto"/>
        </w:rPr>
      </w:pPr>
    </w:p>
    <w:p>
      <w:pPr>
        <w:ind w:left="380" w:right="64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occupancy expense was $39.5 million in 2020, an increase of $5.7 million or 17% compared to 2019. This increase was primarily due an impairment charge related to the permanent closure of 12 branches and the write down of cash-only ATMs in the fourth quarter of 2020.</w:t>
      </w:r>
    </w:p>
    <w:p>
      <w:pPr>
        <w:spacing w:after="0" w:line="121"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charges on deposit accounts was $24.9 million in 2020, a decrease of $5.2 million or 17% compared to 2019. This decrease was primarily due to a decrease in overdraft fees coupled with a decrease in account analysis fees.</w:t>
      </w:r>
    </w:p>
    <w:p>
      <w:pPr>
        <w:spacing w:after="0" w:line="121" w:lineRule="exact"/>
        <w:rPr>
          <w:rFonts w:ascii="Times New Roman" w:cs="Times New Roman" w:eastAsia="Times New Roman" w:hAnsi="Times New Roman"/>
          <w:sz w:val="18"/>
          <w:szCs w:val="18"/>
          <w:color w:val="auto"/>
        </w:rPr>
      </w:pPr>
    </w:p>
    <w:p>
      <w:pPr>
        <w:ind w:left="380" w:right="160" w:hanging="372"/>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Annuity and insurance income was $3.4 million in 2020, a decrease of $3.6 million or 52% compared to 2019. This decrease was primarily due to a one-time commission received in the first quarter of 2019 related to insurance products offered through a third-party administrator, coupled with a decrease in annuity and life insurance products.</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was $12.2 million in 2020, an increase of $2.1 million or 21% compared to 2019 due to an increase in corporate risk and legal fees.</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were partially offset by the following:</w:t>
      </w:r>
    </w:p>
    <w:p>
      <w:pPr>
        <w:spacing w:after="0" w:line="198" w:lineRule="exact"/>
        <w:rPr>
          <w:sz w:val="20"/>
          <w:szCs w:val="20"/>
          <w:color w:val="auto"/>
        </w:rPr>
      </w:pPr>
    </w:p>
    <w:p>
      <w:pPr>
        <w:jc w:val="both"/>
        <w:ind w:left="380" w:right="6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income taxes was $35.3 million in 2020, a decrease of $24.6 million or 41% compared to 2019. The effective tax rate was 18.68% in 2020 compared to 20.96% in 2019. This decrease was primarily due to a lower pretax income and a tax benefit identified and recorded in 2020 for return to provision adjustments.</w:t>
      </w:r>
    </w:p>
    <w:p>
      <w:pPr>
        <w:spacing w:after="0" w:line="135" w:lineRule="exact"/>
        <w:rPr>
          <w:rFonts w:ascii="Times New Roman" w:cs="Times New Roman" w:eastAsia="Times New Roman" w:hAnsi="Times New Roman"/>
          <w:sz w:val="18"/>
          <w:szCs w:val="18"/>
          <w:color w:val="auto"/>
        </w:rPr>
      </w:pPr>
    </w:p>
    <w:p>
      <w:pPr>
        <w:ind w:left="380" w:right="48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gains (losses) on sales of investment securities was $9.9 million in 2020, an increase of $13.9 million compared to 2019. This increase was primarily due to the sale of 80,214 Visa Class B Shares during the second quarter of 2020.</w:t>
      </w:r>
    </w:p>
    <w:p>
      <w:pPr>
        <w:spacing w:after="0" w:line="121" w:lineRule="exact"/>
        <w:rPr>
          <w:rFonts w:ascii="Times New Roman" w:cs="Times New Roman" w:eastAsia="Times New Roman" w:hAnsi="Times New Roman"/>
          <w:sz w:val="18"/>
          <w:szCs w:val="18"/>
          <w:color w:val="auto"/>
        </w:rPr>
      </w:pPr>
    </w:p>
    <w:p>
      <w:pPr>
        <w:ind w:left="380" w:right="20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noninterest expense was $55.0 million in 2020, a decrease of $11.0 million or 17% compared to 2019. These decrease was primarily due to a $6.0 million legal reserves recorded in September 2019 for what was then a tentative settlement of a class action lawsuit regarding the Company’s overdraft practices.</w:t>
      </w:r>
    </w:p>
    <w:p>
      <w:pPr>
        <w:spacing w:after="0" w:line="135" w:lineRule="exact"/>
        <w:rPr>
          <w:rFonts w:ascii="Times New Roman" w:cs="Times New Roman" w:eastAsia="Times New Roman" w:hAnsi="Times New Roman"/>
          <w:sz w:val="18"/>
          <w:szCs w:val="18"/>
          <w:color w:val="auto"/>
        </w:rPr>
      </w:pPr>
    </w:p>
    <w:p>
      <w:pPr>
        <w:ind w:left="380" w:right="160" w:hanging="372"/>
        <w:spacing w:after="0" w:line="258"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benefits expense was $207.3 million in 2020, a decrease of $8.8 million or 4% compared to 2019. This decrease was primarily due to a $13.3 million decrease in incentive compensation coupled with a $2.3 million decrease in medical, dental, and life insurance primarily due to lower expenses related to lower medical insurance costs. Shared-based compensation decreased by $1.8 million due to forfeiture of unvested restricted stock grants and a lower number of restricted stock units being amortized. These decreases were partially offset by a $4.8 million increase in separation expense coupled with a $1.9 million increase in base salaries due to merit increases.</w:t>
      </w:r>
    </w:p>
    <w:p>
      <w:pPr>
        <w:spacing w:after="0" w:line="142" w:lineRule="exact"/>
        <w:rPr>
          <w:rFonts w:ascii="Times New Roman" w:cs="Times New Roman" w:eastAsia="Times New Roman" w:hAnsi="Times New Roman"/>
          <w:sz w:val="18"/>
          <w:szCs w:val="18"/>
          <w:color w:val="auto"/>
        </w:rPr>
      </w:pPr>
    </w:p>
    <w:p>
      <w:pPr>
        <w:jc w:val="both"/>
        <w:ind w:left="380" w:right="46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banking income was $17.9 million in 2020, an increase of $4.2 million or 31% compared to 2019. This increase was primarily due to increased sales and margins on sales of conforming saleable loans from current production. This increase was offset by a $3.9 million valuation impairment to our mortgage serving rights.</w:t>
      </w:r>
    </w:p>
    <w:p>
      <w:pPr>
        <w:spacing w:after="0" w:line="135" w:lineRule="exact"/>
        <w:rPr>
          <w:rFonts w:ascii="Times New Roman" w:cs="Times New Roman" w:eastAsia="Times New Roman" w:hAnsi="Times New Roman"/>
          <w:sz w:val="18"/>
          <w:szCs w:val="18"/>
          <w:color w:val="auto"/>
        </w:rPr>
      </w:pPr>
    </w:p>
    <w:p>
      <w:pPr>
        <w:ind w:left="380" w:right="18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noninterest income was $30.4 million in 2020, an increase of $2.9 million or 17% compared to 2019. This increase was primarily due to an $8.2 million increase in fees related to our customer interest rate swap derivatives. This increases were partially offset by a $3.5 million decrease in net gain on sale of leased assets combined with a $1.0 million decrease in foreign currency transactions.</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maintained a strong balance sheet throughout 2020, with what we believe are adequate reserves for credit losses, and high levels of liquidity and capital.</w:t>
      </w:r>
    </w:p>
    <w:p>
      <w:pPr>
        <w:spacing w:after="0" w:line="121" w:lineRule="exact"/>
        <w:rPr>
          <w:sz w:val="20"/>
          <w:szCs w:val="20"/>
          <w:color w:val="auto"/>
        </w:rPr>
      </w:pPr>
    </w:p>
    <w:p>
      <w:pPr>
        <w:ind w:left="380" w:right="52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and leases were $11.9 billion as of December 31, 2020, an increase of $0.9 billion or 9% from December 31, 2019, primarily due to growth in our commercial portfolio.</w:t>
      </w:r>
    </w:p>
    <w:p>
      <w:pPr>
        <w:spacing w:after="0" w:line="121" w:lineRule="exact"/>
        <w:rPr>
          <w:rFonts w:ascii="Times New Roman" w:cs="Times New Roman" w:eastAsia="Times New Roman" w:hAnsi="Times New Roman"/>
          <w:sz w:val="18"/>
          <w:szCs w:val="18"/>
          <w:color w:val="auto"/>
        </w:rPr>
      </w:pPr>
    </w:p>
    <w:p>
      <w:pPr>
        <w:ind w:left="380" w:right="440" w:hanging="372"/>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allowance for credit losses (the “Allowance”) was $216.3 million as of December 31, 2020, an increase of $106.2 million or 97% from December 31, 2019. The ratio of our Allowance to total loans and leases outstanding increased to 1.81% as of December 31, 2020, compared to</w:t>
      </w:r>
    </w:p>
    <w:p>
      <w:pPr>
        <w:ind w:lef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as of December 31, 2019. The level of our Allowance was commensurate with the Company’s credit risk profile, future economic outlook, and forecasts utilized.</w:t>
      </w:r>
    </w:p>
    <w:p>
      <w:pPr>
        <w:spacing w:after="0" w:line="140" w:lineRule="exact"/>
        <w:rPr>
          <w:rFonts w:ascii="Times New Roman" w:cs="Times New Roman" w:eastAsia="Times New Roman" w:hAnsi="Times New Roman"/>
          <w:sz w:val="18"/>
          <w:szCs w:val="18"/>
          <w:color w:val="auto"/>
        </w:rPr>
      </w:pPr>
    </w:p>
    <w:p>
      <w:pPr>
        <w:ind w:left="380" w:right="16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carrying value of our investment securities portfolio was $7.1 billion as of December 31, 2020, an increase of $1.4 billion or 25% from December 31, 2019. Mortgage-backed securities issued by Ginnie Mae, Fannie Mae, and Freddie Mac are the largest concentration in our portfolio.</w:t>
      </w:r>
    </w:p>
    <w:p>
      <w:pPr>
        <w:spacing w:after="0" w:line="121"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$18.2 billion as of December 31, 2020, an increase of $2.4 billion or 15% from December 31, 2019, primarily due to an increase in consumer and commercial deposits.</w:t>
      </w:r>
    </w:p>
    <w:p>
      <w:pPr>
        <w:spacing w:after="0" w:line="121" w:lineRule="exact"/>
        <w:rPr>
          <w:rFonts w:ascii="Times New Roman" w:cs="Times New Roman" w:eastAsia="Times New Roman" w:hAnsi="Times New Roman"/>
          <w:sz w:val="18"/>
          <w:szCs w:val="18"/>
          <w:color w:val="auto"/>
        </w:rPr>
      </w:pPr>
    </w:p>
    <w:p>
      <w:pPr>
        <w:ind w:left="380" w:hanging="372"/>
        <w:spacing w:after="0" w:line="25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shareholders’ equity was $1.4 billion as of December 31, 2020, an increase of $87.7 million or 7% from December 31, 2019. While we continued to return capital to our shareholders in the form of dividends, in March 2020, we suspended share repurchases in light of the COVID-19 pandemic. We believe the suspension is prudent given uncertainty regarding the length and severity of the COVID-19 pandemic. During 2020, we repurchased 203,865 shares of common stock at a total cost of $18.0 million under our share repurchase program and from employees and/or directors in connection with income tax withholdings related to the vesting of restricted stock, shares purchased for a deferred compensation plan, and stock swaps, less shares distributed from the deferred compensation plan. We also paid cash dividends of $107.4 million during 2020.</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Statements of Income</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Average balances, related income and expenses, and resulting yields and rates are presented in Table 1. An analysis of the change in net interest income, on a taxable-equivalent basis, is presented in Table 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Balances and Interest Rates – Taxable-Equivalent Basis</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Table 1</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1320" w:type="dxa"/>
            <w:vAlign w:val="bottom"/>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1340" w:type="dxa"/>
            <w:vAlign w:val="bottom"/>
          </w:tcPr>
          <w:p>
            <w:pPr>
              <w:jc w:val="right"/>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56"/>
        </w:trPr>
        <w:tc>
          <w:tcPr>
            <w:tcW w:w="32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Earning Assets</w:t>
            </w:r>
          </w:p>
        </w:tc>
        <w:tc>
          <w:tcPr>
            <w:tcW w:w="3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Other Banks</w:t>
            </w:r>
          </w:p>
        </w:tc>
        <w:tc>
          <w:tcPr>
            <w:tcW w:w="8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20" w:type="dxa"/>
            <w:vAlign w:val="bottom"/>
          </w:tcPr>
          <w:p>
            <w:pPr>
              <w:spacing w:after="0"/>
              <w:rPr>
                <w:sz w:val="14"/>
                <w:szCs w:val="14"/>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Funds Sold</w:t>
            </w: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434.1</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13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165.7</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3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Available-for-Sale</w:t>
            </w: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Taxable</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60.3</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2,210.5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58.9</w:t>
            </w:r>
          </w:p>
        </w:tc>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Non-Taxable</w:t>
            </w: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3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13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62"/>
        </w:trPr>
        <w:tc>
          <w:tcPr>
            <w:tcW w:w="3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Held-to-Maturity</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Taxable</w:t>
            </w: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3,125.2</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65.0</w:t>
            </w:r>
          </w:p>
        </w:tc>
        <w:tc>
          <w:tcPr>
            <w:tcW w:w="13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3,148.2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78.3</w:t>
            </w:r>
          </w:p>
        </w:tc>
        <w:tc>
          <w:tcPr>
            <w:tcW w:w="13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62"/>
        </w:trPr>
        <w:tc>
          <w:tcPr>
            <w:tcW w:w="3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Non-Taxable</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137.8</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3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56"/>
        </w:trPr>
        <w:tc>
          <w:tcPr>
            <w:tcW w:w="320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Investment Securities</w:t>
            </w:r>
          </w:p>
        </w:tc>
        <w:tc>
          <w:tcPr>
            <w:tcW w:w="3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6,167.3</w:t>
            </w:r>
          </w:p>
        </w:tc>
        <w:tc>
          <w:tcPr>
            <w:tcW w:w="1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127.9</w:t>
            </w:r>
          </w:p>
        </w:tc>
        <w:tc>
          <w:tcPr>
            <w:tcW w:w="132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5,606.1</w:t>
            </w:r>
          </w:p>
        </w:tc>
        <w:tc>
          <w:tcPr>
            <w:tcW w:w="12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145.5</w:t>
            </w:r>
          </w:p>
        </w:tc>
        <w:tc>
          <w:tcPr>
            <w:tcW w:w="1340" w:type="dxa"/>
            <w:vAlign w:val="bottom"/>
            <w:tcBorders>
              <w:bottom w:val="single" w:sz="8" w:color="auto"/>
            </w:tcBorders>
            <w:shd w:val="clear" w:color="auto" w:fill="CFF0FC"/>
          </w:tcPr>
          <w:p>
            <w:pPr>
              <w:ind w:left="940"/>
              <w:spacing w:after="0" w:line="155" w:lineRule="exact"/>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55"/>
        </w:trPr>
        <w:tc>
          <w:tcPr>
            <w:tcW w:w="3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Loans Held for Sale</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0.6</w:t>
            </w:r>
          </w:p>
        </w:tc>
        <w:tc>
          <w:tcPr>
            <w:tcW w:w="13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1340" w:type="dxa"/>
            <w:vAlign w:val="bottom"/>
          </w:tcPr>
          <w:p>
            <w:pPr>
              <w:ind w:left="940"/>
              <w:spacing w:after="0" w:line="155" w:lineRule="exact"/>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Loans and Leases </w:t>
            </w:r>
            <w:r>
              <w:rPr>
                <w:rFonts w:ascii="Times New Roman" w:cs="Times New Roman" w:eastAsia="Times New Roman" w:hAnsi="Times New Roman"/>
                <w:sz w:val="12"/>
                <w:szCs w:val="12"/>
                <w:color w:val="auto"/>
              </w:rPr>
              <w:t>1</w:t>
            </w:r>
          </w:p>
        </w:tc>
        <w:tc>
          <w:tcPr>
            <w:tcW w:w="3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1,797.5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59.3</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1,370.9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57.9</w:t>
            </w:r>
          </w:p>
        </w:tc>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Commercial Mortgage</w:t>
            </w: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2,666.1</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90.9</w:t>
            </w:r>
          </w:p>
        </w:tc>
        <w:tc>
          <w:tcPr>
            <w:tcW w:w="13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2,400.6</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102.4</w:t>
            </w:r>
          </w:p>
        </w:tc>
        <w:tc>
          <w:tcPr>
            <w:tcW w:w="13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62"/>
        </w:trPr>
        <w:tc>
          <w:tcPr>
            <w:tcW w:w="3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Construction</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3.92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Commercial Lease Financing</w:t>
            </w: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3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(0.88)</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154.4</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3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62"/>
        </w:trPr>
        <w:tc>
          <w:tcPr>
            <w:tcW w:w="3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Residential Mortgage</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3,978.7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3,768.2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144.7</w:t>
            </w:r>
          </w:p>
        </w:tc>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Home Equity</w:t>
            </w: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1,642.7</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56.8</w:t>
            </w:r>
          </w:p>
        </w:tc>
        <w:tc>
          <w:tcPr>
            <w:tcW w:w="13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1,689.4</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64.1</w:t>
            </w:r>
          </w:p>
        </w:tc>
        <w:tc>
          <w:tcPr>
            <w:tcW w:w="13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62"/>
        </w:trPr>
        <w:tc>
          <w:tcPr>
            <w:tcW w:w="3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Automobile</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709.1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694.9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w:t>
            </w:r>
          </w:p>
        </w:tc>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62"/>
        </w:trPr>
        <w:tc>
          <w:tcPr>
            <w:tcW w:w="32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2"/>
                <w:szCs w:val="12"/>
                <w:color w:val="auto"/>
              </w:rPr>
              <w:t>2</w:t>
            </w:r>
          </w:p>
        </w:tc>
        <w:tc>
          <w:tcPr>
            <w:tcW w:w="3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446.6</w:t>
            </w:r>
          </w:p>
        </w:tc>
        <w:tc>
          <w:tcPr>
            <w:tcW w:w="1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30.9</w:t>
            </w:r>
          </w:p>
        </w:tc>
        <w:tc>
          <w:tcPr>
            <w:tcW w:w="13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6.91</w:t>
            </w:r>
          </w:p>
        </w:tc>
        <w:tc>
          <w:tcPr>
            <w:tcW w:w="1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464.8</w:t>
            </w:r>
          </w:p>
        </w:tc>
        <w:tc>
          <w:tcPr>
            <w:tcW w:w="1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33.3</w:t>
            </w:r>
          </w:p>
        </w:tc>
        <w:tc>
          <w:tcPr>
            <w:tcW w:w="134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56"/>
        </w:trPr>
        <w:tc>
          <w:tcPr>
            <w:tcW w:w="32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Total Loans and Leases</w:t>
            </w: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11,592.1</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417.6</w:t>
            </w:r>
          </w:p>
        </w:tc>
        <w:tc>
          <w:tcPr>
            <w:tcW w:w="132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3.60</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10,688.4</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438.6</w:t>
            </w:r>
          </w:p>
        </w:tc>
        <w:tc>
          <w:tcPr>
            <w:tcW w:w="1340" w:type="dxa"/>
            <w:vAlign w:val="bottom"/>
            <w:tcBorders>
              <w:bottom w:val="single" w:sz="8" w:color="auto"/>
            </w:tcBorders>
          </w:tcPr>
          <w:p>
            <w:pPr>
              <w:ind w:left="940"/>
              <w:spacing w:after="0" w:line="155" w:lineRule="exact"/>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55"/>
        </w:trPr>
        <w:tc>
          <w:tcPr>
            <w:tcW w:w="320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33.7</w:t>
            </w:r>
          </w:p>
        </w:tc>
        <w:tc>
          <w:tcPr>
            <w:tcW w:w="1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0.7</w:t>
            </w:r>
          </w:p>
        </w:tc>
        <w:tc>
          <w:tcPr>
            <w:tcW w:w="132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1.96</w:t>
            </w:r>
          </w:p>
        </w:tc>
        <w:tc>
          <w:tcPr>
            <w:tcW w:w="12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35.1</w:t>
            </w:r>
          </w:p>
        </w:tc>
        <w:tc>
          <w:tcPr>
            <w:tcW w:w="12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1340" w:type="dxa"/>
            <w:vAlign w:val="bottom"/>
            <w:tcBorders>
              <w:bottom w:val="single" w:sz="8" w:color="auto"/>
            </w:tcBorders>
            <w:shd w:val="clear" w:color="auto" w:fill="CFF0FC"/>
          </w:tcPr>
          <w:p>
            <w:pPr>
              <w:ind w:left="940"/>
              <w:spacing w:after="0" w:line="155" w:lineRule="exact"/>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56"/>
        </w:trPr>
        <w:tc>
          <w:tcPr>
            <w:tcW w:w="32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Total Earning Assets </w:t>
            </w:r>
            <w:r>
              <w:rPr>
                <w:rFonts w:ascii="Times New Roman" w:cs="Times New Roman" w:eastAsia="Times New Roman" w:hAnsi="Times New Roman"/>
                <w:sz w:val="12"/>
                <w:szCs w:val="12"/>
                <w:b w:val="1"/>
                <w:bCs w:val="1"/>
                <w:color w:val="auto"/>
              </w:rPr>
              <w:t>3</w:t>
            </w: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18,248.8</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547.7</w:t>
            </w:r>
          </w:p>
        </w:tc>
        <w:tc>
          <w:tcPr>
            <w:tcW w:w="132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16,520.1</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589.6</w:t>
            </w:r>
          </w:p>
        </w:tc>
        <w:tc>
          <w:tcPr>
            <w:tcW w:w="1340" w:type="dxa"/>
            <w:vAlign w:val="bottom"/>
            <w:tcBorders>
              <w:bottom w:val="single" w:sz="8" w:color="auto"/>
            </w:tcBorders>
          </w:tcPr>
          <w:p>
            <w:pPr>
              <w:ind w:left="940"/>
              <w:spacing w:after="0" w:line="155" w:lineRule="exact"/>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55"/>
        </w:trPr>
        <w:tc>
          <w:tcPr>
            <w:tcW w:w="32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and Due from Banks</w:t>
            </w:r>
          </w:p>
        </w:tc>
        <w:tc>
          <w:tcPr>
            <w:tcW w:w="3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263.8</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234.0</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875.1</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783.5</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36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19,387.7</w:t>
            </w: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17,537.6</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Demand</w:t>
            </w:r>
          </w:p>
        </w:tc>
        <w:tc>
          <w:tcPr>
            <w:tcW w:w="8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3,426.8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2,945.9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3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62"/>
        </w:trPr>
        <w:tc>
          <w:tcPr>
            <w:tcW w:w="3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Savings</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6,702.7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6,034.0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w:t>
            </w:r>
          </w:p>
        </w:tc>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0.54</w:t>
            </w:r>
          </w:p>
        </w:tc>
        <w:tc>
          <w:tcPr>
            <w:tcW w:w="0" w:type="dxa"/>
            <w:vAlign w:val="bottom"/>
          </w:tcPr>
          <w:p>
            <w:pPr>
              <w:spacing w:after="0"/>
              <w:rPr>
                <w:sz w:val="1"/>
                <w:szCs w:val="1"/>
                <w:color w:val="auto"/>
              </w:rPr>
            </w:pPr>
          </w:p>
        </w:tc>
      </w:tr>
      <w:tr>
        <w:trPr>
          <w:trHeight w:val="162"/>
        </w:trPr>
        <w:tc>
          <w:tcPr>
            <w:tcW w:w="32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Time</w:t>
            </w:r>
          </w:p>
        </w:tc>
        <w:tc>
          <w:tcPr>
            <w:tcW w:w="3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1,708.1</w:t>
            </w:r>
          </w:p>
        </w:tc>
        <w:tc>
          <w:tcPr>
            <w:tcW w:w="1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18.1</w:t>
            </w:r>
          </w:p>
        </w:tc>
        <w:tc>
          <w:tcPr>
            <w:tcW w:w="13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1,816.3</w:t>
            </w:r>
          </w:p>
        </w:tc>
        <w:tc>
          <w:tcPr>
            <w:tcW w:w="1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31.0</w:t>
            </w:r>
          </w:p>
        </w:tc>
        <w:tc>
          <w:tcPr>
            <w:tcW w:w="134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56"/>
        </w:trPr>
        <w:tc>
          <w:tcPr>
            <w:tcW w:w="32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11,837.6</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33.0</w:t>
            </w:r>
          </w:p>
        </w:tc>
        <w:tc>
          <w:tcPr>
            <w:tcW w:w="132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0.28</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10,796.2</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68.4</w:t>
            </w:r>
          </w:p>
        </w:tc>
        <w:tc>
          <w:tcPr>
            <w:tcW w:w="1340" w:type="dxa"/>
            <w:vAlign w:val="bottom"/>
            <w:tcBorders>
              <w:bottom w:val="single" w:sz="8" w:color="auto"/>
            </w:tcBorders>
          </w:tcPr>
          <w:p>
            <w:pPr>
              <w:ind w:left="940"/>
              <w:spacing w:after="0" w:line="155" w:lineRule="exact"/>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155"/>
        </w:trPr>
        <w:tc>
          <w:tcPr>
            <w:tcW w:w="32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Short-Term Borrowings</w:t>
            </w:r>
          </w:p>
        </w:tc>
        <w:tc>
          <w:tcPr>
            <w:tcW w:w="3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33.5</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0.2</w:t>
            </w:r>
          </w:p>
        </w:tc>
        <w:tc>
          <w:tcPr>
            <w:tcW w:w="1320" w:type="dxa"/>
            <w:vAlign w:val="bottom"/>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0.47</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1340" w:type="dxa"/>
            <w:vAlign w:val="bottom"/>
            <w:shd w:val="clear" w:color="auto" w:fill="CFF0FC"/>
          </w:tcPr>
          <w:p>
            <w:pPr>
              <w:ind w:left="940"/>
              <w:spacing w:after="0" w:line="155"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602.7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62"/>
        </w:trPr>
        <w:tc>
          <w:tcPr>
            <w:tcW w:w="3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Debt</w:t>
            </w:r>
          </w:p>
        </w:tc>
        <w:tc>
          <w:tcPr>
            <w:tcW w:w="3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62.1</w:t>
            </w:r>
          </w:p>
        </w:tc>
        <w:tc>
          <w:tcPr>
            <w:tcW w:w="1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3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34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56"/>
        </w:trPr>
        <w:tc>
          <w:tcPr>
            <w:tcW w:w="32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12,535.9</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50.1</w:t>
            </w:r>
          </w:p>
        </w:tc>
        <w:tc>
          <w:tcPr>
            <w:tcW w:w="132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0.40</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11,476.4</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89.7</w:t>
            </w:r>
          </w:p>
        </w:tc>
        <w:tc>
          <w:tcPr>
            <w:tcW w:w="1340" w:type="dxa"/>
            <w:vAlign w:val="bottom"/>
            <w:tcBorders>
              <w:bottom w:val="single" w:sz="8" w:color="auto"/>
            </w:tcBorders>
          </w:tcPr>
          <w:p>
            <w:pPr>
              <w:ind w:left="940"/>
              <w:spacing w:after="0" w:line="155" w:lineRule="exact"/>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155"/>
        </w:trPr>
        <w:tc>
          <w:tcPr>
            <w:tcW w:w="32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Interest Income</w:t>
            </w:r>
          </w:p>
        </w:tc>
        <w:tc>
          <w:tcPr>
            <w:tcW w:w="3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497.6</w:t>
            </w: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499.9</w:t>
            </w:r>
          </w:p>
        </w:tc>
        <w:tc>
          <w:tcPr>
            <w:tcW w:w="13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Interest Rate Spread</w:t>
            </w:r>
          </w:p>
        </w:tc>
        <w:tc>
          <w:tcPr>
            <w:tcW w:w="3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CFF0FC"/>
            </w:tcBorders>
            <w:vMerge w:val="restart"/>
          </w:tcPr>
          <w:p>
            <w:pPr>
              <w:ind w:left="940"/>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line="20" w:lineRule="exact"/>
              <w:rPr>
                <w:sz w:val="1"/>
                <w:szCs w:val="1"/>
                <w:color w:val="auto"/>
              </w:rPr>
            </w:pPr>
          </w:p>
        </w:tc>
      </w:tr>
      <w:tr>
        <w:trPr>
          <w:trHeight w:val="143"/>
        </w:trPr>
        <w:tc>
          <w:tcPr>
            <w:tcW w:w="32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Interest Margin</w:t>
            </w: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Demand Deposits</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5,062.6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4,431.9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437.6</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349.2</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3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1,351.6</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1,280.1</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36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19,387.7</w:t>
            </w: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17,537.6</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Non-performing loans and leases are included in the respective average loan and lease balances. Income, if any, on such loans and leases is recognized on a cash basis.</w:t>
      </w:r>
    </w:p>
    <w:p>
      <w:pPr>
        <w:spacing w:after="0" w:line="23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2   </w:t>
      </w:r>
      <w:r>
        <w:rPr>
          <w:rFonts w:ascii="Times New Roman" w:cs="Times New Roman" w:eastAsia="Times New Roman" w:hAnsi="Times New Roman"/>
          <w:sz w:val="12"/>
          <w:szCs w:val="12"/>
          <w:color w:val="auto"/>
        </w:rPr>
        <w:t>Comprised of other consumer revolving credit, installment, and consumer lease financing.</w:t>
      </w:r>
    </w:p>
    <w:p>
      <w:pPr>
        <w:ind w:left="200" w:right="600" w:hanging="189"/>
        <w:spacing w:after="0" w:line="25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3 </w:t>
      </w:r>
      <w:r>
        <w:rPr>
          <w:rFonts w:ascii="Times New Roman" w:cs="Times New Roman" w:eastAsia="Times New Roman" w:hAnsi="Times New Roman"/>
          <w:sz w:val="12"/>
          <w:szCs w:val="12"/>
          <w:color w:val="auto"/>
        </w:rPr>
        <w:t>Interest income includes taxable-equivalent basis adjustments, based upon a federal statutory tax rate of 21% of $1.3 million and $2.2 million for the years ended December 31, 2020, and December 31, 2019,</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2"/>
          <w:szCs w:val="12"/>
          <w:color w:val="auto"/>
        </w:rPr>
        <w:t>respectively.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Analysis of Change in Net Interest Income – Taxable-Equivalent Basis</w:t>
            </w:r>
          </w:p>
        </w:tc>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Table 2</w:t>
            </w:r>
          </w:p>
        </w:tc>
      </w:tr>
      <w:tr>
        <w:trPr>
          <w:trHeight w:val="197"/>
        </w:trPr>
        <w:tc>
          <w:tcPr>
            <w:tcW w:w="6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Pr>
          <w:p>
            <w:pPr>
              <w:spacing w:after="0"/>
              <w:rPr>
                <w:sz w:val="17"/>
                <w:szCs w:val="17"/>
                <w:color w:val="auto"/>
              </w:rPr>
            </w:pPr>
          </w:p>
        </w:tc>
      </w:tr>
      <w:tr>
        <w:trPr>
          <w:trHeight w:val="215"/>
        </w:trPr>
        <w:tc>
          <w:tcPr>
            <w:tcW w:w="6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2020 Compared to 2019</w:t>
            </w:r>
          </w:p>
        </w:tc>
        <w:tc>
          <w:tcPr>
            <w:tcW w:w="820" w:type="dxa"/>
            <w:vAlign w:val="bottom"/>
            <w:tcBorders>
              <w:bottom w:val="single" w:sz="8" w:color="auto"/>
            </w:tcBorders>
          </w:tcPr>
          <w:p>
            <w:pPr>
              <w:spacing w:after="0"/>
              <w:rPr>
                <w:sz w:val="18"/>
                <w:szCs w:val="18"/>
                <w:color w:val="auto"/>
              </w:rPr>
            </w:pPr>
          </w:p>
        </w:tc>
      </w:tr>
      <w:tr>
        <w:trPr>
          <w:trHeight w:val="239"/>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millions)</w:t>
            </w: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9"/>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Volume </w:t>
            </w:r>
            <w:r>
              <w:rPr>
                <w:rFonts w:ascii="Times New Roman" w:cs="Times New Roman" w:eastAsia="Times New Roman" w:hAnsi="Times New Roman"/>
                <w:sz w:val="27"/>
                <w:szCs w:val="27"/>
                <w:b w:val="1"/>
                <w:bCs w:val="1"/>
                <w:color w:val="auto"/>
                <w:vertAlign w:val="superscript"/>
              </w:rPr>
              <w:t>1</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7"/>
                <w:szCs w:val="27"/>
                <w:b w:val="1"/>
                <w:bCs w:val="1"/>
                <w:color w:val="auto"/>
                <w:vertAlign w:val="superscript"/>
              </w:rPr>
              <w:t>1</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Interest Income:</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Funds Sold</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13"/>
        </w:trPr>
        <w:tc>
          <w:tcPr>
            <w:tcW w:w="6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Available-for-Sale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Taxable</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17.2</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(15.8)</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6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Non-Taxable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42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Held-to-Maturity</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13"/>
        </w:trPr>
        <w:tc>
          <w:tcPr>
            <w:tcW w:w="6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Taxable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6"/>
        </w:trPr>
        <w:tc>
          <w:tcPr>
            <w:tcW w:w="62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Non-Taxable</w:t>
            </w:r>
          </w:p>
        </w:tc>
        <w:tc>
          <w:tcPr>
            <w:tcW w:w="13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10.8</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(28.4)</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2"/>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Loans and Leases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15.7</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6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 Mortgage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10.5</w:t>
            </w:r>
          </w:p>
        </w:tc>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Construction</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4.0</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6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 Lease Financing</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Residential Mortgage</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7.9</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6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Home Equity</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Automobile</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0.5</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r>
      <w:tr>
        <w:trPr>
          <w:trHeight w:val="216"/>
        </w:trPr>
        <w:tc>
          <w:tcPr>
            <w:tcW w:w="6220" w:type="dxa"/>
            <w:vAlign w:val="bottom"/>
            <w:tcBorders>
              <w:bottom w:val="single" w:sz="8" w:color="auto"/>
            </w:tcBorders>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2</w:t>
            </w:r>
          </w:p>
        </w:tc>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7"/>
        </w:trPr>
        <w:tc>
          <w:tcPr>
            <w:tcW w:w="6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Loans and Leases</w:t>
            </w:r>
          </w:p>
        </w:tc>
        <w:tc>
          <w:tcPr>
            <w:tcW w:w="13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34.8</w:t>
            </w:r>
          </w:p>
        </w:tc>
        <w:tc>
          <w:tcPr>
            <w:tcW w:w="4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(55.8)</w:t>
            </w:r>
          </w:p>
        </w:tc>
        <w:tc>
          <w:tcPr>
            <w:tcW w:w="4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0"/>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6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13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47.9</w:t>
            </w: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(89.8)</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11"/>
        </w:trPr>
        <w:tc>
          <w:tcPr>
            <w:tcW w:w="6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Interest Expense:</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Demand</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0.7</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6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Savings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w:t>
            </w:r>
          </w:p>
        </w:tc>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6"/>
        </w:trPr>
        <w:tc>
          <w:tcPr>
            <w:tcW w:w="62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w:t>
            </w:r>
          </w:p>
        </w:tc>
        <w:tc>
          <w:tcPr>
            <w:tcW w:w="13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9"/>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12"/>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w:t>
            </w:r>
          </w:p>
        </w:tc>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6"/>
        </w:trPr>
        <w:tc>
          <w:tcPr>
            <w:tcW w:w="6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Debt</w:t>
            </w:r>
          </w:p>
        </w:tc>
        <w:tc>
          <w:tcPr>
            <w:tcW w:w="13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1"/>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(42.6)</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09"/>
        </w:trPr>
        <w:tc>
          <w:tcPr>
            <w:tcW w:w="6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158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44.9</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(47.2)</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change in interest income and expense are not solely due to changes in volume or rate has been allocated on a pro-rata basis to the volume and rate columns.</w:t>
      </w:r>
    </w:p>
    <w:p>
      <w:pPr>
        <w:spacing w:after="0" w:line="3"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4"/>
          <w:szCs w:val="14"/>
          <w:color w:val="auto"/>
        </w:rPr>
        <w:t>Comprised of other consumer revolving credit, installment, and consumer lease financing.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 Net interest income was $496.3 million in 2020, relatively unchanged compared to 2019. On a taxable-equivalent basis, net interest income was $497.6 million in 2020, relatively unchanged compared to 2019. Net interest margin was 2.73% in 2020, a decrease of 30 basis points from 2019. We experienced lower yields in both our investment securities portfolio and loan portfolio, which were partially offset by lower rates paid on our interest-bearing deposits, a reflection of the lower rate environment.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Yields on our earning assets decreased by 57 basis points in 2020 compared to 2019 primarily due to the lower rate environment. Yields on our commercial and industrial loans decreased by 93 points due to lower yields on floating rate loans. Yields on our commercial mortgage decreased by 86 basis points due to lower yields on floating rate loans. Yields on our construction loans decreased by 115 basis points due to lower yields on floating-rate loans, and new loans with lower rates in comparison to loans that were paid off or transferred to commercial mortgage upon completion. Yields on our commercial lease financing decreased by 331 basis points primarily due to a $3.0 million impairment in the residual value of a leveraged lease. Yields on our funds sold decreased by 193 basis points primarily due to federal fund rate decreases. In addition, yields on our investment securities portfolio decreased by 53 basis points primarily due to purchases of lower yielding securities in the current lower rate environment.</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Interest rates paid on our interest-bearing liabilities decreased 38 basis points in 2020 compared to 2019. Decreases to our funding costs were primarily due to lower rates paid on our interest-bearing deposits. Interest rates paid on our securities sold under agreements to repurchase decreased by 75 basis points from 2019. In July 2020, we terminated three of our repurchase agreements, with an aggregate total of $200.0 million, with one private institution. These repurchase agreements were scheduled to mature in June 2022 and had a weighted-average interest rate of 2.742%. These terminated repurchase agreements were replaced with one $200.0 million repurchase agreement with the same private institution. The new repurchase agreement matures in July 2025 and has an interest rate of 1.835%. Other debt, which is comprised of FHLB advances increased by 13 basis points primarily due to lower cost advances having matured in December 2019. During the second quarter of 2020, we restructured two existing FHLB advances totaling $50.0 million. The restructuring of advances extended the maturity from December 2020 to May 2024 and lowered the weighted-average interest rate from 3.04% to 1.21%.</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Average balances of our earning assets increased by $1.7 billion or 10% in 2020 compared to 2019 primarily due to loan growth as the average balances of our loans and leases portfolio increased by $903.7 million. The average balance of investment securities increased by $561.2 million. The average balance of funds sold increased by $268.4 million. The average balance of our commercial and industrial portfolio increased by $426.6 million primarily due to the origination of new PPP loans. The average balance of our commercial mortgage portfolio increased by $265.5 million as a result of continued demand from new and existing customers. The average balance of our residential mortgage portfolio increased by $210.5 million primarily due to higher loan originations partially offset by an increase in payoff activity. The average balance of our automobile loans portfolio increased by $14.2 million primarily due to competitive loan programs and pricing. The average balance of our home equity portfolio decreased by $46.7 million as a result of elevated payoff rate driven heavily by increased mortgage refinancing activities as a result of the low interest rate environment and slightly lower utilization rates on existing lines.</w:t>
      </w:r>
    </w:p>
    <w:p>
      <w:pPr>
        <w:spacing w:after="0" w:line="16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Average balances of our interest-bearing liabilities increased by $1.1 billion or 9% in 2020 compared to 2019 primarily due to growth in our savings and demand deposits which increased by $668.7 million and $480.9 million, respectively. Average balances in other debt decreased by $49.7 million primarily due to the aforementioned maturing of FHLB advances.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The provision for credit losses (the “Provision”) reflects our internal calculation and judgment of the appropriate amount of the Allowance. The adoption of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or “CECL” has significantly changed the methodology of how we measure credit losses (see Note 1 to the Consolidated Financial Statements for more information). We maintain the Allowance at levels we believe are appropriate to cover our estimate of expected credit losses over the life of loans in the portfolio as of the end of the reporting period. The Allowance is determined through detailed quarterly analyses of the loan and lease portfolio. The Allowance is based on our loss experience, changes in the economic environment, reasonable and supportable forecasts, as well as an ongoing assessment of credit quality and environmental factors not reflective in historical loss rates. Additional factors that are considered in determining the amount of the Allowance are the level of net charge-offs, non-performing assets, risk-rating migration, as well as changes in our portfolio size and composition. We recorded a Provision of $117.8 million and $16.0 million in 2020 and 2019, respectively. This increase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 For further discussion on the Allowance, see the “Corporate Risk Profile – Credit Risk” section in MD&amp;A.</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3 presents the major components of noninterest income for 2020 and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Table 3</w:t>
            </w:r>
          </w:p>
        </w:tc>
      </w:tr>
      <w:tr>
        <w:trPr>
          <w:trHeight w:val="197"/>
        </w:trPr>
        <w:tc>
          <w:tcPr>
            <w:tcW w:w="4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2"/>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4"/>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2"/>
          </w:tcPr>
          <w:p>
            <w:pPr>
              <w:jc w:val="right"/>
              <w:ind w:right="972"/>
              <w:spacing w:after="0"/>
              <w:rPr>
                <w:sz w:val="20"/>
                <w:szCs w:val="20"/>
                <w:color w:val="auto"/>
              </w:rPr>
            </w:pPr>
            <w:r>
              <w:rPr>
                <w:rFonts w:ascii="Times New Roman" w:cs="Times New Roman" w:eastAsia="Times New Roman" w:hAnsi="Times New Roman"/>
                <w:sz w:val="16"/>
                <w:szCs w:val="16"/>
                <w:b w:val="1"/>
                <w:bCs w:val="1"/>
                <w:color w:val="auto"/>
              </w:rPr>
              <w:t>2020 to 2019</w:t>
            </w:r>
          </w:p>
        </w:tc>
      </w:tr>
      <w:tr>
        <w:trPr>
          <w:trHeight w:val="225"/>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Trust and Asset Management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43,456</w:t>
            </w: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44,233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(777)</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Mortgage Banking</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17,871</w:t>
            </w:r>
          </w:p>
        </w:tc>
        <w:tc>
          <w:tcPr>
            <w:tcW w:w="44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4,185</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24,910</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30,074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(5,164)</w:t>
            </w:r>
          </w:p>
        </w:tc>
        <w:tc>
          <w:tcPr>
            <w:tcW w:w="13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Fees, Exchange, and Other Service Charges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47,056</w:t>
            </w:r>
          </w:p>
        </w:tc>
        <w:tc>
          <w:tcPr>
            <w:tcW w:w="44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57,893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(10,837)</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Gains (Losses), Net</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9,932</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rPr>
              <w:t>13,918</w:t>
            </w:r>
          </w:p>
        </w:tc>
        <w:tc>
          <w:tcPr>
            <w:tcW w:w="13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Annuity and Insurance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3,362</w:t>
            </w:r>
          </w:p>
        </w:tc>
        <w:tc>
          <w:tcPr>
            <w:tcW w:w="44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6,934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(3,572)</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7,388</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7,015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rPr>
              <w:t>373</w:t>
            </w:r>
          </w:p>
        </w:tc>
        <w:tc>
          <w:tcPr>
            <w:tcW w:w="13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30,434</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27,489</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2,945</w:t>
            </w:r>
          </w:p>
        </w:tc>
        <w:tc>
          <w:tcPr>
            <w:tcW w:w="1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4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1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184,409</w:t>
            </w:r>
          </w:p>
        </w:tc>
        <w:tc>
          <w:tcPr>
            <w:tcW w:w="4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183,338</w:t>
            </w:r>
          </w:p>
        </w:tc>
        <w:tc>
          <w:tcPr>
            <w:tcW w:w="3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rPr>
              <w:t>1,071</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not meaningful.</w:t>
      </w:r>
    </w:p>
    <w:p>
      <w:pPr>
        <w:spacing w:after="0" w:line="2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Trust and asset management income is comprised of fees earned from the management and administration of trusts and other customer assets. These fees are largely based upon the market value of the assets that we manage and the fee rate charged to customers. Total trust assets under administration were $10.5 billion and $10.3 billion as of December 31, 2020, and December 31, 2019, respectively. Trust and asset management income decreased by $0.8 million or 2% in 2020 compared to 2019 due to decreases in number of accounts and tax service fees.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Mortgage banking income is highly influenced by mortgage interest rates, the housing market, the amount of our loan sales, and our valuation of mortgage servicing rights. Mortgage banking income increased by $4.2 million or 31% in 2020 compared to 2019. This increase was primarily due to increased sales of conforming saleable loans from current production. The increase was offset by a $3.9 million valuation impairment to our mortgage servicing rights.</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Service charges on deposit accounts decreased by $5.2 million or 17% in 2020 compared to 2019. This decrease was primarily due to a decrease in overdraft fees coupled with a decrease in account analysis fees.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Fees, exchange, and other service charges are primarily comprised of debit and credit card income, fees from ATMs, merchant service activity, and other loan fees and special charges. Fees, exchange, and other service charges decreased by $10.8 million or 19% in 2020 compared to 2019. This decrease was primarily due to lower debit and credit card transaction volume and the Bank’s suspension of ATM surcharge fees from April 1, 2020, through June 30, 2020. In addition, merchant income decreased due to lower sales volume.</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Net gains (losses) on sales of investment securities totaled $9.9 million and ($4.0) million in 2020 and 2019, respectively. The net gain in 2020 was primarily due to the sale of 80,214 Visa Class B Shares which was partially offset by fees paid to the counterparties of our prior Visa Class B share sale transactions. The net loss in 2019 was primarily due to fees paid to the counterparties of our prior Visa Class B share sale transactions. In addition, in September 2019, Visa announced a reduction of the conversion ratio of its Class B shares from 1.6298 to 1.6228 effective September 27, 2019. As a result, the Company recorded a $0.5 million liability in September 2019, which was paid to previous buyers of our Visa Class B shares in October 2019.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not be sufficient to cover these litigation claims, Visa is entitled to fund additional amounts to the escrow account by further reducing each member bank’s Class B conversion ratio to unrestricted Class A shares. Concurrent with certain sales of these Visa Class B shares, we entered into an agreement with the buyer that requires payment to the buyer in the event Visa further reduces the conversion ratio. We also contributed to the Bank of Hawaii Foundation 2,800 Visa Class B shares during 2019.</w:t>
      </w:r>
    </w:p>
    <w:p>
      <w:pPr>
        <w:spacing w:after="0" w:line="190"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Annuity and insurance income decreased by $3.6 million or 52% in 2020 compared to 2019 primarily due to a decrease in annuity and life insurance products coupled with a one-time commission received in the first quarter of 2019 related to insurance products offered through a third-party administrator.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Bank-owned life insurance increased by $0.4 million or 5% in 2020 compared to 2019 primarily due to higher death benefits received in 2020.</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noninterest income increased by $2.9 million or 11% in 2020 compared to 2019. This increase was primarily due to an $8.2 million increase in fees related to our customer interest rate swap derivatives. This increase was partially offset by a $3.5 million decrease in net gain on sale of leased assets combined with a $1.0 million decrease in foreign currency transactions. These decreases combined with decreases in other income ($0.4 million) and parking service income ($0.3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 presents the major components of noninterest expense for 2020 and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Table 4</w:t>
            </w:r>
          </w:p>
        </w:tc>
      </w:tr>
      <w:tr>
        <w:trPr>
          <w:trHeight w:val="197"/>
        </w:trPr>
        <w:tc>
          <w:tcPr>
            <w:tcW w:w="4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2"/>
        </w:trPr>
        <w:tc>
          <w:tcPr>
            <w:tcW w:w="4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4"/>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2"/>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2020 to 2019</w:t>
            </w:r>
          </w:p>
        </w:tc>
      </w:tr>
      <w:tr>
        <w:trPr>
          <w:trHeight w:val="225"/>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Salaries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134,178</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132,237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1,941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Incentive Compensation</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9,153</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21,913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(12,760)</w:t>
            </w:r>
          </w:p>
        </w:tc>
        <w:tc>
          <w:tcPr>
            <w:tcW w:w="13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6,783</w:t>
            </w:r>
          </w:p>
        </w:tc>
        <w:tc>
          <w:tcPr>
            <w:tcW w:w="4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(1,790)</w:t>
            </w: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Commission Expense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6,985</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6,474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511</w:t>
            </w:r>
          </w:p>
        </w:tc>
        <w:tc>
          <w:tcPr>
            <w:tcW w:w="130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Retirement and Other Benefits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18,528</w:t>
            </w:r>
          </w:p>
        </w:tc>
        <w:tc>
          <w:tcPr>
            <w:tcW w:w="4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18,151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377</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Payroll Taxes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12,241</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11,795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446</w:t>
            </w:r>
          </w:p>
        </w:tc>
        <w:tc>
          <w:tcPr>
            <w:tcW w:w="130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Medical, Dental, and Life Insurance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12,917</w:t>
            </w:r>
          </w:p>
        </w:tc>
        <w:tc>
          <w:tcPr>
            <w:tcW w:w="4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(2,285)</w:t>
            </w: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9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Separation Expense</w:t>
            </w: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6,544</w:t>
            </w:r>
          </w:p>
        </w:tc>
        <w:tc>
          <w:tcPr>
            <w:tcW w:w="4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4,783</w:t>
            </w:r>
          </w:p>
        </w:tc>
        <w:tc>
          <w:tcPr>
            <w:tcW w:w="130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Salaries and Benefits</w:t>
            </w: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207,329</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216,106</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(8,777)</w:t>
            </w:r>
          </w:p>
        </w:tc>
        <w:tc>
          <w:tcPr>
            <w:tcW w:w="13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Occupancy</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39,533</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33,800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5,733</w:t>
            </w:r>
          </w:p>
        </w:tc>
        <w:tc>
          <w:tcPr>
            <w:tcW w:w="130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Equipment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35,448</w:t>
            </w:r>
          </w:p>
        </w:tc>
        <w:tc>
          <w:tcPr>
            <w:tcW w:w="4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29,295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6,153</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18,499</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18,757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(258)</w:t>
            </w:r>
          </w:p>
        </w:tc>
        <w:tc>
          <w:tcPr>
            <w:tcW w:w="13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12,186</w:t>
            </w:r>
          </w:p>
        </w:tc>
        <w:tc>
          <w:tcPr>
            <w:tcW w:w="4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10,071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2,115</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5,780</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588</w:t>
            </w:r>
          </w:p>
        </w:tc>
        <w:tc>
          <w:tcPr>
            <w:tcW w:w="130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Delivery and Postage Services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6,975</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7,937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(962)</w:t>
            </w:r>
          </w:p>
        </w:tc>
        <w:tc>
          <w:tcPr>
            <w:tcW w:w="13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Mileage Program Travel</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4,521</w:t>
            </w:r>
          </w:p>
        </w:tc>
        <w:tc>
          <w:tcPr>
            <w:tcW w:w="4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(240)</w:t>
            </w: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Merchant Transaction and Card Processing Fees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4,259</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5,719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(1,460)</w:t>
            </w:r>
          </w:p>
        </w:tc>
        <w:tc>
          <w:tcPr>
            <w:tcW w:w="13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Advertising</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8,331</w:t>
            </w:r>
          </w:p>
        </w:tc>
        <w:tc>
          <w:tcPr>
            <w:tcW w:w="4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2,205</w:t>
            </w: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 Solar Energy Partnership Investments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3,678</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(82)</w:t>
            </w:r>
          </w:p>
        </w:tc>
        <w:tc>
          <w:tcPr>
            <w:tcW w:w="130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27,268</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37,703</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(10,435)</w:t>
            </w:r>
          </w:p>
        </w:tc>
        <w:tc>
          <w:tcPr>
            <w:tcW w:w="13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4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55,032</w:t>
            </w:r>
          </w:p>
        </w:tc>
        <w:tc>
          <w:tcPr>
            <w:tcW w:w="4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66,006</w:t>
            </w:r>
          </w:p>
        </w:tc>
        <w:tc>
          <w:tcPr>
            <w:tcW w:w="1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(10,974)</w:t>
            </w:r>
          </w:p>
        </w:tc>
        <w:tc>
          <w:tcPr>
            <w:tcW w:w="130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Noninterest Expense</w:t>
            </w: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373,807</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379,227</w:t>
            </w:r>
          </w:p>
        </w:tc>
        <w:tc>
          <w:tcPr>
            <w:tcW w:w="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(5,420)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not meaningful.</w:t>
      </w:r>
    </w:p>
    <w:p>
      <w:pPr>
        <w:spacing w:after="0" w:line="208"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7"/>
          <w:szCs w:val="17"/>
          <w:color w:val="auto"/>
        </w:rPr>
        <w:t>Total salaries and benefits decreased by $8.8 million or 4% in 2020 compared to 2019 primarily due a $12.8 million decrease in incentive compensation coupled with a $2.3 million decrease in medical, dental, and life insurance primarily due to lower expenses related to lower medical insurance</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costs. Shared-based compensation decreased by $1.8 million due to forfeiture of unvested restricted stock grants and a lower number of restricted stock units being amortized. These decreases were partially offset by a $4.8 million increase in separation expense coupled with a $1.9 million increase in base salaries due to merit increases.</w:t>
      </w:r>
    </w:p>
    <w:p>
      <w:pPr>
        <w:spacing w:after="0" w:line="14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occupancy expense increased by $5.7 million or 17% in 2020 compared to 2019 primarily due to the decision to permanently close 12 branches in the fourth quarter of 2020 for a total exit cost of $5.6 million. This increase was combined with a $1.0 million increase in security guard services, $0.8 million increase in depreciation, and $0.6 million increase in janitorial supplies. These increases were partially offset by a $1.1 million decrease in utilities.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equipment expense increased by $6.2 million or 21% in 2020 compared to 2019 primarily due to a $2.5 million increase in software license fees and maintenance and coupled with a $2.2 million increase in depreciation expense. In addition, fixed asset disposal and rent expense increased by $0.7 million and $0.5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processing expense decreased by $0.3 million or 1% in 2020 compared to 2019 due to ongoing information technology projects.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expense increased by $2.1 million or 21% in 2020 compared to 2019 due to an increase in legal fees and corporate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FDIC insurance increased by $0.6 million or 11% in 2020 compared to 2019 due to an increase in FDIC assessment rates.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Other noninterest expense decreased by $11.0 million or 17% in 2020 compared to 2019 primarily due to $6.0 million in legal reserves recorded in September 2019 for what was then a tentative settlement of a class action lawsuit regarding the Company’s overdraft practices. This decrease was combined with decreases in business development and travel ($1.9 million), merchant transactions and card processing fees ($1.5 million), insurance ($1.3 million), reserve for unfunded commitments ($1.1 million), delivery and postage ($1.0 million), station and supplies ($0.8 million), special events ($0.8 million), and sponsorships and fundraisers ($0.6 million). These decreases were partially offset by increases in advertising and broker’s charges.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 presents our provision for income taxes and effective tax rates for 2020 and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Provision for Income Taxes and Effective Tax Rates</w:t>
            </w:r>
          </w:p>
        </w:tc>
        <w:tc>
          <w:tcPr>
            <w:tcW w:w="14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Table 5</w:t>
            </w:r>
          </w:p>
        </w:tc>
      </w:tr>
      <w:tr>
        <w:trPr>
          <w:trHeight w:val="211"/>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4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Provision for Income Taxes</w:t>
            </w:r>
          </w:p>
        </w:tc>
        <w:tc>
          <w:tcPr>
            <w:tcW w:w="2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Effective Tax Rates</w:t>
            </w:r>
          </w:p>
        </w:tc>
      </w:tr>
      <w:tr>
        <w:trPr>
          <w:trHeight w:val="225"/>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1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shd w:val="clear" w:color="auto" w:fill="CFF0FC"/>
          </w:tcPr>
          <w:p>
            <w:pPr>
              <w:jc w:val="right"/>
              <w:ind w:right="613"/>
              <w:spacing w:after="0"/>
              <w:rPr>
                <w:sz w:val="20"/>
                <w:szCs w:val="20"/>
                <w:color w:val="auto"/>
              </w:rPr>
            </w:pPr>
            <w:r>
              <w:rPr>
                <w:rFonts w:ascii="Times New Roman" w:cs="Times New Roman" w:eastAsia="Times New Roman" w:hAnsi="Times New Roman"/>
                <w:sz w:val="18"/>
                <w:szCs w:val="18"/>
                <w:color w:val="auto"/>
              </w:rPr>
              <w:t>35,320</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460" w:type="dxa"/>
            <w:vAlign w:val="bottom"/>
          </w:tcPr>
          <w:p>
            <w:pPr>
              <w:spacing w:after="0"/>
              <w:rPr>
                <w:sz w:val="20"/>
                <w:szCs w:val="20"/>
                <w:color w:val="auto"/>
              </w:rPr>
            </w:pPr>
          </w:p>
        </w:tc>
        <w:tc>
          <w:tcPr>
            <w:tcW w:w="282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59,913</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r>
    </w:tbl>
    <w:p>
      <w:pPr>
        <w:spacing w:after="0" w:line="193"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$35.3 million in 2020, a decrease of $24.6 million or 41% compared to 2019. The effective tax rate was 18.68% in 2020 compared to 20.96% in 2019. The lower effective tax rate in 2020 compared to 2019 was primarily due to lower pretax income and the tax benefit identified and recorded in 2020 for return-to-provision adjustments. This was partially offset by the early buy-out of our equity interest in two leveraged leases, which resulted in $1.9 million and $1.8 million credits to the provision for income taxes in the first and fourth quarters of 2019.</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Business Segments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business segments are Consumer Banking, Commercial Banking, and Treasury and Other. Table 6 summarizes net income from our business segments for 2020 and 2019. Additional information about segment performance is presented in Note 13 to the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Business Segment Net Income</w:t>
            </w:r>
          </w:p>
        </w:tc>
        <w:tc>
          <w:tcPr>
            <w:tcW w:w="2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Table 6</w:t>
            </w:r>
          </w:p>
        </w:tc>
      </w:tr>
      <w:tr>
        <w:trPr>
          <w:trHeight w:val="209"/>
        </w:trPr>
        <w:tc>
          <w:tcPr>
            <w:tcW w:w="49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r>
      <w:tr>
        <w:trPr>
          <w:trHeight w:val="211"/>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 Banking</w:t>
            </w:r>
          </w:p>
        </w:tc>
        <w:tc>
          <w:tcPr>
            <w:tcW w:w="32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92,370</w:t>
            </w:r>
          </w:p>
        </w:tc>
        <w:tc>
          <w:tcPr>
            <w:tcW w:w="10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116,180</w:t>
            </w:r>
          </w:p>
        </w:tc>
      </w:tr>
      <w:tr>
        <w:trPr>
          <w:trHeight w:val="21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Commercial Banking</w:t>
            </w:r>
          </w:p>
        </w:tc>
        <w:tc>
          <w:tcPr>
            <w:tcW w:w="2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120,722</w:t>
            </w: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104,177</w:t>
            </w:r>
          </w:p>
        </w:tc>
      </w:tr>
      <w:tr>
        <w:trPr>
          <w:trHeight w:val="212"/>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213,092</w:t>
            </w:r>
          </w:p>
        </w:tc>
        <w:tc>
          <w:tcPr>
            <w:tcW w:w="10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220,357</w:t>
            </w:r>
          </w:p>
        </w:tc>
      </w:tr>
      <w:tr>
        <w:trPr>
          <w:trHeight w:val="21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Treasury and Other</w:t>
            </w:r>
          </w:p>
        </w:tc>
        <w:tc>
          <w:tcPr>
            <w:tcW w:w="2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(59,288)</w:t>
            </w: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5,556</w:t>
            </w:r>
          </w:p>
        </w:tc>
      </w:tr>
      <w:tr>
        <w:trPr>
          <w:trHeight w:val="210"/>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3260" w:type="dxa"/>
            <w:vAlign w:val="bottom"/>
            <w:tcBorders>
              <w:bottom w:val="single" w:sz="8" w:color="auto"/>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153,804</w:t>
            </w:r>
          </w:p>
        </w:tc>
        <w:tc>
          <w:tcPr>
            <w:tcW w:w="100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225,913</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Net income decreased by $23.8 million or 20% in 2020 compared to 2019 primarily due to decreases in noninterest income and net interest income, as well as an increase in noninterest expense. This was partly offset by a decrease in the Provision. The decrease in noninterest income was primarily due to the temporary suspension of various ATM fees in the second quarter of 2020, as well as reductions in overdraft income and credit card income due to lower transaction volumes. Additionally, annuity and insurance income decreased primarily due to a one-time commission received in the first quarter of 2019 related to insurance products offered through a third-party administrator coupled with a decrease in annuity and life insurance products. This was partly offset by an increase in mortgage banking income primarily due to increased sales of conforming saleable loans from current production, less a valuation impairment to our mortgage servicing rights. The segment also received a one-time commission in the first quarter of 2019 related to insurance products offered through a third-party administrator. The decrease in net interest income was primarily due to lower average rates in the segment’s deposit portfolio, partially offset by higher average balances in the deposit portfolio. The increase in noninterest expense was primarily due to an increase in allocated expense and an increase in legal reserve in the third quarter of 2019 related to the tentative settlement of a class action lawsuit regarding the Company’s overdraft practices. The decrease in the Provision was due to lower net chargeoffs in the auto loan, installment loan, and home equity loan portfolios.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Net income increased by $16.5 million or 16% in 2020 compared to 2019 primarily due to an increase in interest income, noninterest income, and a decrease in noninterest expense. The increase in net interest income was due to growth in the segment’s loan and deposit portfolios, partially offset by lower rates. Loan growth was primarily driven by increases in commercial and industrial and commercial mortgage portfolio segments while deposit growth was primarily driven by increases in both noninterest bearing and interest bearing demand deposits, partially offset by a decrease in time deposits. The increase in noninterest income is primarily due to an increase in customer derivative program revenue, partially offset by lower deposit and merchant account fees and a decrease in gain on sale of leased assets due to a sale in 2019. The decrease in noninterest expense was primarily due to lower allocated expenses related to support units.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decreased by $64.8 million in 2020 compared to 2019 primarily due to an increase in provision for income taxes and provision for credit losses, partially offset by an increase in noninterest income. The provision for income taxes in this business segment represents the residual amount to arrive at the total tax expense for the Company. The overall effective tax rate decreased to 18.68% in 2020 compared to 20.96% in 2019. The provision for credit losses in this business segment represents the residual provision for credit losses to arrive at the total Provision for the Company. The increase in noninterest income was primarily due to the sale of Visa Class B Shares during the second quarter of 2020.</w:t>
      </w:r>
    </w:p>
    <w:p>
      <w:pPr>
        <w:spacing w:after="0" w:line="1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Statements of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presents the maturity distribution at amortized cost, weighted-average yield to maturity, and fair value of our investment securities.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Maturities and Average Yield on Securities</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Table 7</w:t>
            </w:r>
          </w:p>
        </w:tc>
      </w:tr>
      <w:tr>
        <w:trPr>
          <w:trHeight w:val="132"/>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jc w:val="right"/>
              <w:ind w:right="98"/>
              <w:spacing w:after="0" w:line="132"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58"/>
              <w:spacing w:after="0" w:line="132" w:lineRule="exact"/>
              <w:rPr>
                <w:sz w:val="20"/>
                <w:szCs w:val="20"/>
                <w:color w:val="auto"/>
              </w:rPr>
            </w:pPr>
            <w:r>
              <w:rPr>
                <w:rFonts w:ascii="Times New Roman" w:cs="Times New Roman" w:eastAsia="Times New Roman" w:hAnsi="Times New Roman"/>
                <w:sz w:val="12"/>
                <w:szCs w:val="12"/>
                <w:b w:val="1"/>
                <w:bCs w:val="1"/>
                <w:color w:val="auto"/>
              </w:rPr>
              <w:t>After 1</w:t>
            </w:r>
          </w:p>
        </w:tc>
        <w:tc>
          <w:tcPr>
            <w:tcW w:w="880" w:type="dxa"/>
            <w:vAlign w:val="bottom"/>
          </w:tcPr>
          <w:p>
            <w:pPr>
              <w:jc w:val="right"/>
              <w:ind w:right="178"/>
              <w:spacing w:after="0" w:line="132"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80" w:type="dxa"/>
            <w:vAlign w:val="bottom"/>
          </w:tcPr>
          <w:p>
            <w:pPr>
              <w:spacing w:after="0"/>
              <w:rPr>
                <w:sz w:val="11"/>
                <w:szCs w:val="11"/>
                <w:color w:val="auto"/>
              </w:rPr>
            </w:pPr>
          </w:p>
        </w:tc>
        <w:tc>
          <w:tcPr>
            <w:tcW w:w="580" w:type="dxa"/>
            <w:vAlign w:val="bottom"/>
          </w:tcPr>
          <w:p>
            <w:pPr>
              <w:jc w:val="right"/>
              <w:ind w:right="58"/>
              <w:spacing w:after="0" w:line="132" w:lineRule="exact"/>
              <w:rPr>
                <w:sz w:val="20"/>
                <w:szCs w:val="20"/>
                <w:color w:val="auto"/>
              </w:rPr>
            </w:pPr>
            <w:r>
              <w:rPr>
                <w:rFonts w:ascii="Times New Roman" w:cs="Times New Roman" w:eastAsia="Times New Roman" w:hAnsi="Times New Roman"/>
                <w:sz w:val="12"/>
                <w:szCs w:val="12"/>
                <w:b w:val="1"/>
                <w:bCs w:val="1"/>
                <w:color w:val="auto"/>
              </w:rPr>
              <w:t>After 5</w:t>
            </w:r>
          </w:p>
        </w:tc>
        <w:tc>
          <w:tcPr>
            <w:tcW w:w="820" w:type="dxa"/>
            <w:vAlign w:val="bottom"/>
          </w:tcPr>
          <w:p>
            <w:pPr>
              <w:jc w:val="right"/>
              <w:ind w:right="98"/>
              <w:spacing w:after="0" w:line="132"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jc w:val="right"/>
              <w:ind w:right="178"/>
              <w:spacing w:after="0" w:line="132"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jc w:val="right"/>
              <w:ind w:right="118"/>
              <w:spacing w:after="0" w:line="132"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2"/>
                <w:szCs w:val="12"/>
                <w:b w:val="1"/>
                <w:bCs w:val="1"/>
                <w:color w:val="auto"/>
              </w:rPr>
              <w:t>1 Year</w:t>
            </w:r>
          </w:p>
        </w:tc>
        <w:tc>
          <w:tcPr>
            <w:tcW w:w="820" w:type="dxa"/>
            <w:vAlign w:val="bottom"/>
          </w:tcPr>
          <w:p>
            <w:pPr>
              <w:jc w:val="right"/>
              <w:ind w:right="98"/>
              <w:spacing w:after="0" w:line="135" w:lineRule="exact"/>
              <w:rPr>
                <w:sz w:val="20"/>
                <w:szCs w:val="20"/>
                <w:color w:val="auto"/>
              </w:rPr>
            </w:pPr>
            <w:r>
              <w:rPr>
                <w:rFonts w:ascii="Times New Roman" w:cs="Times New Roman" w:eastAsia="Times New Roman" w:hAnsi="Times New Roman"/>
                <w:sz w:val="12"/>
                <w:szCs w:val="12"/>
                <w:b w:val="1"/>
                <w:bCs w:val="1"/>
                <w:color w:val="auto"/>
              </w:rPr>
              <w:t>Average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2"/>
                <w:szCs w:val="12"/>
                <w:b w:val="1"/>
                <w:bCs w:val="1"/>
                <w:color w:val="auto"/>
              </w:rPr>
              <w:t>Year-5</w:t>
            </w:r>
          </w:p>
        </w:tc>
        <w:tc>
          <w:tcPr>
            <w:tcW w:w="880" w:type="dxa"/>
            <w:vAlign w:val="bottom"/>
          </w:tcPr>
          <w:p>
            <w:pPr>
              <w:jc w:val="right"/>
              <w:ind w:right="178"/>
              <w:spacing w:after="0" w:line="135" w:lineRule="exact"/>
              <w:rPr>
                <w:sz w:val="20"/>
                <w:szCs w:val="20"/>
                <w:color w:val="auto"/>
              </w:rPr>
            </w:pPr>
            <w:r>
              <w:rPr>
                <w:rFonts w:ascii="Times New Roman" w:cs="Times New Roman" w:eastAsia="Times New Roman" w:hAnsi="Times New Roman"/>
                <w:sz w:val="12"/>
                <w:szCs w:val="12"/>
                <w:b w:val="1"/>
                <w:bCs w:val="1"/>
                <w:color w:val="auto"/>
              </w:rPr>
              <w:t>Average</w:t>
            </w:r>
          </w:p>
        </w:tc>
        <w:tc>
          <w:tcPr>
            <w:tcW w:w="80" w:type="dxa"/>
            <w:vAlign w:val="bottom"/>
          </w:tcPr>
          <w:p>
            <w:pPr>
              <w:spacing w:after="0"/>
              <w:rPr>
                <w:sz w:val="11"/>
                <w:szCs w:val="11"/>
                <w:color w:val="auto"/>
              </w:rPr>
            </w:pPr>
          </w:p>
        </w:tc>
        <w:tc>
          <w:tcPr>
            <w:tcW w:w="5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2"/>
                <w:szCs w:val="12"/>
                <w:b w:val="1"/>
                <w:bCs w:val="1"/>
                <w:color w:val="auto"/>
                <w:w w:val="95"/>
              </w:rPr>
              <w:t>Years-10</w:t>
            </w:r>
          </w:p>
        </w:tc>
        <w:tc>
          <w:tcPr>
            <w:tcW w:w="820" w:type="dxa"/>
            <w:vAlign w:val="bottom"/>
          </w:tcPr>
          <w:p>
            <w:pPr>
              <w:jc w:val="right"/>
              <w:ind w:right="98"/>
              <w:spacing w:after="0" w:line="135" w:lineRule="exact"/>
              <w:rPr>
                <w:sz w:val="20"/>
                <w:szCs w:val="20"/>
                <w:color w:val="auto"/>
              </w:rPr>
            </w:pPr>
            <w:r>
              <w:rPr>
                <w:rFonts w:ascii="Times New Roman" w:cs="Times New Roman" w:eastAsia="Times New Roman" w:hAnsi="Times New Roman"/>
                <w:sz w:val="12"/>
                <w:szCs w:val="12"/>
                <w:b w:val="1"/>
                <w:bCs w:val="1"/>
                <w:color w:val="auto"/>
              </w:rPr>
              <w:t>Average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2"/>
                <w:szCs w:val="12"/>
                <w:b w:val="1"/>
                <w:bCs w:val="1"/>
                <w:color w:val="auto"/>
              </w:rPr>
              <w:t>Over 10</w:t>
            </w:r>
          </w:p>
        </w:tc>
        <w:tc>
          <w:tcPr>
            <w:tcW w:w="880" w:type="dxa"/>
            <w:vAlign w:val="bottom"/>
          </w:tcPr>
          <w:p>
            <w:pPr>
              <w:jc w:val="right"/>
              <w:ind w:right="178"/>
              <w:spacing w:after="0" w:line="135"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jc w:val="right"/>
              <w:ind w:right="118"/>
              <w:spacing w:after="0" w:line="135" w:lineRule="exact"/>
              <w:rPr>
                <w:sz w:val="20"/>
                <w:szCs w:val="20"/>
                <w:color w:val="auto"/>
              </w:rPr>
            </w:pPr>
            <w:r>
              <w:rPr>
                <w:rFonts w:ascii="Times New Roman" w:cs="Times New Roman" w:eastAsia="Times New Roman" w:hAnsi="Times New Roman"/>
                <w:sz w:val="12"/>
                <w:szCs w:val="12"/>
                <w:b w:val="1"/>
                <w:bCs w:val="1"/>
                <w:color w:val="auto"/>
              </w:rPr>
              <w:t>Average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2"/>
                <w:szCs w:val="12"/>
                <w:b w:val="1"/>
                <w:bCs w:val="1"/>
                <w:color w:val="auto"/>
              </w:rPr>
              <w:t>Fair</w:t>
            </w:r>
          </w:p>
        </w:tc>
      </w:tr>
      <w:tr>
        <w:trPr>
          <w:trHeight w:val="145"/>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(dollars in millions)</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rPr>
              <w:t>or Less</w:t>
            </w: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Yield</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Years</w:t>
            </w:r>
          </w:p>
        </w:tc>
        <w:tc>
          <w:tcPr>
            <w:tcW w:w="8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Yield</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Years</w:t>
            </w: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Yield</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rPr>
              <w:t>Years</w:t>
            </w:r>
          </w:p>
        </w:tc>
        <w:tc>
          <w:tcPr>
            <w:tcW w:w="8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Yield</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Yield</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Value</w:t>
            </w:r>
          </w:p>
        </w:tc>
      </w:tr>
      <w:tr>
        <w:trPr>
          <w:trHeight w:val="142"/>
        </w:trPr>
        <w:tc>
          <w:tcPr>
            <w:tcW w:w="2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As of December 31, 2020</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r>
      <w:tr>
        <w:trPr>
          <w:trHeight w:val="148"/>
        </w:trPr>
        <w:tc>
          <w:tcPr>
            <w:tcW w:w="2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Available-for-Sale </w:t>
            </w: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0"/>
        </w:trPr>
        <w:tc>
          <w:tcPr>
            <w:tcW w:w="24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Debt Securities Issued by the U.S.</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r>
      <w:tr>
        <w:trPr>
          <w:trHeight w:val="153"/>
        </w:trPr>
        <w:tc>
          <w:tcPr>
            <w:tcW w:w="2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 xml:space="preserve">Treasury and Government Agencies </w:t>
            </w:r>
            <w:r>
              <w:rPr>
                <w:rFonts w:ascii="Times New Roman" w:cs="Times New Roman" w:eastAsia="Times New Roman" w:hAnsi="Times New Roman"/>
                <w:sz w:val="10"/>
                <w:szCs w:val="10"/>
                <w:color w:val="auto"/>
              </w:rPr>
              <w:t>3</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173.0</w:t>
            </w:r>
          </w:p>
        </w:tc>
        <w:tc>
          <w:tcPr>
            <w:tcW w:w="8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174.4</w:t>
            </w:r>
          </w:p>
        </w:tc>
        <w:tc>
          <w:tcPr>
            <w:tcW w:w="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174.2</w:t>
            </w:r>
          </w:p>
        </w:tc>
      </w:tr>
      <w:tr>
        <w:trPr>
          <w:trHeight w:val="130"/>
        </w:trPr>
        <w:tc>
          <w:tcPr>
            <w:tcW w:w="24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Debt Securities Issued by States and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53"/>
        </w:trPr>
        <w:tc>
          <w:tcPr>
            <w:tcW w:w="2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Political Subdivisions </w:t>
            </w:r>
            <w:r>
              <w:rPr>
                <w:rFonts w:ascii="Times New Roman" w:cs="Times New Roman" w:eastAsia="Times New Roman" w:hAnsi="Times New Roman"/>
                <w:sz w:val="10"/>
                <w:szCs w:val="10"/>
                <w:color w:val="auto"/>
              </w:rPr>
              <w:t>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2.1</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3"/>
                <w:szCs w:val="13"/>
                <w:color w:val="auto"/>
              </w:rPr>
            </w:pP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20.2</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23.5</w:t>
            </w:r>
          </w:p>
        </w:tc>
        <w:tc>
          <w:tcPr>
            <w:tcW w:w="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3.2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24.8</w:t>
            </w:r>
          </w:p>
        </w:tc>
      </w:tr>
      <w:tr>
        <w:trPr>
          <w:trHeight w:val="130"/>
        </w:trPr>
        <w:tc>
          <w:tcPr>
            <w:tcW w:w="24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Debt Securities Issued by U.S.</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r>
      <w:tr>
        <w:trPr>
          <w:trHeight w:val="153"/>
        </w:trPr>
        <w:tc>
          <w:tcPr>
            <w:tcW w:w="2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Government-Sponsored Enterprises</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2.8</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0.2</w:t>
            </w:r>
          </w:p>
        </w:tc>
        <w:tc>
          <w:tcPr>
            <w:tcW w:w="8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0.8</w:t>
            </w:r>
          </w:p>
        </w:tc>
        <w:tc>
          <w:tcPr>
            <w:tcW w:w="8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2.2</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1.1</w:t>
            </w:r>
          </w:p>
        </w:tc>
      </w:tr>
      <w:tr>
        <w:trPr>
          <w:trHeight w:val="148"/>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50.5</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0.7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44.2</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126.0</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3.3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220.7</w:t>
            </w:r>
          </w:p>
        </w:tc>
        <w:tc>
          <w:tcPr>
            <w:tcW w:w="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224.6</w:t>
            </w:r>
          </w:p>
        </w:tc>
      </w:tr>
      <w:tr>
        <w:trPr>
          <w:trHeight w:val="14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Mortgage-Backed Securities </w:t>
            </w:r>
            <w:r>
              <w:rPr>
                <w:rFonts w:ascii="Times New Roman" w:cs="Times New Roman" w:eastAsia="Times New Roman" w:hAnsi="Times New Roman"/>
                <w:sz w:val="10"/>
                <w:szCs w:val="10"/>
                <w:color w:val="auto"/>
              </w:rPr>
              <w:t>3</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r>
      <w:tr>
        <w:trPr>
          <w:trHeight w:val="148"/>
        </w:trPr>
        <w:tc>
          <w:tcPr>
            <w:tcW w:w="2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Residential - Government Agencies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0.9</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3.4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1,327.6</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233.1</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1,561.6</w:t>
            </w:r>
          </w:p>
        </w:tc>
        <w:tc>
          <w:tcPr>
            <w:tcW w:w="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1.8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1,594.8</w:t>
            </w:r>
          </w:p>
        </w:tc>
      </w:tr>
      <w:tr>
        <w:trPr>
          <w:trHeight w:val="130"/>
        </w:trPr>
        <w:tc>
          <w:tcPr>
            <w:tcW w:w="244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Residential - U.S. Government-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r>
      <w:tr>
        <w:trPr>
          <w:trHeight w:val="153"/>
        </w:trPr>
        <w:tc>
          <w:tcPr>
            <w:tcW w:w="24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Sponsored Enterprises</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10.5</w:t>
            </w:r>
          </w:p>
        </w:tc>
        <w:tc>
          <w:tcPr>
            <w:tcW w:w="8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1,180.7</w:t>
            </w:r>
          </w:p>
        </w:tc>
        <w:tc>
          <w:tcPr>
            <w:tcW w:w="8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306.2</w:t>
            </w:r>
          </w:p>
        </w:tc>
        <w:tc>
          <w:tcPr>
            <w:tcW w:w="8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1,497.4</w:t>
            </w:r>
          </w:p>
        </w:tc>
        <w:tc>
          <w:tcPr>
            <w:tcW w:w="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1,518.3</w:t>
            </w:r>
          </w:p>
        </w:tc>
      </w:tr>
      <w:tr>
        <w:trPr>
          <w:trHeight w:val="148"/>
        </w:trPr>
        <w:tc>
          <w:tcPr>
            <w:tcW w:w="2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Commercial - Government Agencies</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230.4</w:t>
            </w:r>
          </w:p>
        </w:tc>
        <w:tc>
          <w:tcPr>
            <w:tcW w:w="8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12.6</w:t>
            </w: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2.5</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243.0</w:t>
            </w:r>
          </w:p>
        </w:tc>
        <w:tc>
          <w:tcPr>
            <w:tcW w:w="8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2.5</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253.8</w:t>
            </w:r>
          </w:p>
        </w:tc>
      </w:tr>
      <w:tr>
        <w:trPr>
          <w:trHeight w:val="142"/>
        </w:trPr>
        <w:tc>
          <w:tcPr>
            <w:tcW w:w="24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Mortgage-Backed Securities</w:t>
            </w:r>
          </w:p>
        </w:tc>
        <w:tc>
          <w:tcPr>
            <w:tcW w:w="2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11.4</w:t>
            </w:r>
          </w:p>
        </w:tc>
        <w:tc>
          <w:tcPr>
            <w:tcW w:w="820" w:type="dxa"/>
            <w:vAlign w:val="bottom"/>
            <w:tcBorders>
              <w:bottom w:val="single" w:sz="8" w:color="auto"/>
            </w:tcBorders>
            <w:shd w:val="clear" w:color="auto" w:fill="CFF0FC"/>
          </w:tcPr>
          <w:p>
            <w:pPr>
              <w:jc w:val="right"/>
              <w:ind w:right="98"/>
              <w:spacing w:after="0" w:line="142"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2,738.7</w:t>
            </w:r>
          </w:p>
        </w:tc>
        <w:tc>
          <w:tcPr>
            <w:tcW w:w="880" w:type="dxa"/>
            <w:vAlign w:val="bottom"/>
            <w:tcBorders>
              <w:bottom w:val="single" w:sz="8" w:color="auto"/>
            </w:tcBorders>
            <w:shd w:val="clear" w:color="auto" w:fill="CFF0FC"/>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551.9</w:t>
            </w:r>
          </w:p>
        </w:tc>
        <w:tc>
          <w:tcPr>
            <w:tcW w:w="820" w:type="dxa"/>
            <w:vAlign w:val="bottom"/>
            <w:tcBorders>
              <w:bottom w:val="single" w:sz="8" w:color="auto"/>
            </w:tcBorders>
            <w:shd w:val="clear" w:color="auto" w:fill="CFF0FC"/>
          </w:tcPr>
          <w:p>
            <w:pPr>
              <w:jc w:val="right"/>
              <w:ind w:right="98"/>
              <w:spacing w:after="0" w:line="142"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FF0FC"/>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3,302.0</w:t>
            </w:r>
          </w:p>
        </w:tc>
        <w:tc>
          <w:tcPr>
            <w:tcW w:w="840" w:type="dxa"/>
            <w:vAlign w:val="bottom"/>
            <w:tcBorders>
              <w:bottom w:val="single" w:sz="8" w:color="auto"/>
            </w:tcBorders>
            <w:shd w:val="clear" w:color="auto" w:fill="CFF0FC"/>
          </w:tcPr>
          <w:p>
            <w:pPr>
              <w:ind w:left="520"/>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78"/>
              <w:spacing w:after="0" w:line="142" w:lineRule="exact"/>
              <w:rPr>
                <w:sz w:val="20"/>
                <w:szCs w:val="20"/>
                <w:color w:val="auto"/>
              </w:rPr>
            </w:pPr>
            <w:r>
              <w:rPr>
                <w:rFonts w:ascii="Times New Roman" w:cs="Times New Roman" w:eastAsia="Times New Roman" w:hAnsi="Times New Roman"/>
                <w:sz w:val="13"/>
                <w:szCs w:val="13"/>
                <w:color w:val="auto"/>
              </w:rPr>
              <w:t>3,366.9</w:t>
            </w:r>
          </w:p>
        </w:tc>
      </w:tr>
      <w:tr>
        <w:trPr>
          <w:trHeight w:val="142"/>
        </w:trPr>
        <w:tc>
          <w:tcPr>
            <w:tcW w:w="24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4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64.5</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w:t>
            </w:r>
          </w:p>
        </w:tc>
        <w:tc>
          <w:tcPr>
            <w:tcW w:w="1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2,958.2</w:t>
            </w:r>
          </w:p>
        </w:tc>
        <w:tc>
          <w:tcPr>
            <w:tcW w:w="8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698.9</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w:t>
            </w:r>
          </w:p>
        </w:tc>
        <w:tc>
          <w:tcPr>
            <w:tcW w:w="1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5.6%</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3,721.6</w:t>
            </w:r>
          </w:p>
        </w:tc>
        <w:tc>
          <w:tcPr>
            <w:tcW w:w="840" w:type="dxa"/>
            <w:vAlign w:val="bottom"/>
          </w:tcPr>
          <w:p>
            <w:pPr>
              <w:ind w:left="520"/>
              <w:spacing w:after="0" w:line="142" w:lineRule="exact"/>
              <w:rPr>
                <w:sz w:val="20"/>
                <w:szCs w:val="20"/>
                <w:color w:val="auto"/>
              </w:rPr>
            </w:pPr>
            <w:r>
              <w:rPr>
                <w:rFonts w:ascii="Times New Roman" w:cs="Times New Roman" w:eastAsia="Times New Roman" w:hAnsi="Times New Roman"/>
                <w:sz w:val="13"/>
                <w:szCs w:val="13"/>
                <w:color w:val="auto"/>
              </w:rPr>
              <w:t>1.8%</w:t>
            </w:r>
          </w:p>
        </w:tc>
        <w:tc>
          <w:tcPr>
            <w:tcW w:w="20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3"/>
                <w:szCs w:val="13"/>
                <w:color w:val="auto"/>
              </w:rPr>
              <w:t>3,791.6</w:t>
            </w:r>
          </w:p>
        </w:tc>
      </w:tr>
      <w:tr>
        <w:trPr>
          <w:trHeight w:val="142"/>
        </w:trPr>
        <w:tc>
          <w:tcPr>
            <w:tcW w:w="244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Held-to-Maturity</w:t>
            </w: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r>
      <w:tr>
        <w:trPr>
          <w:trHeight w:val="130"/>
        </w:trPr>
        <w:tc>
          <w:tcPr>
            <w:tcW w:w="24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Debt Securities Issued by the U.S.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53"/>
        </w:trPr>
        <w:tc>
          <w:tcPr>
            <w:tcW w:w="2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Treasury and Government Agencies</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7.5</w:t>
            </w: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w:t>
            </w:r>
          </w:p>
        </w:tc>
        <w:tc>
          <w:tcPr>
            <w:tcW w:w="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7.5</w:t>
            </w:r>
          </w:p>
        </w:tc>
      </w:tr>
      <w:tr>
        <w:trPr>
          <w:trHeight w:val="130"/>
        </w:trPr>
        <w:tc>
          <w:tcPr>
            <w:tcW w:w="24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Debt Securities Issued by States and</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r>
      <w:tr>
        <w:trPr>
          <w:trHeight w:val="153"/>
        </w:trPr>
        <w:tc>
          <w:tcPr>
            <w:tcW w:w="2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 xml:space="preserve">Political Subdivisions </w:t>
            </w:r>
            <w:r>
              <w:rPr>
                <w:rFonts w:ascii="Times New Roman" w:cs="Times New Roman" w:eastAsia="Times New Roman" w:hAnsi="Times New Roman"/>
                <w:sz w:val="10"/>
                <w:szCs w:val="10"/>
                <w:color w:val="auto"/>
              </w:rPr>
              <w:t>2</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33.8</w:t>
            </w:r>
          </w:p>
        </w:tc>
        <w:tc>
          <w:tcPr>
            <w:tcW w:w="8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33.8</w:t>
            </w:r>
          </w:p>
        </w:tc>
        <w:tc>
          <w:tcPr>
            <w:tcW w:w="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34.5</w:t>
            </w:r>
          </w:p>
        </w:tc>
      </w:tr>
      <w:tr>
        <w:trPr>
          <w:trHeight w:val="148"/>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12.0</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2"/>
                <w:szCs w:val="12"/>
                <w:color w:val="auto"/>
              </w:rPr>
            </w:pP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12.0</w:t>
            </w:r>
          </w:p>
        </w:tc>
        <w:tc>
          <w:tcPr>
            <w:tcW w:w="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12.3</w:t>
            </w:r>
          </w:p>
        </w:tc>
      </w:tr>
      <w:tr>
        <w:trPr>
          <w:trHeight w:val="14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 xml:space="preserve">Mortgage-Backed Securities </w:t>
            </w:r>
            <w:r>
              <w:rPr>
                <w:rFonts w:ascii="Times New Roman" w:cs="Times New Roman" w:eastAsia="Times New Roman" w:hAnsi="Times New Roman"/>
                <w:sz w:val="10"/>
                <w:szCs w:val="10"/>
                <w:color w:val="auto"/>
              </w:rPr>
              <w:t>3</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r>
      <w:tr>
        <w:trPr>
          <w:trHeight w:val="148"/>
        </w:trPr>
        <w:tc>
          <w:tcPr>
            <w:tcW w:w="2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Residential - Government Agencies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12.6</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571.0</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2"/>
                <w:szCs w:val="12"/>
                <w:color w:val="auto"/>
              </w:rPr>
            </w:pP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333.8</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917.4</w:t>
            </w:r>
          </w:p>
        </w:tc>
        <w:tc>
          <w:tcPr>
            <w:tcW w:w="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2.3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948.0</w:t>
            </w:r>
          </w:p>
        </w:tc>
      </w:tr>
      <w:tr>
        <w:trPr>
          <w:trHeight w:val="130"/>
        </w:trPr>
        <w:tc>
          <w:tcPr>
            <w:tcW w:w="244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Residential - U.S. Government-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r>
      <w:tr>
        <w:trPr>
          <w:trHeight w:val="153"/>
        </w:trPr>
        <w:tc>
          <w:tcPr>
            <w:tcW w:w="24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Sponsored Enterprises</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7.2</w:t>
            </w:r>
          </w:p>
        </w:tc>
        <w:tc>
          <w:tcPr>
            <w:tcW w:w="8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0.1</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2,043.9</w:t>
            </w:r>
          </w:p>
        </w:tc>
        <w:tc>
          <w:tcPr>
            <w:tcW w:w="8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48.0</w:t>
            </w:r>
          </w:p>
        </w:tc>
        <w:tc>
          <w:tcPr>
            <w:tcW w:w="82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2,099.1</w:t>
            </w:r>
          </w:p>
        </w:tc>
        <w:tc>
          <w:tcPr>
            <w:tcW w:w="8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2,150.5</w:t>
            </w:r>
          </w:p>
        </w:tc>
      </w:tr>
      <w:tr>
        <w:trPr>
          <w:trHeight w:val="149"/>
        </w:trPr>
        <w:tc>
          <w:tcPr>
            <w:tcW w:w="2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Commercial - Government Agencies</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0.2</w:t>
            </w: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82.1</w:t>
            </w:r>
          </w:p>
        </w:tc>
        <w:tc>
          <w:tcPr>
            <w:tcW w:w="8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110.6</w:t>
            </w: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192.9</w:t>
            </w:r>
          </w:p>
        </w:tc>
        <w:tc>
          <w:tcPr>
            <w:tcW w:w="8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195.9</w:t>
            </w:r>
          </w:p>
        </w:tc>
      </w:tr>
      <w:tr>
        <w:trPr>
          <w:trHeight w:val="142"/>
        </w:trPr>
        <w:tc>
          <w:tcPr>
            <w:tcW w:w="24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Mortgage-Backed Securities</w:t>
            </w:r>
          </w:p>
        </w:tc>
        <w:tc>
          <w:tcPr>
            <w:tcW w:w="2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20.0</w:t>
            </w:r>
          </w:p>
        </w:tc>
        <w:tc>
          <w:tcPr>
            <w:tcW w:w="820" w:type="dxa"/>
            <w:vAlign w:val="bottom"/>
            <w:tcBorders>
              <w:bottom w:val="single" w:sz="8" w:color="auto"/>
            </w:tcBorders>
            <w:shd w:val="clear" w:color="auto" w:fill="CFF0FC"/>
          </w:tcPr>
          <w:p>
            <w:pPr>
              <w:jc w:val="right"/>
              <w:ind w:right="98"/>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2,697.0</w:t>
            </w:r>
          </w:p>
        </w:tc>
        <w:tc>
          <w:tcPr>
            <w:tcW w:w="880" w:type="dxa"/>
            <w:vAlign w:val="bottom"/>
            <w:tcBorders>
              <w:bottom w:val="single" w:sz="8" w:color="auto"/>
            </w:tcBorders>
            <w:shd w:val="clear" w:color="auto" w:fill="CFF0FC"/>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492.4</w:t>
            </w:r>
          </w:p>
        </w:tc>
        <w:tc>
          <w:tcPr>
            <w:tcW w:w="820" w:type="dxa"/>
            <w:vAlign w:val="bottom"/>
            <w:tcBorders>
              <w:bottom w:val="single" w:sz="8" w:color="auto"/>
            </w:tcBorders>
            <w:shd w:val="clear" w:color="auto" w:fill="CFF0FC"/>
          </w:tcPr>
          <w:p>
            <w:pPr>
              <w:jc w:val="right"/>
              <w:ind w:right="98"/>
              <w:spacing w:after="0" w:line="142"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FF0FC"/>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3,209.4</w:t>
            </w:r>
          </w:p>
        </w:tc>
        <w:tc>
          <w:tcPr>
            <w:tcW w:w="840" w:type="dxa"/>
            <w:vAlign w:val="bottom"/>
            <w:tcBorders>
              <w:bottom w:val="single" w:sz="8" w:color="auto"/>
            </w:tcBorders>
            <w:shd w:val="clear" w:color="auto" w:fill="CFF0FC"/>
          </w:tcPr>
          <w:p>
            <w:pPr>
              <w:ind w:left="520"/>
              <w:spacing w:after="0" w:line="142"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ind w:right="78"/>
              <w:spacing w:after="0" w:line="142" w:lineRule="exact"/>
              <w:rPr>
                <w:sz w:val="20"/>
                <w:szCs w:val="20"/>
                <w:color w:val="auto"/>
              </w:rPr>
            </w:pPr>
            <w:r>
              <w:rPr>
                <w:rFonts w:ascii="Times New Roman" w:cs="Times New Roman" w:eastAsia="Times New Roman" w:hAnsi="Times New Roman"/>
                <w:sz w:val="13"/>
                <w:szCs w:val="13"/>
                <w:color w:val="auto"/>
              </w:rPr>
              <w:t>3,294.4</w:t>
            </w:r>
          </w:p>
        </w:tc>
      </w:tr>
      <w:tr>
        <w:trPr>
          <w:trHeight w:val="142"/>
        </w:trPr>
        <w:tc>
          <w:tcPr>
            <w:tcW w:w="24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4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53.8</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w:t>
            </w:r>
          </w:p>
        </w:tc>
        <w:tc>
          <w:tcPr>
            <w:tcW w:w="1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2,716.5</w:t>
            </w:r>
          </w:p>
        </w:tc>
        <w:tc>
          <w:tcPr>
            <w:tcW w:w="8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492.4</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2.0%</w:t>
            </w:r>
          </w:p>
        </w:tc>
        <w:tc>
          <w:tcPr>
            <w:tcW w:w="1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7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3,262.7</w:t>
            </w:r>
          </w:p>
        </w:tc>
        <w:tc>
          <w:tcPr>
            <w:tcW w:w="840" w:type="dxa"/>
            <w:vAlign w:val="bottom"/>
          </w:tcPr>
          <w:p>
            <w:pPr>
              <w:ind w:left="520"/>
              <w:spacing w:after="0" w:line="142" w:lineRule="exact"/>
              <w:rPr>
                <w:sz w:val="20"/>
                <w:szCs w:val="20"/>
                <w:color w:val="auto"/>
              </w:rPr>
            </w:pPr>
            <w:r>
              <w:rPr>
                <w:rFonts w:ascii="Times New Roman" w:cs="Times New Roman" w:eastAsia="Times New Roman" w:hAnsi="Times New Roman"/>
                <w:sz w:val="13"/>
                <w:szCs w:val="13"/>
                <w:color w:val="auto"/>
              </w:rPr>
              <w:t>2.0%</w:t>
            </w:r>
          </w:p>
        </w:tc>
        <w:tc>
          <w:tcPr>
            <w:tcW w:w="20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3"/>
                <w:szCs w:val="13"/>
                <w:color w:val="auto"/>
              </w:rPr>
              <w:t>3,348.7</w:t>
            </w:r>
          </w:p>
        </w:tc>
      </w:tr>
      <w:tr>
        <w:trPr>
          <w:trHeight w:val="142"/>
        </w:trPr>
        <w:tc>
          <w:tcPr>
            <w:tcW w:w="2440" w:type="dxa"/>
            <w:vAlign w:val="bottom"/>
            <w:tcBorders>
              <w:top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Investment Securities</w:t>
            </w: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r>
      <w:tr>
        <w:trPr>
          <w:trHeight w:val="188"/>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2020</w:t>
            </w:r>
          </w:p>
        </w:tc>
        <w:tc>
          <w:tcPr>
            <w:tcW w:w="280" w:type="dxa"/>
            <w:vAlign w:val="bottom"/>
          </w:tcPr>
          <w:p>
            <w:pPr>
              <w:spacing w:after="0"/>
              <w:rPr>
                <w:sz w:val="16"/>
                <w:szCs w:val="16"/>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118.3</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5,674.7</w:t>
            </w:r>
          </w:p>
        </w:tc>
        <w:tc>
          <w:tcPr>
            <w:tcW w:w="8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1,191.3</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6"/>
                <w:szCs w:val="16"/>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6,984.3</w:t>
            </w:r>
          </w:p>
        </w:tc>
        <w:tc>
          <w:tcPr>
            <w:tcW w:w="840" w:type="dxa"/>
            <w:vAlign w:val="bottom"/>
          </w:tcPr>
          <w:p>
            <w:pPr>
              <w:spacing w:after="0"/>
              <w:rPr>
                <w:sz w:val="16"/>
                <w:szCs w:val="16"/>
                <w:color w:val="auto"/>
              </w:rPr>
            </w:pP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7,140.3</w:t>
            </w:r>
          </w:p>
        </w:tc>
      </w:tr>
      <w:tr>
        <w:trPr>
          <w:trHeight w:val="129"/>
        </w:trPr>
        <w:tc>
          <w:tcPr>
            <w:tcW w:w="2440" w:type="dxa"/>
            <w:vAlign w:val="bottom"/>
            <w:tcBorders>
              <w:top w:val="single" w:sz="8" w:color="CFF0FC"/>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As of December 31, 2019</w:t>
            </w:r>
          </w:p>
        </w:tc>
        <w:tc>
          <w:tcPr>
            <w:tcW w:w="28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472.2</w:t>
            </w:r>
          </w:p>
        </w:tc>
        <w:tc>
          <w:tcPr>
            <w:tcW w:w="820" w:type="dxa"/>
            <w:vAlign w:val="bottom"/>
            <w:tcBorders>
              <w:top w:val="single" w:sz="8" w:color="CFF0FC"/>
              <w:bottom w:val="single" w:sz="8" w:color="CFF0FC"/>
            </w:tcBorders>
            <w:shd w:val="clear" w:color="auto" w:fill="CFF0FC"/>
          </w:tcPr>
          <w:p>
            <w:pPr>
              <w:spacing w:after="0"/>
              <w:rPr>
                <w:sz w:val="11"/>
                <w:szCs w:val="11"/>
                <w:color w:val="auto"/>
              </w:rPr>
            </w:pPr>
          </w:p>
        </w:tc>
        <w:tc>
          <w:tcPr>
            <w:tcW w:w="6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4,191.7</w:t>
            </w:r>
          </w:p>
        </w:tc>
        <w:tc>
          <w:tcPr>
            <w:tcW w:w="88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985.9</w:t>
            </w:r>
          </w:p>
        </w:tc>
        <w:tc>
          <w:tcPr>
            <w:tcW w:w="820" w:type="dxa"/>
            <w:vAlign w:val="bottom"/>
            <w:tcBorders>
              <w:top w:val="single" w:sz="8" w:color="CFF0FC"/>
              <w:bottom w:val="single" w:sz="8" w:color="CFF0FC"/>
            </w:tcBorders>
            <w:shd w:val="clear" w:color="auto" w:fill="CFF0FC"/>
          </w:tcPr>
          <w:p>
            <w:pPr>
              <w:spacing w:after="0"/>
              <w:rPr>
                <w:sz w:val="11"/>
                <w:szCs w:val="11"/>
                <w:color w:val="auto"/>
              </w:rPr>
            </w:pPr>
          </w:p>
        </w:tc>
        <w:tc>
          <w:tcPr>
            <w:tcW w:w="6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88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5,649.9</w:t>
            </w:r>
          </w:p>
        </w:tc>
        <w:tc>
          <w:tcPr>
            <w:tcW w:w="840" w:type="dxa"/>
            <w:vAlign w:val="bottom"/>
            <w:tcBorders>
              <w:top w:val="single" w:sz="8" w:color="CFF0FC"/>
              <w:bottom w:val="single" w:sz="8" w:color="CFF0FC"/>
            </w:tcBorders>
            <w:shd w:val="clear" w:color="auto" w:fill="CFF0FC"/>
          </w:tcPr>
          <w:p>
            <w:pPr>
              <w:spacing w:after="0"/>
              <w:rPr>
                <w:sz w:val="11"/>
                <w:szCs w:val="11"/>
                <w:color w:val="auto"/>
              </w:rPr>
            </w:pPr>
          </w:p>
        </w:tc>
        <w:tc>
          <w:tcPr>
            <w:tcW w:w="6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ind w:right="78"/>
              <w:spacing w:after="0" w:line="129" w:lineRule="exact"/>
              <w:rPr>
                <w:sz w:val="20"/>
                <w:szCs w:val="20"/>
                <w:color w:val="auto"/>
              </w:rPr>
            </w:pPr>
            <w:r>
              <w:rPr>
                <w:rFonts w:ascii="Times New Roman" w:cs="Times New Roman" w:eastAsia="Times New Roman" w:hAnsi="Times New Roman"/>
                <w:sz w:val="13"/>
                <w:szCs w:val="13"/>
                <w:color w:val="auto"/>
              </w:rPr>
              <w:t>5,681.9</w:t>
            </w:r>
          </w:p>
        </w:tc>
      </w:tr>
      <w:tr>
        <w:trPr>
          <w:trHeight w:val="20"/>
        </w:trPr>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Weighted-average yields on investment securities available-for-sale are based on amortized cost.</w:t>
      </w:r>
    </w:p>
    <w:p>
      <w:pPr>
        <w:ind w:left="200" w:hanging="192"/>
        <w:spacing w:after="0" w:line="187" w:lineRule="auto"/>
        <w:tabs>
          <w:tab w:leader="none" w:pos="200"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9"/>
          <w:szCs w:val="9"/>
          <w:color w:val="auto"/>
        </w:rPr>
        <w:t>Weighted-average yields on obligations of states and political subdivisions are generally tax-exempt and are computed on a taxable-equivalent basis using a federal statutory tax rate of 21%.</w:t>
      </w:r>
    </w:p>
    <w:p>
      <w:pPr>
        <w:ind w:left="200" w:hanging="192"/>
        <w:spacing w:after="0" w:line="195" w:lineRule="auto"/>
        <w:tabs>
          <w:tab w:leader="none" w:pos="20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Information for mortgage-backed securities and small business administration securities reflect weighted average life, including anticipated future prepayments.</w:t>
      </w:r>
    </w:p>
    <w:p>
      <w:pPr>
        <w:spacing w:after="0" w:line="15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carrying value of our investment securities portfolio was $7.1 billion as of December 31, 2020, an increase of $1.4 billion or 25% compared to December 31, 2019. As of December 31, 2020, our investment securities portfolio was comprised of securities with an average base duration of approximately 3.30 years.</w:t>
      </w:r>
    </w:p>
    <w:p>
      <w:pPr>
        <w:spacing w:after="0" w:line="13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5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Mortgage-backed securities issued by Ginnie Mae, Fannie Mae, and Freddie Mac continue to be the largest concentrations in our portfolio. As of December 31, 2020, our portfolio of Ginnie Mae mortgage-backed securities was primarily comprised of securities issued in 2008 or later. As of December 31, 2020, these mortgage-backed securities were all AAA-rated, with a low probability of a change in their credit ratings in the near future. As of December 31, 2020, our available-for-sale investment securities portfolio was comprised of securities with an average base duration of approximately 3.38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Gross unrealized gains in our investment securities portfolio were $158.9 million as of December 31, 2020, and $51.1 million as of December 31, 2019. Gross unrealized losses on our temporarily impaired investment securities were $2.9 million as of December 31, 2020, and $19.2 million as of December 31, 2019. The gross unrealized loss positions were primarily related to mortgage-backed securities issued by Ginnie Mae, Fannie Mae, and Freddie Mac. The overall increase in net unrealized gains was primarily due to the decrease in interest rates during 2020. The gross unrealized losses were due in part to our corporate bond portfolio consisting of debt securities issued by large multinational banks. The unrealized losses primarily resulted from an increase in credit spreads due to the economic uncertainty related to COVID-19. However, such credit spreads have tightened significantly from their widest levels experienced in the first quarter of 2020. In addition, banks have built up substantial capital buffers since the financial crisis of 2008 which helps to mitigate the likelihood of credit losses. As of December 31, 2020, there have been no payment defaults nor do we currently expect any future payment defaults. Furthermore, we do not intend to sell these securities, and it is not more likely than not that we will be required to sell the investment securities before recovery of their amortized cost basis, which may be at maturity.</w:t>
      </w:r>
    </w:p>
    <w:p>
      <w:pPr>
        <w:spacing w:after="0" w:line="1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remainder of our debt securities in unrealized loss positions as of December 31, 2020, consisted of debt securities issued by U.S. government agencies or U.S. government-sponsored enterprises. These securities carry the explicit and/or implicit guarantee of the U.S. government, are widely recognized as “risk free,” and have a long history of zero credit loss. Total gross unrealized losses were primarily attributable to changes in interest rates, relative to when the investment securities were purchased, and not due to the credit quality of the investment securities. We do not intend to sell the investment securities that were in an unrealized loss position and it is not more likely than not that we will be required to sell the investment securities before recovery of their amortized cost basis, which may be at maturity.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the Consolidated Financial Statements for more information.</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corporate bond holdings as of December 31, 2020, had a fair value of $236.9 million. Of this total, $32.9 million or 14% was fully guaranteed by the Export-Import Bank of the United States, an agency of the U.S. government. Of the remaining $204.0 million of corporate bonds, all of the remaining corporate bonds were credit-rated A- or better by at least one nationally recognized statistical rating organization.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8 presents the composition of our loan and lease portfolio by major categories.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Loans and Leases</w:t>
            </w:r>
          </w:p>
        </w:tc>
        <w:tc>
          <w:tcPr>
            <w:tcW w:w="1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Table 8</w:t>
            </w:r>
          </w:p>
        </w:tc>
      </w:tr>
      <w:tr>
        <w:trPr>
          <w:trHeight w:val="209"/>
        </w:trPr>
        <w:tc>
          <w:tcPr>
            <w:tcW w:w="3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1"/>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1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3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1,875,293</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1,379,152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1,331,149</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1,279,347</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1,249,791</w:t>
            </w:r>
          </w:p>
        </w:tc>
      </w:tr>
      <w:tr>
        <w:trPr>
          <w:trHeight w:val="219"/>
        </w:trPr>
        <w:tc>
          <w:tcPr>
            <w:tcW w:w="3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Mortgage</w:t>
            </w: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2,854,829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2,518,051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2,302,356</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2,103,967</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1,889,551</w:t>
            </w:r>
          </w:p>
        </w:tc>
      </w:tr>
      <w:tr>
        <w:trPr>
          <w:trHeight w:val="213"/>
        </w:trPr>
        <w:tc>
          <w:tcPr>
            <w:tcW w:w="3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Construction</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259,798</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194,170</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170,061</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202,253</w:t>
            </w:r>
          </w:p>
        </w:tc>
        <w:tc>
          <w:tcPr>
            <w:tcW w:w="3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270,018</w:t>
            </w:r>
          </w:p>
        </w:tc>
      </w:tr>
      <w:tr>
        <w:trPr>
          <w:trHeight w:val="216"/>
        </w:trPr>
        <w:tc>
          <w:tcPr>
            <w:tcW w:w="36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Lease Financing</w:t>
            </w:r>
          </w:p>
        </w:tc>
        <w:tc>
          <w:tcPr>
            <w:tcW w:w="16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110,766</w:t>
            </w: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122,454</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176,226</w:t>
            </w: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180,931</w:t>
            </w: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208,332</w:t>
            </w:r>
          </w:p>
        </w:tc>
      </w:tr>
      <w:tr>
        <w:trPr>
          <w:trHeight w:val="210"/>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1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5,100,686</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4,213,827</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3,979,792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3,766,498</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3,617,692</w:t>
            </w:r>
          </w:p>
        </w:tc>
      </w:tr>
      <w:tr>
        <w:trPr>
          <w:trHeight w:val="212"/>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3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Residential Mortgage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4,130,513</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3,891,100</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3,673,796</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3,466,773</w:t>
            </w:r>
          </w:p>
        </w:tc>
        <w:tc>
          <w:tcPr>
            <w:tcW w:w="3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3,163,073</w:t>
            </w:r>
          </w:p>
        </w:tc>
      </w:tr>
      <w:tr>
        <w:trPr>
          <w:trHeight w:val="219"/>
        </w:trPr>
        <w:tc>
          <w:tcPr>
            <w:tcW w:w="3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Home Equity</w:t>
            </w: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1,604,538</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1,676,073</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1,681,442</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1,585,455</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1,334,163</w:t>
            </w:r>
          </w:p>
        </w:tc>
      </w:tr>
      <w:tr>
        <w:trPr>
          <w:trHeight w:val="213"/>
        </w:trPr>
        <w:tc>
          <w:tcPr>
            <w:tcW w:w="3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Automobile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708,800</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720,286</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658,133</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528,474</w:t>
            </w:r>
          </w:p>
        </w:tc>
        <w:tc>
          <w:tcPr>
            <w:tcW w:w="3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454,333</w:t>
            </w:r>
          </w:p>
        </w:tc>
      </w:tr>
      <w:tr>
        <w:trPr>
          <w:trHeight w:val="219"/>
        </w:trPr>
        <w:tc>
          <w:tcPr>
            <w:tcW w:w="3600" w:type="dxa"/>
            <w:vAlign w:val="bottom"/>
            <w:tcBorders>
              <w:bottom w:val="single" w:sz="8" w:color="auto"/>
            </w:tcBorders>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1</w:t>
            </w:r>
          </w:p>
        </w:tc>
        <w:tc>
          <w:tcPr>
            <w:tcW w:w="16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395,483</w:t>
            </w: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489,606</w:t>
            </w: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455,611</w:t>
            </w: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449,747</w:t>
            </w: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380,524</w:t>
            </w:r>
          </w:p>
        </w:tc>
      </w:tr>
      <w:tr>
        <w:trPr>
          <w:trHeight w:val="20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1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6,839,334</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6,777,065</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6,468,982</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6,030,449</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5,332,093</w:t>
            </w:r>
          </w:p>
        </w:tc>
      </w:tr>
      <w:tr>
        <w:trPr>
          <w:trHeight w:val="210"/>
        </w:trPr>
        <w:tc>
          <w:tcPr>
            <w:tcW w:w="3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78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11,940,020</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10,990,892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10,448,774</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9,796,947</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8,949,785</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160" w:hanging="148"/>
        <w:spacing w:after="0"/>
        <w:tabs>
          <w:tab w:leader="none" w:pos="1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Comprised of other revolving credit, installment, and lease financing.</w:t>
      </w:r>
    </w:p>
    <w:p>
      <w:pPr>
        <w:spacing w:after="0" w:line="16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Total loans and leases were $11.9 billion as of December 31, 2020. This represents a $949.1 million or 9% increase from December 31, 2019, primarily due to growth in our commercial lending portfolios.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commercial loan and lease portfolio is comprised of commercial and industrial loans, commercial mortgages, construction loans, and lease financing. Commercial and industrial loans are made primarily to corporations, middle market, and small businesses for the purpose of financing equipment acquisition, expansion, working capital, and other general business purposes. Commercial mortgages and construction loans are offered to real estate investors, developers, and builders primarily domiciled in Hawaii. Commercial mortgages are secured by first mortgages on commercial real estate at loan-to-value ratios generally not exceeding 75%. The commercial properties are predominantly developments such as retail centers, apartments, industrial properties, and to a lesser extent, specialized properties such as hotels. The primary source of repayment for investor property is cash flow from the property and for owner-occupied property is the operating cash flow from the business. Construction loans are for the purchase or construction of a property for which repayment will be generated by the property. We classify loans as construction until the completion of the construction</w:t>
      </w:r>
    </w:p>
    <w:p>
      <w:pPr>
        <w:spacing w:after="0" w:line="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phase. Following construction, if a loan is retained, the loan is reclassified to the commercial mortgage category. Lease financing consists of sales-type leases and leveraged leases and are used by commercial customers to finance capital purchases. Although our primary market is Hawaii, the commercial portfolio contains loans to some borrowers based on the U.S. Mainland, including some Shared National Credits.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Commercial loans and leases were $5.1 billion as of December 31, 2020, an increase of $886.9 million or 21% from December 31, 2019. Commercial and industrial loans increased by $496.1 million or 36% from December 31, 2019, primarily due to origination of new loans under the Paycheck Protection Program. Commercial mortgage loans increased by $336.8 million or 13% from December 31, 2019, primarily due to continued demand from new and existing customers. Construction loans increased by $65.6 million or 34% from December 31, 2019, primarily due to an increase in construction activity in our market. Lease financing decreased by $11.7 million or 10% from December 31, 2019, primarily due to a single lessee exercising its early buy-out option on a leveraged lease in the first quarter and a $3.0 million residual value impairment of a leveraged lease recorded in the fourth quarter of 2020.</w:t>
      </w:r>
    </w:p>
    <w:p>
      <w:pPr>
        <w:spacing w:after="0" w:line="14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consumer loan and lease portfolio is comprised of residential mortgage loans, home equity lines and loans, indirect auto loans and leases, and other consumer loans including personal credit lines, direct installment loans, and rewards-based consumer credit cards. These products are generally offered in the geographic markets we serve. Although we offer a variety of products, our residential mortgage loan portfolio is primarily comprised of fixed-rate loans concentrated in Hawaii. We also offer a variety of home equity lines and loans, usually secured by second mortgages on residential property of the borrower. Automobile lending activities include loans and leases secured by new or used automobiles. We originate automobile loans and leases on an indirect basis through selected dealerships. Direct installment loans are generally unsecured and are often used for personal expenses or for debt consolidation.</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Consumer loans and leases were $6.8 billion as of December 31, 2020, an increase of $62.3 million or 1% from December 31, 2019. Residential mortgage loans increased by $239.4 million or 6% from December 31, 2019, primarily due to higher loan originations, partially offset by an increase in payoff activity. Other consumer loans decreased by $94.1 million or 19% from December 31, 2019, primarily due to pay downs in our installment loans. Home equity decreased by $71.5 million or less than 1% from December 31, 2019, as a result of elevated payoff rates driven heavily by increased mortgage refinancing activities as a result of the low interest rate environment, and slightly lower utilization rates on existing lines. Automobile loans decreased primarily as a result of multiple COVID-19 shelter-in-place and safer-at-home orders by the State of Hawaii and Guam resulting in dealership closures and limited automobile sales.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4 to the Consolidated Financial Statements and the “Corporate Risk Profile – Credit Risk” section of MD&amp;A for more information on our loan and lease portfolio.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9 presents the geographic distribution of our loan and lease portfolio.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Distribution of Loan and Lease Portfolio</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Table 9</w:t>
            </w: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2"/>
                <w:szCs w:val="12"/>
                <w:color w:val="auto"/>
              </w:rPr>
            </w:pPr>
          </w:p>
        </w:tc>
        <w:tc>
          <w:tcPr>
            <w:tcW w:w="12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Hawaii</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Guam</w:t>
            </w:r>
          </w:p>
        </w:tc>
        <w:tc>
          <w:tcPr>
            <w:tcW w:w="440" w:type="dxa"/>
            <w:vAlign w:val="bottom"/>
          </w:tcPr>
          <w:p>
            <w:pPr>
              <w:spacing w:after="0"/>
              <w:rPr>
                <w:sz w:val="12"/>
                <w:szCs w:val="12"/>
                <w:color w:val="auto"/>
              </w:rPr>
            </w:pPr>
          </w:p>
        </w:tc>
        <w:tc>
          <w:tcPr>
            <w:tcW w:w="100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Pacific</w:t>
            </w:r>
          </w:p>
        </w:tc>
        <w:tc>
          <w:tcPr>
            <w:tcW w:w="280" w:type="dxa"/>
            <w:vAlign w:val="bottom"/>
          </w:tcPr>
          <w:p>
            <w:pPr>
              <w:spacing w:after="0"/>
              <w:rPr>
                <w:sz w:val="12"/>
                <w:szCs w:val="12"/>
                <w:color w:val="auto"/>
              </w:rPr>
            </w:pPr>
          </w:p>
        </w:tc>
        <w:tc>
          <w:tcPr>
            <w:tcW w:w="11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 xml:space="preserve">Mainland </w:t>
            </w:r>
            <w:r>
              <w:rPr>
                <w:rFonts w:ascii="Times New Roman" w:cs="Times New Roman" w:eastAsia="Times New Roman" w:hAnsi="Times New Roman"/>
                <w:sz w:val="12"/>
                <w:szCs w:val="12"/>
                <w:b w:val="1"/>
                <w:bCs w:val="1"/>
                <w:color w:val="auto"/>
              </w:rPr>
              <w:t>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Islands</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1,623,308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145,121</w:t>
            </w:r>
          </w:p>
        </w:tc>
        <w:tc>
          <w:tcPr>
            <w:tcW w:w="4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93,479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13,385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1,875,293</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Mortgage</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2,470,031</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138,690</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246,108</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2,854,829</w:t>
            </w:r>
          </w:p>
        </w:tc>
        <w:tc>
          <w:tcPr>
            <w:tcW w:w="0" w:type="dxa"/>
            <w:vAlign w:val="bottom"/>
          </w:tcPr>
          <w:p>
            <w:pPr>
              <w:spacing w:after="0"/>
              <w:rPr>
                <w:sz w:val="1"/>
                <w:szCs w:val="1"/>
                <w:color w:val="auto"/>
              </w:rPr>
            </w:pP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Construction</w:t>
            </w:r>
          </w:p>
        </w:tc>
        <w:tc>
          <w:tcPr>
            <w:tcW w:w="3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259,798</w:t>
            </w:r>
          </w:p>
        </w:tc>
        <w:tc>
          <w:tcPr>
            <w:tcW w:w="32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259,798</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Financing</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72,090</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37,342</w:t>
            </w:r>
          </w:p>
        </w:tc>
        <w:tc>
          <w:tcPr>
            <w:tcW w:w="4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1,334</w:t>
            </w:r>
          </w:p>
        </w:tc>
        <w:tc>
          <w:tcPr>
            <w:tcW w:w="4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110,766</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Commercial</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4,425,227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321,153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340,921</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13,385</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5,100,686</w:t>
            </w: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w:t>
            </w:r>
          </w:p>
        </w:tc>
        <w:tc>
          <w:tcPr>
            <w:tcW w:w="3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4,048,831</w:t>
            </w:r>
          </w:p>
        </w:tc>
        <w:tc>
          <w:tcPr>
            <w:tcW w:w="32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80,774</w:t>
            </w:r>
          </w:p>
        </w:tc>
        <w:tc>
          <w:tcPr>
            <w:tcW w:w="440" w:type="dxa"/>
            <w:vAlign w:val="bottom"/>
          </w:tcPr>
          <w:p>
            <w:pPr>
              <w:spacing w:after="0"/>
              <w:rPr>
                <w:sz w:val="19"/>
                <w:szCs w:val="19"/>
                <w:color w:val="auto"/>
              </w:rPr>
            </w:pP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4,130,513</w:t>
            </w: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Home Equity</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1,565,546</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38,823</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1,604,538</w:t>
            </w: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Automobile</w:t>
            </w:r>
          </w:p>
        </w:tc>
        <w:tc>
          <w:tcPr>
            <w:tcW w:w="30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542,056</w:t>
            </w:r>
          </w:p>
        </w:tc>
        <w:tc>
          <w:tcPr>
            <w:tcW w:w="32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140,740</w:t>
            </w:r>
          </w:p>
        </w:tc>
        <w:tc>
          <w:tcPr>
            <w:tcW w:w="440" w:type="dxa"/>
            <w:vAlign w:val="bottom"/>
          </w:tcPr>
          <w:p>
            <w:pPr>
              <w:spacing w:after="0"/>
              <w:rPr>
                <w:sz w:val="19"/>
                <w:szCs w:val="19"/>
                <w:color w:val="auto"/>
              </w:rPr>
            </w:pP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26,004</w:t>
            </w:r>
          </w:p>
        </w:tc>
        <w:tc>
          <w:tcPr>
            <w:tcW w:w="28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708,800</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2</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325,526</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48,316</w:t>
            </w:r>
          </w:p>
        </w:tc>
        <w:tc>
          <w:tcPr>
            <w:tcW w:w="4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21,641</w:t>
            </w: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395,483</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Consumer</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6,481,959</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308,653</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48,633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6,839,334</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and Leases</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10,907,186</w:t>
            </w:r>
          </w:p>
        </w:tc>
        <w:tc>
          <w:tcPr>
            <w:tcW w:w="3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321,242</w:t>
            </w:r>
          </w:p>
        </w:tc>
        <w:tc>
          <w:tcPr>
            <w:tcW w:w="46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649,574</w:t>
            </w:r>
          </w:p>
        </w:tc>
        <w:tc>
          <w:tcPr>
            <w:tcW w:w="4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62,018</w:t>
            </w:r>
          </w:p>
        </w:tc>
        <w:tc>
          <w:tcPr>
            <w:tcW w:w="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11,940,020</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Percentage of Total Loans and Leases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00" w:right="160" w:hanging="192"/>
        <w:spacing w:after="0" w:line="233" w:lineRule="auto"/>
        <w:tabs>
          <w:tab w:leader="none" w:pos="2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ind w:left="200" w:hanging="192"/>
        <w:spacing w:after="0"/>
        <w:tabs>
          <w:tab w:leader="none" w:pos="20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Comprised of other revolving credit, installment, and lease financing.</w:t>
      </w:r>
    </w:p>
    <w:p>
      <w:pPr>
        <w:spacing w:after="0" w:line="16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 Our consumer loan and lease portfolio includes limited lending activities on the U.S. Mainland.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Hawaii loan and lease portfolio increased by $901.0 million or 9% from December 31,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10 presents a maturity distribution for selected loan categories.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Maturities for Selected Loan Categories </w:t>
            </w:r>
            <w:r>
              <w:rPr>
                <w:rFonts w:ascii="Times New Roman" w:cs="Times New Roman" w:eastAsia="Times New Roman" w:hAnsi="Times New Roman"/>
                <w:sz w:val="27"/>
                <w:szCs w:val="27"/>
                <w:b w:val="1"/>
                <w:bCs w:val="1"/>
                <w:color w:val="auto"/>
                <w:vertAlign w:val="superscript"/>
              </w:rPr>
              <w:t>1</w:t>
            </w: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Table 10</w:t>
            </w:r>
          </w:p>
        </w:tc>
      </w:tr>
      <w:tr>
        <w:trPr>
          <w:trHeight w:val="208"/>
        </w:trPr>
        <w:tc>
          <w:tcPr>
            <w:tcW w:w="3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92"/>
        </w:trPr>
        <w:tc>
          <w:tcPr>
            <w:tcW w:w="3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Due in</w:t>
            </w:r>
          </w:p>
        </w:tc>
        <w:tc>
          <w:tcPr>
            <w:tcW w:w="42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Due After One</w:t>
            </w:r>
          </w:p>
        </w:tc>
        <w:tc>
          <w:tcPr>
            <w:tcW w:w="74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Due After</w:t>
            </w: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to Five Years </w:t>
            </w:r>
            <w:r>
              <w:rPr>
                <w:rFonts w:ascii="Times New Roman" w:cs="Times New Roman" w:eastAsia="Times New Roman" w:hAnsi="Times New Roman"/>
                <w:sz w:val="25"/>
                <w:szCs w:val="25"/>
                <w:b w:val="1"/>
                <w:bCs w:val="1"/>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Five Years </w:t>
            </w:r>
            <w:r>
              <w:rPr>
                <w:rFonts w:ascii="Times New Roman" w:cs="Times New Roman" w:eastAsia="Times New Roman" w:hAnsi="Times New Roman"/>
                <w:sz w:val="25"/>
                <w:szCs w:val="25"/>
                <w:b w:val="1"/>
                <w:bCs w:val="1"/>
                <w:color w:val="auto"/>
                <w:vertAlign w:val="superscript"/>
              </w:rPr>
              <w:t>2</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325,001</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1,042,500</w:t>
            </w:r>
          </w:p>
        </w:tc>
        <w:tc>
          <w:tcPr>
            <w:tcW w:w="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507,792</w:t>
            </w:r>
          </w:p>
        </w:tc>
        <w:tc>
          <w:tcPr>
            <w:tcW w:w="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1,875,293</w:t>
            </w:r>
          </w:p>
        </w:tc>
      </w:tr>
      <w:tr>
        <w:trPr>
          <w:trHeight w:val="21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47,841</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95,805</w:t>
            </w: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116,152</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259,798</w:t>
            </w:r>
          </w:p>
        </w:tc>
      </w:tr>
      <w:tr>
        <w:trPr>
          <w:trHeight w:val="210"/>
        </w:trPr>
        <w:tc>
          <w:tcPr>
            <w:tcW w:w="36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372,842</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1,138,305</w:t>
            </w:r>
          </w:p>
        </w:tc>
        <w:tc>
          <w:tcPr>
            <w:tcW w:w="74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623,944</w:t>
            </w:r>
          </w:p>
        </w:tc>
        <w:tc>
          <w:tcPr>
            <w:tcW w:w="6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2,135,091</w:t>
            </w: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60" w:hanging="148"/>
        <w:spacing w:after="0"/>
        <w:tabs>
          <w:tab w:leader="none" w:pos="1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Based on contractual maturities.</w:t>
      </w:r>
    </w:p>
    <w:p>
      <w:pPr>
        <w:spacing w:after="0" w:line="4" w:lineRule="exact"/>
        <w:rPr>
          <w:sz w:val="20"/>
          <w:szCs w:val="20"/>
          <w:color w:val="auto"/>
        </w:rPr>
      </w:pPr>
    </w:p>
    <w:p>
      <w:pPr>
        <w:ind w:left="160" w:hanging="149"/>
        <w:spacing w:after="0"/>
        <w:tabs>
          <w:tab w:leader="none" w:pos="1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 of December 31, 2020, loans maturing after one year consisted of $741.2 million in variable rate loans and $1.0 billion in fixed rate loans.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Goodwill was $31.5 million as of December 31, 2020, and December 31, 2019. As of December 31, 2020, based on our qualitative assessment, there were no reporting units where we believed it was more likely than not that the fair value of a reporting unit was less than its carrying amount, including goodwill. As a result, we had no reporting units where there was a reasonable possibility of failing Step 1 of the goodwill impairment test. See Note 1 to the Consolidated Financial Statements for more information on our goodwill impairment policy.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Other assets were $435.3 million as of December 31, 2020, an increase of $162.6 million or 60% from December 31, 2019. This increase was due to a $67.2 million increase in derivative financial instruments, which was primarily due to fair value increases of our interest rate swap agreement assets, which are impacted by prevailing interest rates. Low-income housing and other equity investments increased by $58.3 million due to additional funding of existing projects. Pledged collateral increased by $25.4 million on our uncleared interest rate swap agreements in liability positions due to the lower rate environment which is included in other assets. Deferred taxes increased by $16.7 million primarily due to temporary differences between financial reporting and income tax basis of the allowance for credit losses. Deferred compensation plan assets increased by $11.9 million primarily due to an increase in the executive deferred compensation plan. See Note 7 to the Consolidated Financial Statements for more information on the composition of our other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11 presents the components of our deposits by major customer categories as of December 31, 2020, and December 31,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3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Table 11</w:t>
            </w:r>
          </w:p>
        </w:tc>
      </w:tr>
      <w:tr>
        <w:trPr>
          <w:trHeight w:val="209"/>
        </w:trPr>
        <w:tc>
          <w:tcPr>
            <w:tcW w:w="4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r>
      <w:tr>
        <w:trPr>
          <w:trHeight w:val="21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36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9,347,725</w:t>
            </w:r>
          </w:p>
        </w:tc>
        <w:tc>
          <w:tcPr>
            <w:tcW w:w="72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8,118,494</w:t>
            </w:r>
          </w:p>
        </w:tc>
      </w:tr>
      <w:tr>
        <w:trPr>
          <w:trHeight w:val="21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Commercial</w:t>
            </w:r>
          </w:p>
        </w:tc>
        <w:tc>
          <w:tcPr>
            <w:tcW w:w="3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7,302,832</w:t>
            </w:r>
          </w:p>
        </w:tc>
        <w:tc>
          <w:tcPr>
            <w:tcW w:w="7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6,324,214</w:t>
            </w:r>
          </w:p>
        </w:tc>
      </w:tr>
      <w:tr>
        <w:trPr>
          <w:trHeight w:val="216"/>
        </w:trPr>
        <w:tc>
          <w:tcPr>
            <w:tcW w:w="4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Public and Other</w:t>
            </w:r>
          </w:p>
        </w:tc>
        <w:tc>
          <w:tcPr>
            <w:tcW w:w="31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1,561,064</w:t>
            </w:r>
          </w:p>
        </w:tc>
        <w:tc>
          <w:tcPr>
            <w:tcW w:w="7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1,341,774</w:t>
            </w:r>
          </w:p>
        </w:tc>
      </w:tr>
      <w:tr>
        <w:trPr>
          <w:trHeight w:val="211"/>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Deposits</w:t>
            </w:r>
          </w:p>
        </w:tc>
        <w:tc>
          <w:tcPr>
            <w:tcW w:w="36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18,211,621</w:t>
            </w:r>
          </w:p>
        </w:tc>
        <w:tc>
          <w:tcPr>
            <w:tcW w:w="7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15,784,482</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deposits were $18.2 billion as of December 31, 2020, a $2.4 billion or 15% increase from December 31, 2019. This increase was primarily due to an increase in consumer and commercial deposits. Consumer deposits increased by $1.2 billion due to an increase in core deposits. Commercial deposits increased by $978.6 million or 15% due to a $999.2 million increase in core deposits offset by a $20.6 million decrease in time deposits. In addition, public and other deposits increased by $219.3 million or 16% due to an increase in public demand deposits of $355.4 million offset by a $136.1 million decrease in time deposits.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12 presents the components of our savings deposits as of December 31, 2020, and December 31,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Savings Deposits</w:t>
            </w:r>
          </w:p>
        </w:tc>
        <w:tc>
          <w:tcPr>
            <w:tcW w:w="3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Table 12</w:t>
            </w:r>
          </w:p>
        </w:tc>
      </w:tr>
      <w:tr>
        <w:trPr>
          <w:trHeight w:val="209"/>
        </w:trPr>
        <w:tc>
          <w:tcPr>
            <w:tcW w:w="46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211"/>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w:t>
            </w:r>
          </w:p>
        </w:tc>
        <w:tc>
          <w:tcPr>
            <w:tcW w:w="35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2,453,619</w:t>
            </w:r>
          </w:p>
        </w:tc>
        <w:tc>
          <w:tcPr>
            <w:tcW w:w="78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2,519,414</w:t>
            </w:r>
          </w:p>
        </w:tc>
      </w:tr>
      <w:tr>
        <w:trPr>
          <w:trHeight w:val="213"/>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Regular Savings</w:t>
            </w:r>
          </w:p>
        </w:tc>
        <w:tc>
          <w:tcPr>
            <w:tcW w:w="3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4,305,594</w:t>
            </w: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3,845,907</w:t>
            </w:r>
          </w:p>
        </w:tc>
      </w:tr>
      <w:tr>
        <w:trPr>
          <w:trHeight w:val="210"/>
        </w:trPr>
        <w:tc>
          <w:tcPr>
            <w:tcW w:w="4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Savings Deposits</w:t>
            </w:r>
          </w:p>
        </w:tc>
        <w:tc>
          <w:tcPr>
            <w:tcW w:w="3560" w:type="dxa"/>
            <w:vAlign w:val="bottom"/>
            <w:tcBorders>
              <w:bottom w:val="single" w:sz="8" w:color="auto"/>
            </w:tcBorders>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6,759,213</w:t>
            </w:r>
          </w:p>
        </w:tc>
        <w:tc>
          <w:tcPr>
            <w:tcW w:w="78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6,365,321</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13 presents the composition of our securities sold under agreements to repurchase.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Securities Sold Under Agreements to Repurchase</w:t>
            </w:r>
          </w:p>
        </w:tc>
        <w:tc>
          <w:tcPr>
            <w:tcW w:w="1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Table 13</w:t>
            </w:r>
          </w:p>
        </w:tc>
      </w:tr>
      <w:tr>
        <w:trPr>
          <w:trHeight w:val="209"/>
        </w:trPr>
        <w:tc>
          <w:tcPr>
            <w:tcW w:w="5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r>
      <w:tr>
        <w:trPr>
          <w:trHeight w:val="211"/>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Institutions</w:t>
            </w:r>
          </w:p>
        </w:tc>
        <w:tc>
          <w:tcPr>
            <w:tcW w:w="25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600,000</w:t>
            </w:r>
          </w:p>
        </w:tc>
        <w:tc>
          <w:tcPr>
            <w:tcW w:w="80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600,000</w:t>
            </w:r>
          </w:p>
        </w:tc>
      </w:tr>
      <w:tr>
        <w:trPr>
          <w:trHeight w:val="213"/>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Government Entities</w:t>
            </w:r>
          </w:p>
        </w:tc>
        <w:tc>
          <w:tcPr>
            <w:tcW w:w="1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590</w:t>
            </w:r>
          </w:p>
        </w:tc>
        <w:tc>
          <w:tcPr>
            <w:tcW w:w="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4,306</w:t>
            </w:r>
          </w:p>
        </w:tc>
      </w:tr>
      <w:tr>
        <w:trPr>
          <w:trHeight w:val="210"/>
        </w:trPr>
        <w:tc>
          <w:tcPr>
            <w:tcW w:w="57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Securities Sold Under Agreements to Repurchase</w:t>
            </w:r>
          </w:p>
        </w:tc>
        <w:tc>
          <w:tcPr>
            <w:tcW w:w="2500" w:type="dxa"/>
            <w:vAlign w:val="bottom"/>
            <w:tcBorders>
              <w:bottom w:val="single" w:sz="8" w:color="auto"/>
            </w:tcBorders>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600,590</w:t>
            </w:r>
          </w:p>
        </w:tc>
        <w:tc>
          <w:tcPr>
            <w:tcW w:w="80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604,306</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Securities sold under agreements to repurchase as of December 31, 2020, decreased by $3.7 million or 1% from December 31, 2019. As of December 31, 2020, the weighted-average maturity was 3.2 years for our repurchase agreements with government entities and 4.0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3.5 years. As of December 31, 2020, and December 31, 2019, the weighted-average interest rate for repurchase agreements with government entities were 1.49%, respectively, while the weighted-average interest rate for repurchase agreements with private institutions as of December 31, 2020, and December 31, 2019, was 2.39% and 2.68%, respectively, with all rates being fixed. Each of our repurchase agreements is accounted for as collateralized financing arrangements (i.e., a secured borrowing) and not as a sale and subsequent repurchase of securities.</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July 2020, we terminated three of our repurchase agreements, with an aggregate total of $200.0 million, with one private institution. These repurchase agreements were scheduled to mature in June 2022 and had a weighted-average interest rate of 2.742%. These terminated repurchase agreements were replaced with one $200.0 million repurchase agreement with the same private institution. The new repurchase agreement matures in July 2025 and has an interest rate of 1.835%. See Note 9 and 19 to the Consolidated Financial Statements for more information.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Other debt was $60.5 million as of December 31, 2020, a decreases of $25.1 million or 29% from December 31, 2019. This decrease was primarily due to a $25.0 million FHLB advance which matured during the first quarter of 2020. As of December 31, 2020, this balance was mainly comprised of $50.0 million in FHLB advances with a weighted-average interest rate of 1.19% and maturity dates during 2024. These advances were primarily for asset/liability management purposes. As of December 31, 2020, our available capacity under our line of credit with the FHLB was $2.8 billion.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Postretirement Plan Obligations</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Retirement benefits payable were $51.2 million as of December 31, 2020, a $6.7 million or 15% increase from December 31, 2019. Our pension and postretirement benefit obligations and net periodic benefit cost are actuarially determined based on a number of key assumptions, including the discount rate, the expected return on plan assets, and the health-care cost trend rate. The accounting for pension and postretirement benefit plans reflect the long-term nature of the obligations and the investment horizon of the plan assets. The increase in retirement benefits payable was primarily due to change in discount rate.</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discount rate is used to determine the present value of future benefit obligations and the net periodic benefit cost. The discount rate used to value the present value of future benefit obligations as of each year-end is the rate used to estimate the net periodic benefit cost for the following year. Table 14 presents a sensitivity analysis of a 25 basis point change in discount rates to the pension and postretirement benefit plan’s net periodic benefit cost and benefit obligations: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Discount Rate Sensitivity Analysis</w:t>
            </w:r>
          </w:p>
        </w:tc>
        <w:tc>
          <w:tcPr>
            <w:tcW w:w="1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Table 14</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220" w:type="dxa"/>
            <w:vAlign w:val="bottom"/>
            <w:vMerge w:val="restart"/>
          </w:tcPr>
          <w:p>
            <w:pPr>
              <w:ind w:left="920"/>
              <w:spacing w:after="0"/>
              <w:rPr>
                <w:sz w:val="20"/>
                <w:szCs w:val="20"/>
                <w:color w:val="auto"/>
              </w:rPr>
            </w:pPr>
            <w:r>
              <w:rPr>
                <w:rFonts w:ascii="Times New Roman" w:cs="Times New Roman" w:eastAsia="Times New Roman" w:hAnsi="Times New Roman"/>
                <w:sz w:val="13"/>
                <w:szCs w:val="13"/>
                <w:b w:val="1"/>
                <w:bCs w:val="1"/>
                <w:color w:val="auto"/>
              </w:rPr>
              <w:t>Base</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Impact of</w:t>
            </w: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3"/>
          </w:tcPr>
          <w:p>
            <w:pPr>
              <w:jc w:val="right"/>
              <w:ind w:right="713"/>
              <w:spacing w:after="0" w:line="122" w:lineRule="exact"/>
              <w:rPr>
                <w:sz w:val="20"/>
                <w:szCs w:val="20"/>
                <w:color w:val="auto"/>
              </w:rPr>
            </w:pPr>
            <w:r>
              <w:rPr>
                <w:rFonts w:ascii="Times New Roman" w:cs="Times New Roman" w:eastAsia="Times New Roman" w:hAnsi="Times New Roman"/>
                <w:sz w:val="13"/>
                <w:szCs w:val="13"/>
                <w:b w:val="1"/>
                <w:bCs w:val="1"/>
                <w:color w:val="auto"/>
              </w:rPr>
              <w:t>Discount Rate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gridSpan w:val="3"/>
          </w:tcPr>
          <w:p>
            <w:pPr>
              <w:jc w:val="right"/>
              <w:ind w:right="733"/>
              <w:spacing w:after="0" w:line="122" w:lineRule="exact"/>
              <w:rPr>
                <w:sz w:val="20"/>
                <w:szCs w:val="20"/>
                <w:color w:val="auto"/>
              </w:rPr>
            </w:pPr>
            <w:r>
              <w:rPr>
                <w:rFonts w:ascii="Times New Roman" w:cs="Times New Roman" w:eastAsia="Times New Roman" w:hAnsi="Times New Roman"/>
                <w:sz w:val="13"/>
                <w:szCs w:val="13"/>
                <w:b w:val="1"/>
                <w:bCs w:val="1"/>
                <w:color w:val="auto"/>
              </w:rPr>
              <w:t>Discount Rate</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22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Discount Rate</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25 Basis Point Increase</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25 Basis Point Decrease</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220" w:type="dxa"/>
            <w:vAlign w:val="bottom"/>
          </w:tcPr>
          <w:p>
            <w:pPr>
              <w:ind w:left="480"/>
              <w:spacing w:after="0" w:line="122"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020" w:type="dxa"/>
            <w:vAlign w:val="bottom"/>
          </w:tcPr>
          <w:p>
            <w:pPr>
              <w:jc w:val="right"/>
              <w:ind w:right="92"/>
              <w:spacing w:after="0" w:line="122"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93"/>
              <w:spacing w:after="0" w:line="122"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80" w:type="dxa"/>
            <w:vAlign w:val="bottom"/>
          </w:tcPr>
          <w:p>
            <w:pPr>
              <w:spacing w:after="0"/>
              <w:rPr>
                <w:sz w:val="10"/>
                <w:szCs w:val="10"/>
                <w:color w:val="auto"/>
              </w:rPr>
            </w:pPr>
          </w:p>
        </w:tc>
        <w:tc>
          <w:tcPr>
            <w:tcW w:w="940" w:type="dxa"/>
            <w:vAlign w:val="bottom"/>
          </w:tcPr>
          <w:p>
            <w:pPr>
              <w:jc w:val="right"/>
              <w:ind w:right="53"/>
              <w:spacing w:after="0" w:line="122" w:lineRule="exact"/>
              <w:rPr>
                <w:sz w:val="20"/>
                <w:szCs w:val="20"/>
                <w:color w:val="auto"/>
              </w:rPr>
            </w:pPr>
            <w:r>
              <w:rPr>
                <w:rFonts w:ascii="Times New Roman" w:cs="Times New Roman" w:eastAsia="Times New Roman" w:hAnsi="Times New Roman"/>
                <w:sz w:val="13"/>
                <w:szCs w:val="13"/>
                <w:b w:val="1"/>
                <w:bCs w:val="1"/>
                <w:color w:val="auto"/>
                <w:w w:val="96"/>
              </w:rPr>
              <w:t>Postretirement</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right"/>
              <w:ind w:right="73"/>
              <w:spacing w:after="0" w:line="122" w:lineRule="exact"/>
              <w:rPr>
                <w:sz w:val="20"/>
                <w:szCs w:val="20"/>
                <w:color w:val="auto"/>
              </w:rPr>
            </w:pPr>
            <w:r>
              <w:rPr>
                <w:rFonts w:ascii="Times New Roman" w:cs="Times New Roman" w:eastAsia="Times New Roman" w:hAnsi="Times New Roman"/>
                <w:sz w:val="13"/>
                <w:szCs w:val="13"/>
                <w:b w:val="1"/>
                <w:bCs w:val="1"/>
                <w:color w:val="auto"/>
              </w:rPr>
              <w:t>Pension</w:t>
            </w:r>
          </w:p>
        </w:tc>
        <w:tc>
          <w:tcPr>
            <w:tcW w:w="200" w:type="dxa"/>
            <w:vAlign w:val="bottom"/>
          </w:tcPr>
          <w:p>
            <w:pPr>
              <w:spacing w:after="0"/>
              <w:rPr>
                <w:sz w:val="10"/>
                <w:szCs w:val="10"/>
                <w:color w:val="auto"/>
              </w:rPr>
            </w:pPr>
          </w:p>
        </w:tc>
        <w:tc>
          <w:tcPr>
            <w:tcW w:w="960" w:type="dxa"/>
            <w:vAlign w:val="bottom"/>
          </w:tcPr>
          <w:p>
            <w:pPr>
              <w:jc w:val="right"/>
              <w:ind w:right="53"/>
              <w:spacing w:after="0" w:line="122" w:lineRule="exact"/>
              <w:rPr>
                <w:sz w:val="20"/>
                <w:szCs w:val="20"/>
                <w:color w:val="auto"/>
              </w:rPr>
            </w:pPr>
            <w:r>
              <w:rPr>
                <w:rFonts w:ascii="Times New Roman" w:cs="Times New Roman" w:eastAsia="Times New Roman" w:hAnsi="Times New Roman"/>
                <w:sz w:val="13"/>
                <w:szCs w:val="13"/>
                <w:b w:val="1"/>
                <w:bCs w:val="1"/>
                <w:color w:val="auto"/>
                <w:w w:val="98"/>
              </w:rPr>
              <w:t>Postretirement</w:t>
            </w:r>
          </w:p>
        </w:tc>
        <w:tc>
          <w:tcPr>
            <w:tcW w:w="0" w:type="dxa"/>
            <w:vAlign w:val="bottom"/>
          </w:tcPr>
          <w:p>
            <w:pPr>
              <w:spacing w:after="0"/>
              <w:rPr>
                <w:sz w:val="1"/>
                <w:szCs w:val="1"/>
                <w:color w:val="auto"/>
              </w:rPr>
            </w:pPr>
          </w:p>
        </w:tc>
      </w:tr>
      <w:tr>
        <w:trPr>
          <w:trHeight w:val="15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0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0" w:type="dxa"/>
            <w:vAlign w:val="bottom"/>
          </w:tcPr>
          <w:p>
            <w:pPr>
              <w:spacing w:after="0"/>
              <w:rPr>
                <w:sz w:val="1"/>
                <w:szCs w:val="1"/>
                <w:color w:val="auto"/>
              </w:rPr>
            </w:pPr>
          </w:p>
        </w:tc>
      </w:tr>
      <w:tr>
        <w:trPr>
          <w:trHeight w:val="155"/>
        </w:trPr>
        <w:tc>
          <w:tcPr>
            <w:tcW w:w="43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2020 Net Periodic Benefit Cost</w:t>
            </w:r>
          </w:p>
        </w:tc>
        <w:tc>
          <w:tcPr>
            <w:tcW w:w="1220" w:type="dxa"/>
            <w:vAlign w:val="bottom"/>
            <w:shd w:val="clear" w:color="auto" w:fill="CFF0FC"/>
          </w:tcPr>
          <w:p>
            <w:pPr>
              <w:ind w:left="640"/>
              <w:spacing w:after="0" w:line="155" w:lineRule="exact"/>
              <w:rPr>
                <w:sz w:val="20"/>
                <w:szCs w:val="20"/>
                <w:color w:val="auto"/>
              </w:rPr>
            </w:pPr>
            <w:r>
              <w:rPr>
                <w:rFonts w:ascii="Times New Roman" w:cs="Times New Roman" w:eastAsia="Times New Roman" w:hAnsi="Times New Roman"/>
                <w:sz w:val="14"/>
                <w:szCs w:val="14"/>
                <w:color w:val="auto"/>
              </w:rPr>
              <w:t>3.36%</w:t>
            </w:r>
          </w:p>
        </w:tc>
        <w:tc>
          <w:tcPr>
            <w:tcW w:w="10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3.42%</w:t>
            </w:r>
          </w:p>
        </w:tc>
        <w:tc>
          <w:tcPr>
            <w:tcW w:w="380" w:type="dxa"/>
            <w:vAlign w:val="bottom"/>
            <w:gridSpan w:val="2"/>
            <w:shd w:val="clear" w:color="auto" w:fill="CFF0FC"/>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93"/>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1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53"/>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420" w:type="dxa"/>
            <w:vAlign w:val="bottom"/>
            <w:gridSpan w:val="2"/>
            <w:shd w:val="clear" w:color="auto" w:fill="CFF0FC"/>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3"/>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39"/>
        </w:trPr>
        <w:tc>
          <w:tcPr>
            <w:tcW w:w="43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Benefit Plan Obligations as of</w:t>
            </w:r>
          </w:p>
        </w:tc>
        <w:tc>
          <w:tcPr>
            <w:tcW w:w="12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2.55%</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(3,054)</w:t>
            </w: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3,135</w:t>
            </w:r>
          </w:p>
        </w:tc>
        <w:tc>
          <w:tcPr>
            <w:tcW w:w="200" w:type="dxa"/>
            <w:vAlign w:val="bottom"/>
          </w:tcPr>
          <w:p>
            <w:pPr>
              <w:spacing w:after="0"/>
              <w:rPr>
                <w:sz w:val="12"/>
                <w:szCs w:val="12"/>
                <w:color w:val="auto"/>
              </w:rPr>
            </w:pPr>
          </w:p>
        </w:tc>
        <w:tc>
          <w:tcPr>
            <w:tcW w:w="9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71"/>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2020</w:t>
            </w:r>
          </w:p>
        </w:tc>
        <w:tc>
          <w:tcPr>
            <w:tcW w:w="1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Estimated 2021 Net Periodic Benefit Cost</w:t>
            </w:r>
          </w:p>
        </w:tc>
        <w:tc>
          <w:tcPr>
            <w:tcW w:w="12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rPr>
              <w:t>2.55%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(76)</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to the Consolidated Financial Statements for more information on our pension and postretirement benefit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Activities</w:t>
      </w:r>
    </w:p>
    <w:p>
      <w:pPr>
        <w:spacing w:after="0" w:line="22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Cross-border outstandings are defined as loans (including accrued interest), acceptances, interest-bearing deposits with other banks, other interest-bearing investments, and any other monetary assets which are denominated in dollars or other non-local currency. As of December 31, 2020, December 31, 2019, and December 31, 2018, we did not have cross-border outstandings to any foreign country which exceeded 0.75% of our total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Risk Profile</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Managing risk is an essential part of successfully operating our business. Management believes that the most prominent risk exposures for the Company are credit risk, market risk, liquidity risk management, capital management, and operational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Credit risk is the risk that borrowers or counterparties will be unable or unwilling to repay their obligations in accordance with the underlying contractual terms. We manage and control credit risk in the loan and lease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also includes an independent credit review process that assesses compliance with commercial and consumer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w:t>
      </w:r>
    </w:p>
    <w:p>
      <w:pPr>
        <w:spacing w:after="0" w:line="16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Commercial and industrial loans are made primarily for the purpose of financing equipment acquisition, expansion, working capital, and other general business purposes. Lease financing consists of sales-type leases and leveraged leases that are used by commercial customers to finance capital purchases ranging from computer equipment to transportation equipment. The credit decisions for these transactions are based upon an assessment of the overall financial capacity of the applicant. A determination is made as to the applicant’s ability to repay in accordance with the proposed terms as well as an overall assessment of the risks involved. In addition to an evaluation of the applicant’s financial condition, a determination is made of the probable adequacy of the primary and secondary sources of repayment, such as additional collateral or personal guarantees, to be relied upon in the transaction. Credit agency reports of the applicant’s credit history supplement the analysis of the applicant’s creditworthiness.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Commercial mortgages and construction loans are offered to real estate investors, developers, builders, and owner-occupants primarily domiciled in Hawaii. These loans are secured by first mortgages on real estate at loan-to-value (“LTV”) ratios deemed appropriate based on the property type, location, overall quality, and sponsorship. Generally, these LTV ratios do not exceed 75%. The commercial properties are predominantly developments such as retail centers, apartments, industrial properties and, to a lesser extent, more specialized properties such as hotels. Substantially our entire commercial mortgage loans are secured by properties located in our primary market area.</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underwriting of our commercial mortgage loans, we obtain appraisals for the underlying properties. Decisions to lend are based on the economic fundamentals of the property and the creditworthiness of the borrower. In evaluating a proposed commercial mortgage loan, we primarily emphasize the ratio of the property’s projected net cash flows to the loan’s debt service requirement. The debt service coverage ratio normally is not less than 125% and it is computed after deducting for a vacancy factor and property expenses as appropriate. In addition, a personal guarantee of the loan or a portion thereof is sometimes required from the principal(s) of the borrower. We typically require title insurance insuring the priority of our lien, fire, and extended coverage casualty insurance, and flood insurance, if appropriate, in order to protect our security interest in the underlying property. In addition, business interruption insurance or other insurance may be required. Owner-occupant commercial mortgage loans are underwritten based upon the cash flow of the business provided that the real estate asset is utilized in the operation of the business. Real estate is evaluated independently as a secondary source of repayment. As noted above, LTV ratios generally do not exceed 75%.</w:t>
      </w:r>
    </w:p>
    <w:p>
      <w:pPr>
        <w:spacing w:after="0" w:line="16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Construction loans are underwritten against projected cash flows derived from rental income, business income from an owner-occupant, or the sale of the property to an end-user. We may mitigate the risks associated with these types of loans by requiring fixed-price construction contracts, performance and payment bonding, controlled disbursements, and pre-sale contracts or pre-lease agreements.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offer a variety of first mortgage and junior lien loans to consumers within our markets with residential home mortgages comprising our largest loan category. These loans are secured by a primary residence, secondary residence, or investor property and are underwritten using traditional underwriting systems to assess the credit risks and financial capacity and repayment ability of the consumer. Decisions are primarily based on LTV ratios, debt-to-income (“DTI”) ratios, liquidity, and credit scores. LTV ratios generally do not exceed 80%, although higher levels are permitted with mortgage insurance. We offer variable rate mortgage loans with interest rates that are subject to change every six months after the third, fifth, seventh, or tenth year, depending on the product and are based on the Secured Overnight Financing Rate (“SOFR”). Variable rate mortgage loans are underwritten at fully-indexed interest rates. We do not offer payment-option facilities, sub-prime or Alt-A loans, or any product with negative amortization. We selectively offer interest-only mortgage loans to Private Banking clients.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Home equity loans are secured by both first and second liens on residential property of the borrower. The underwriting terms for the home equity product generally permits borrowing availability, in the aggregate, up to 85% of the value of the collateral property at the time of origination. We offer fixed and variable rate home equity loans, with variable rate loans underwritten at fully-indexed interest rates. Our procedures for underwriting home equity loans include an assessment of an applicant’s overall financial capacity and repayment ability. Decisions are primarily based on LTV ratios, DTI ratios, and credit scores. Maximum amount and LTVs are determined by collateral value and channel.</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Automobile lending activities include loans and leases secured by new or used automobiles. We originate automobile loans and leases on an indirect basis through selected dealerships in Hawaii, Guam and Saipan. Our procedures for underwriting automobile loans include an assessment of an applicant’s overall financial capacity and repayment ability, credit history, and the ability to meet existing obligations and payments on the proposed loan. Although an applicant’s creditworthiness is the primary consideration, the underwriting process also includes a comparison of the value of the collateral security to the proposed loan amount. We require borrowers to maintain full coverage automobile insurance on automobile loans and leases, with the Bank listed as either the loss payee or additional insured.</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Economic conditions in Hawaii were sharply impacted by a shut-down of tourism at the end of March 2020 in an attempt to isolate the State from additional travel-related transmission of COVID-19. Our overall credit risk position reflects these stagnant economic trends and our loan portfolio growth and composition.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 and Accruing Loans and Leases Past Due 90 Days or More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15 presents a five-year history of non-performing assets and accruing loans and leases past due 90 days or more.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Non-Performing Assets and Accruing Loans and Leases Past Due 90 Days or More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Table 15</w:t>
            </w:r>
          </w:p>
        </w:tc>
        <w:tc>
          <w:tcPr>
            <w:tcW w:w="0" w:type="dxa"/>
            <w:vAlign w:val="bottom"/>
          </w:tcPr>
          <w:p>
            <w:pPr>
              <w:spacing w:after="0"/>
              <w:rPr>
                <w:sz w:val="1"/>
                <w:szCs w:val="1"/>
                <w:color w:val="auto"/>
              </w:rPr>
            </w:pPr>
          </w:p>
        </w:tc>
      </w:tr>
      <w:tr>
        <w:trPr>
          <w:trHeight w:val="156"/>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Non-Performing Assets</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Non-Accrual Loans and Leases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441</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830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542</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448</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62"/>
        </w:trPr>
        <w:tc>
          <w:tcPr>
            <w:tcW w:w="522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Commercial Mortgage</w:t>
            </w:r>
          </w:p>
        </w:tc>
        <w:tc>
          <w:tcPr>
            <w:tcW w:w="1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8,527</w:t>
            </w: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9,244</w:t>
            </w:r>
          </w:p>
        </w:tc>
        <w:tc>
          <w:tcPr>
            <w:tcW w:w="1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2,040</w:t>
            </w:r>
          </w:p>
        </w:tc>
        <w:tc>
          <w:tcPr>
            <w:tcW w:w="2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1,398</w:t>
            </w:r>
          </w:p>
        </w:tc>
        <w:tc>
          <w:tcPr>
            <w:tcW w:w="2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rPr>
              <w:t>Total Commercial</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8,968</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10,074</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2,582</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1,846</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1,148</w:t>
            </w:r>
          </w:p>
        </w:tc>
        <w:tc>
          <w:tcPr>
            <w:tcW w:w="0" w:type="dxa"/>
            <w:vAlign w:val="bottom"/>
          </w:tcPr>
          <w:p>
            <w:pPr>
              <w:spacing w:after="0"/>
              <w:rPr>
                <w:sz w:val="1"/>
                <w:szCs w:val="1"/>
                <w:color w:val="auto"/>
              </w:rPr>
            </w:pPr>
          </w:p>
        </w:tc>
      </w:tr>
      <w:tr>
        <w:trPr>
          <w:trHeight w:val="155"/>
        </w:trPr>
        <w:tc>
          <w:tcPr>
            <w:tcW w:w="5220" w:type="dxa"/>
            <w:vAlign w:val="bottom"/>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Consumer</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3,223</w:t>
            </w:r>
          </w:p>
        </w:tc>
        <w:tc>
          <w:tcPr>
            <w:tcW w:w="24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4,125</w:t>
            </w:r>
          </w:p>
        </w:tc>
        <w:tc>
          <w:tcPr>
            <w:tcW w:w="16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5,321</w:t>
            </w:r>
          </w:p>
        </w:tc>
        <w:tc>
          <w:tcPr>
            <w:tcW w:w="2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9,243</w:t>
            </w:r>
          </w:p>
        </w:tc>
        <w:tc>
          <w:tcPr>
            <w:tcW w:w="2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13,780</w:t>
            </w:r>
          </w:p>
        </w:tc>
        <w:tc>
          <w:tcPr>
            <w:tcW w:w="0" w:type="dxa"/>
            <w:vAlign w:val="bottom"/>
          </w:tcPr>
          <w:p>
            <w:pPr>
              <w:spacing w:after="0"/>
              <w:rPr>
                <w:sz w:val="1"/>
                <w:szCs w:val="1"/>
                <w:color w:val="auto"/>
              </w:rPr>
            </w:pPr>
          </w:p>
        </w:tc>
      </w:tr>
      <w:tr>
        <w:trPr>
          <w:trHeight w:val="162"/>
        </w:trPr>
        <w:tc>
          <w:tcPr>
            <w:tcW w:w="522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3,958</w:t>
            </w: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3,181</w:t>
            </w:r>
          </w:p>
        </w:tc>
        <w:tc>
          <w:tcPr>
            <w:tcW w:w="1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3,671</w:t>
            </w:r>
          </w:p>
        </w:tc>
        <w:tc>
          <w:tcPr>
            <w:tcW w:w="2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3,991</w:t>
            </w:r>
          </w:p>
        </w:tc>
        <w:tc>
          <w:tcPr>
            <w:tcW w:w="2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3,147</w:t>
            </w: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Consumer</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7,181</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7,306</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8,992</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13,234</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16,927</w:t>
            </w:r>
          </w:p>
        </w:tc>
        <w:tc>
          <w:tcPr>
            <w:tcW w:w="0" w:type="dxa"/>
            <w:vAlign w:val="bottom"/>
          </w:tcPr>
          <w:p>
            <w:pPr>
              <w:spacing w:after="0"/>
              <w:rPr>
                <w:sz w:val="1"/>
                <w:szCs w:val="1"/>
                <w:color w:val="auto"/>
              </w:rPr>
            </w:pPr>
          </w:p>
        </w:tc>
      </w:tr>
      <w:tr>
        <w:trPr>
          <w:trHeight w:val="155"/>
        </w:trPr>
        <w:tc>
          <w:tcPr>
            <w:tcW w:w="522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Non-Accrual Loans and Leases</w:t>
            </w:r>
          </w:p>
        </w:tc>
        <w:tc>
          <w:tcPr>
            <w:tcW w:w="12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16,149</w:t>
            </w:r>
          </w:p>
        </w:tc>
        <w:tc>
          <w:tcPr>
            <w:tcW w:w="2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17,380</w:t>
            </w:r>
          </w:p>
        </w:tc>
        <w:tc>
          <w:tcPr>
            <w:tcW w:w="1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11,574</w:t>
            </w:r>
          </w:p>
        </w:tc>
        <w:tc>
          <w:tcPr>
            <w:tcW w:w="2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15,080</w:t>
            </w:r>
          </w:p>
        </w:tc>
        <w:tc>
          <w:tcPr>
            <w:tcW w:w="2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18,075</w:t>
            </w: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Foreclosed Real Estate</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2,332</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2,737</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1,356</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1,040</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155"/>
        </w:trPr>
        <w:tc>
          <w:tcPr>
            <w:tcW w:w="522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Non-Performing Assets</w:t>
            </w:r>
          </w:p>
        </w:tc>
        <w:tc>
          <w:tcPr>
            <w:tcW w:w="300" w:type="dxa"/>
            <w:vAlign w:val="bottom"/>
            <w:tcBorders>
              <w:bottom w:val="single" w:sz="8" w:color="auto"/>
            </w:tcBorders>
            <w:gridSpan w:val="2"/>
            <w:shd w:val="clear" w:color="auto" w:fill="CFF0FC"/>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18,481</w:t>
            </w:r>
          </w:p>
        </w:tc>
        <w:tc>
          <w:tcPr>
            <w:tcW w:w="2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20,117</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12,930</w:t>
            </w:r>
          </w:p>
        </w:tc>
        <w:tc>
          <w:tcPr>
            <w:tcW w:w="2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16,120</w:t>
            </w:r>
          </w:p>
        </w:tc>
        <w:tc>
          <w:tcPr>
            <w:tcW w:w="2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19,761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2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Accruing Loans and Leases Past Due 90 Days or More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Commercial</w:t>
            </w:r>
          </w:p>
        </w:tc>
        <w:tc>
          <w:tcPr>
            <w:tcW w:w="12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2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52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5,274</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1,839</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2,446</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2,703</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3,127</w:t>
            </w:r>
          </w:p>
        </w:tc>
        <w:tc>
          <w:tcPr>
            <w:tcW w:w="0" w:type="dxa"/>
            <w:vAlign w:val="bottom"/>
          </w:tcPr>
          <w:p>
            <w:pPr>
              <w:spacing w:after="0"/>
              <w:rPr>
                <w:sz w:val="1"/>
                <w:szCs w:val="1"/>
                <w:color w:val="auto"/>
              </w:rPr>
            </w:pPr>
          </w:p>
        </w:tc>
      </w:tr>
      <w:tr>
        <w:trPr>
          <w:trHeight w:val="162"/>
        </w:trPr>
        <w:tc>
          <w:tcPr>
            <w:tcW w:w="5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3,187</w:t>
            </w:r>
          </w:p>
        </w:tc>
        <w:tc>
          <w:tcPr>
            <w:tcW w:w="24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4,125</w:t>
            </w:r>
          </w:p>
        </w:tc>
        <w:tc>
          <w:tcPr>
            <w:tcW w:w="16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2,684</w:t>
            </w:r>
          </w:p>
        </w:tc>
        <w:tc>
          <w:tcPr>
            <w:tcW w:w="2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1,624</w:t>
            </w:r>
          </w:p>
        </w:tc>
        <w:tc>
          <w:tcPr>
            <w:tcW w:w="2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Automobile</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925</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949</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513</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886</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62"/>
        </w:trPr>
        <w:tc>
          <w:tcPr>
            <w:tcW w:w="5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2"/>
                <w:szCs w:val="12"/>
                <w:color w:val="auto"/>
              </w:rPr>
              <w:t>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1,160</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1,493</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914</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1,934</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1,592</w:t>
            </w: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Consumer</w:t>
            </w:r>
          </w:p>
        </w:tc>
        <w:tc>
          <w:tcPr>
            <w:tcW w:w="12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10,546</w:t>
            </w:r>
          </w:p>
        </w:tc>
        <w:tc>
          <w:tcPr>
            <w:tcW w:w="2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8,406</w:t>
            </w:r>
          </w:p>
        </w:tc>
        <w:tc>
          <w:tcPr>
            <w:tcW w:w="1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6,557</w:t>
            </w:r>
          </w:p>
        </w:tc>
        <w:tc>
          <w:tcPr>
            <w:tcW w:w="2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7,147</w:t>
            </w:r>
          </w:p>
        </w:tc>
        <w:tc>
          <w:tcPr>
            <w:tcW w:w="2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7,070</w:t>
            </w:r>
          </w:p>
        </w:tc>
        <w:tc>
          <w:tcPr>
            <w:tcW w:w="0" w:type="dxa"/>
            <w:vAlign w:val="bottom"/>
          </w:tcPr>
          <w:p>
            <w:pPr>
              <w:spacing w:after="0"/>
              <w:rPr>
                <w:sz w:val="1"/>
                <w:szCs w:val="1"/>
                <w:color w:val="auto"/>
              </w:rPr>
            </w:pPr>
          </w:p>
        </w:tc>
      </w:tr>
      <w:tr>
        <w:trPr>
          <w:trHeight w:val="131"/>
        </w:trPr>
        <w:tc>
          <w:tcPr>
            <w:tcW w:w="522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Accruing Loans and Leases</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10,546</w:t>
            </w: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8,406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6,567</w:t>
            </w:r>
          </w:p>
        </w:tc>
        <w:tc>
          <w:tcPr>
            <w:tcW w:w="2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7,147</w:t>
            </w:r>
          </w:p>
        </w:tc>
        <w:tc>
          <w:tcPr>
            <w:tcW w:w="2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7,070</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Past Due 90 Days or More</w:t>
            </w:r>
          </w:p>
        </w:tc>
        <w:tc>
          <w:tcPr>
            <w:tcW w:w="30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22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Restructured Loans on Accrual Status</w:t>
            </w:r>
          </w:p>
        </w:tc>
        <w:tc>
          <w:tcPr>
            <w:tcW w:w="3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68,065</w:t>
            </w:r>
          </w:p>
        </w:tc>
        <w:tc>
          <w:tcPr>
            <w:tcW w:w="2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63,103</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48,731</w:t>
            </w:r>
          </w:p>
        </w:tc>
        <w:tc>
          <w:tcPr>
            <w:tcW w:w="2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55,672</w:t>
            </w:r>
          </w:p>
        </w:tc>
        <w:tc>
          <w:tcPr>
            <w:tcW w:w="2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52,208</w:t>
            </w:r>
          </w:p>
        </w:tc>
        <w:tc>
          <w:tcPr>
            <w:tcW w:w="0" w:type="dxa"/>
            <w:vAlign w:val="bottom"/>
          </w:tcPr>
          <w:p>
            <w:pPr>
              <w:spacing w:after="0"/>
              <w:rPr>
                <w:sz w:val="1"/>
                <w:szCs w:val="1"/>
                <w:color w:val="auto"/>
              </w:rPr>
            </w:pPr>
          </w:p>
        </w:tc>
      </w:tr>
      <w:tr>
        <w:trPr>
          <w:trHeight w:val="173"/>
        </w:trPr>
        <w:tc>
          <w:tcPr>
            <w:tcW w:w="5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and Not Past Due 90 Days or More</w:t>
            </w:r>
          </w:p>
        </w:tc>
        <w:tc>
          <w:tcPr>
            <w:tcW w:w="300" w:type="dxa"/>
            <w:vAlign w:val="bottom"/>
            <w:tcBorders>
              <w:bottom w:val="single" w:sz="8" w:color="auto"/>
            </w:tcBorders>
            <w:gridSpan w:val="2"/>
            <w:vMerge w:val="continue"/>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auto"/>
            </w:tcBorders>
            <w:vMerge w:val="continue"/>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auto"/>
            </w:tcBorders>
            <w:vMerge w:val="continue"/>
            <w:shd w:val="clear" w:color="auto" w:fill="CFF0FC"/>
          </w:tcPr>
          <w:p>
            <w:pPr>
              <w:spacing w:after="0"/>
              <w:rPr>
                <w:sz w:val="15"/>
                <w:szCs w:val="15"/>
                <w:color w:val="auto"/>
              </w:rPr>
            </w:pPr>
          </w:p>
        </w:tc>
        <w:tc>
          <w:tcPr>
            <w:tcW w:w="92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auto"/>
            </w:tcBorders>
            <w:vMerge w:val="continue"/>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Total Loans and Leases</w:t>
            </w:r>
          </w:p>
        </w:tc>
        <w:tc>
          <w:tcPr>
            <w:tcW w:w="300" w:type="dxa"/>
            <w:vAlign w:val="bottom"/>
            <w:tcBorders>
              <w:bottom w:val="single" w:sz="8" w:color="auto"/>
            </w:tcBorders>
            <w:gridSpan w:val="2"/>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rPr>
              <w:t>11,940,020</w:t>
            </w:r>
          </w:p>
        </w:tc>
        <w:tc>
          <w:tcPr>
            <w:tcW w:w="240" w:type="dxa"/>
            <w:vAlign w:val="bottom"/>
            <w:tcBorders>
              <w:bottom w:val="single" w:sz="8" w:color="auto"/>
            </w:tcBorders>
          </w:tcPr>
          <w:p>
            <w:pPr>
              <w:jc w:val="right"/>
              <w:ind w:right="28"/>
              <w:spacing w:after="0" w:line="14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rPr>
              <w:t>10,990,892</w:t>
            </w:r>
          </w:p>
        </w:tc>
        <w:tc>
          <w:tcPr>
            <w:tcW w:w="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rPr>
              <w:t>10,448,774</w:t>
            </w:r>
          </w:p>
        </w:tc>
        <w:tc>
          <w:tcPr>
            <w:tcW w:w="280" w:type="dxa"/>
            <w:vAlign w:val="bottom"/>
            <w:tcBorders>
              <w:bottom w:val="single" w:sz="8" w:color="auto"/>
            </w:tcBorders>
          </w:tcPr>
          <w:p>
            <w:pPr>
              <w:jc w:val="right"/>
              <w:ind w:right="68"/>
              <w:spacing w:after="0" w:line="14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08"/>
              <w:spacing w:after="0" w:line="143" w:lineRule="exact"/>
              <w:rPr>
                <w:sz w:val="20"/>
                <w:szCs w:val="20"/>
                <w:color w:val="auto"/>
              </w:rPr>
            </w:pPr>
            <w:r>
              <w:rPr>
                <w:rFonts w:ascii="Times New Roman" w:cs="Times New Roman" w:eastAsia="Times New Roman" w:hAnsi="Times New Roman"/>
                <w:sz w:val="14"/>
                <w:szCs w:val="14"/>
                <w:color w:val="auto"/>
              </w:rPr>
              <w:t>9,796,947</w:t>
            </w:r>
          </w:p>
        </w:tc>
        <w:tc>
          <w:tcPr>
            <w:tcW w:w="280" w:type="dxa"/>
            <w:vAlign w:val="bottom"/>
            <w:tcBorders>
              <w:bottom w:val="single" w:sz="8" w:color="auto"/>
            </w:tcBorders>
          </w:tcPr>
          <w:p>
            <w:pPr>
              <w:jc w:val="right"/>
              <w:ind w:right="68"/>
              <w:spacing w:after="0" w:line="14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68"/>
              <w:spacing w:after="0" w:line="143" w:lineRule="exact"/>
              <w:rPr>
                <w:sz w:val="20"/>
                <w:szCs w:val="20"/>
                <w:color w:val="auto"/>
              </w:rPr>
            </w:pPr>
            <w:r>
              <w:rPr>
                <w:rFonts w:ascii="Times New Roman" w:cs="Times New Roman" w:eastAsia="Times New Roman" w:hAnsi="Times New Roman"/>
                <w:sz w:val="14"/>
                <w:szCs w:val="14"/>
                <w:color w:val="auto"/>
              </w:rPr>
              <w:t>8,949,785</w:t>
            </w:r>
          </w:p>
        </w:tc>
        <w:tc>
          <w:tcPr>
            <w:tcW w:w="0" w:type="dxa"/>
            <w:vAlign w:val="bottom"/>
          </w:tcPr>
          <w:p>
            <w:pPr>
              <w:spacing w:after="0"/>
              <w:rPr>
                <w:sz w:val="1"/>
                <w:szCs w:val="1"/>
                <w:color w:val="auto"/>
              </w:rPr>
            </w:pPr>
          </w:p>
        </w:tc>
      </w:tr>
      <w:tr>
        <w:trPr>
          <w:trHeight w:val="120"/>
        </w:trPr>
        <w:tc>
          <w:tcPr>
            <w:tcW w:w="522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3"/>
                <w:szCs w:val="13"/>
                <w:color w:val="auto"/>
              </w:rPr>
              <w:t>Ratio of Non-Accrual Loans and Leases to</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24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6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8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8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Loans and Leases</w:t>
            </w:r>
          </w:p>
        </w:tc>
        <w:tc>
          <w:tcPr>
            <w:tcW w:w="1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Ratio of Non-Performing Assets to Total Loans and Leases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2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and Foreclosed Real Estate</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Ratio of Commercial Non-Performing Assets to</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Total Commercial Loans and Leases</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2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6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8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and Commercial Foreclosed Real Estate</w:t>
            </w:r>
          </w:p>
        </w:tc>
        <w:tc>
          <w:tcPr>
            <w:tcW w:w="1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Ratio of Consumer Non-Performing Assets to</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Total Consumer Loans and Leases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2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and Consumer Foreclosed Real Estate</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Ratio of Non-Performing Assets and Accruing</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and Leases Past Due 90 Days or More to</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6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28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Loans and Leases and Foreclosed Real Estate</w:t>
            </w:r>
          </w:p>
        </w:tc>
        <w:tc>
          <w:tcPr>
            <w:tcW w:w="1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4"/>
          <w:szCs w:val="14"/>
          <w:color w:val="auto"/>
        </w:rPr>
        <w:t>Comprised of other revolving credit, installment, and lease financing.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presents the activity in Non-Performing Assets (“NPAs”) for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Non-Performing Assets  </w:t>
            </w:r>
            <w:r>
              <w:rPr>
                <w:rFonts w:ascii="Times New Roman" w:cs="Times New Roman" w:eastAsia="Times New Roman" w:hAnsi="Times New Roman"/>
                <w:sz w:val="16"/>
                <w:szCs w:val="16"/>
                <w:color w:val="auto"/>
              </w:rPr>
              <w:t>(dollars in thousands)</w:t>
            </w:r>
          </w:p>
        </w:tc>
        <w:tc>
          <w:tcPr>
            <w:tcW w:w="3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Table 16</w:t>
            </w:r>
          </w:p>
        </w:tc>
      </w:tr>
      <w:tr>
        <w:trPr>
          <w:trHeight w:val="21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Beginning of Year</w:t>
            </w:r>
          </w:p>
        </w:tc>
        <w:tc>
          <w:tcPr>
            <w:tcW w:w="372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20,117</w:t>
            </w: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37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8,982</w:t>
            </w:r>
          </w:p>
        </w:tc>
      </w:tr>
      <w:tr>
        <w:trPr>
          <w:trHeight w:val="21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Reductions</w:t>
            </w:r>
          </w:p>
        </w:tc>
        <w:tc>
          <w:tcPr>
            <w:tcW w:w="37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13"/>
        </w:trPr>
        <w:tc>
          <w:tcPr>
            <w:tcW w:w="6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Payments</w:t>
            </w:r>
          </w:p>
        </w:tc>
        <w:tc>
          <w:tcPr>
            <w:tcW w:w="37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(7,270)</w:t>
            </w:r>
          </w:p>
        </w:tc>
      </w:tr>
      <w:tr>
        <w:trPr>
          <w:trHeight w:val="219"/>
        </w:trPr>
        <w:tc>
          <w:tcPr>
            <w:tcW w:w="6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Return to Accrual Status</w:t>
            </w:r>
          </w:p>
        </w:tc>
        <w:tc>
          <w:tcPr>
            <w:tcW w:w="3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(2,294)</w:t>
            </w:r>
          </w:p>
        </w:tc>
      </w:tr>
      <w:tr>
        <w:trPr>
          <w:trHeight w:val="213"/>
        </w:trPr>
        <w:tc>
          <w:tcPr>
            <w:tcW w:w="6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Sales of Foreclosed Real Estate</w:t>
            </w:r>
          </w:p>
        </w:tc>
        <w:tc>
          <w:tcPr>
            <w:tcW w:w="37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16"/>
        </w:trPr>
        <w:tc>
          <w:tcPr>
            <w:tcW w:w="62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Charge-offs/Write-downs</w:t>
            </w:r>
          </w:p>
        </w:tc>
        <w:tc>
          <w:tcPr>
            <w:tcW w:w="37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10"/>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Reductions</w:t>
            </w:r>
          </w:p>
        </w:tc>
        <w:tc>
          <w:tcPr>
            <w:tcW w:w="3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(10,618)</w:t>
            </w:r>
          </w:p>
        </w:tc>
      </w:tr>
      <w:tr>
        <w:trPr>
          <w:trHeight w:val="210"/>
        </w:trPr>
        <w:tc>
          <w:tcPr>
            <w:tcW w:w="6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372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18,481</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4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Total NPAs were $18.5 million as of December 31, 2020, a decrease of $1.6 million or 8% from December 31, 2019. The decrease was experienced primarily in the commercial lending portfolio. The ratio of our NPAs to total loans and leases, and foreclosed real estate was 0.15% as of December 31, 2020, and 0.18% as of December 31, 2019.</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Commercial mortgage non-accrual loans decreased by $0.7 million or 8% from December 31, 2019. The largest component of our NPAs are commercial mortgage loans.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Residential mortgage non-accrual loans decreased by $0.9 million or 22% from December 31, 2019, primarily due to paydowns and payoffs. As of December 31, 2020, our residential mortgage non-accrual loans were comprised of five loans with a weighted average current LTV ratio of 74%.</w:t>
      </w:r>
    </w:p>
    <w:p>
      <w:pPr>
        <w:spacing w:after="0" w:line="13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decreased by $0.4 million or 15% from December 31, 2019, primarily due to the sale of three residential properties during 2020.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 Past Due 90 Days or More and Still Accruing Interest</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Loans and leases in this category are 90 days or more past due, as to principal or interest, and are still accruing interest because they are well-secured and in the process of collection. Loans and leases past due 90 days or more and still accruing interest were $10.5 million as of December 31, 2020, a $2.1 million or 25% increase from December 31, 2019. This increase was primarily in our residential mortgage portfolio.</w:t>
      </w:r>
    </w:p>
    <w:p>
      <w:pPr>
        <w:spacing w:after="0" w:line="1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interest due on the balances of all non-accrual loans as of December 31, 2020, had been accrued under the original terms, approximately $0.9 million in total interest income would have been recorded in 2020.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Modified in a Troubled Debt Restructuring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17 presents information on loans whose terms have been modified in a TDR:</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Loans Modified in a Troubled Debt Restructuring</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Table 17</w:t>
            </w:r>
          </w:p>
        </w:tc>
      </w:tr>
      <w:tr>
        <w:trPr>
          <w:trHeight w:val="209"/>
        </w:trPr>
        <w:tc>
          <w:tcPr>
            <w:tcW w:w="77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r>
      <w:tr>
        <w:trPr>
          <w:trHeight w:val="211"/>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6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20,337</w:t>
            </w:r>
          </w:p>
        </w:tc>
        <w:tc>
          <w:tcPr>
            <w:tcW w:w="7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21,278</w:t>
            </w: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Mortgage</w:t>
            </w: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7,605</w:t>
            </w: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6,830</w:t>
            </w:r>
          </w:p>
        </w:tc>
      </w:tr>
      <w:tr>
        <w:trPr>
          <w:trHeight w:val="213"/>
        </w:trPr>
        <w:tc>
          <w:tcPr>
            <w:tcW w:w="7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Construction</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1,190</w:t>
            </w:r>
          </w:p>
        </w:tc>
      </w:tr>
      <w:tr>
        <w:trPr>
          <w:trHeight w:val="210"/>
        </w:trPr>
        <w:tc>
          <w:tcPr>
            <w:tcW w:w="7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6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27,942</w:t>
            </w:r>
          </w:p>
        </w:tc>
        <w:tc>
          <w:tcPr>
            <w:tcW w:w="7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29,298</w:t>
            </w: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Residential Mortgage</w:t>
            </w: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18,503</w:t>
            </w: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17,939</w:t>
            </w: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Home Equity</w:t>
            </w:r>
          </w:p>
        </w:tc>
        <w:tc>
          <w:tcPr>
            <w:tcW w:w="6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4,070</w:t>
            </w:r>
          </w:p>
        </w:tc>
        <w:tc>
          <w:tcPr>
            <w:tcW w:w="7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3,085</w:t>
            </w: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Automobile</w:t>
            </w: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19,155</w:t>
            </w: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17,086</w:t>
            </w:r>
          </w:p>
        </w:tc>
      </w:tr>
      <w:tr>
        <w:trPr>
          <w:trHeight w:val="216"/>
        </w:trPr>
        <w:tc>
          <w:tcPr>
            <w:tcW w:w="7720" w:type="dxa"/>
            <w:vAlign w:val="bottom"/>
            <w:tcBorders>
              <w:bottom w:val="single" w:sz="8" w:color="auto"/>
            </w:tcBorders>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1</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2,809</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1,650</w:t>
            </w:r>
          </w:p>
        </w:tc>
      </w:tr>
      <w:tr>
        <w:trPr>
          <w:trHeight w:val="207"/>
        </w:trPr>
        <w:tc>
          <w:tcPr>
            <w:tcW w:w="7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6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44,537</w:t>
            </w:r>
          </w:p>
        </w:tc>
        <w:tc>
          <w:tcPr>
            <w:tcW w:w="7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39,760</w:t>
            </w:r>
          </w:p>
        </w:tc>
      </w:tr>
      <w:tr>
        <w:trPr>
          <w:trHeight w:val="211"/>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72,479</w:t>
            </w:r>
          </w:p>
        </w:tc>
        <w:tc>
          <w:tcPr>
            <w:tcW w:w="7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69,058</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Comprised of other revolving credit and installment financing.</w:t>
      </w:r>
    </w:p>
    <w:p>
      <w:pPr>
        <w:spacing w:after="0" w:line="1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Loans modified in a TDR increased by $3.4 million or 5% from December 31, 2019. Commercial and industrial loans is our largest TDR loan class. As of December 31, 2020, $68.1 million or 94% of loans modified in a TDR were performing in accordance with their modified contractual terms and were on accrual status.</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Generally, loans modified in a TDR are returned to accrual status after the borrower has demonstrated performance under the modified terms by making at least six consecutive payments.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began offering short-term loan and lease modifications to assist borrowers during the COVID-19 pandemic. These modifications generally involve principal and/or interest payment deferrals for up to six months. As the COVID-19 pandemic persists in negatively impacting the economy, the Company continues to offer additional loan modifications to borrowers struggling as a result of COVID-19. Similar to the initial modifications granted, the additional round of loan modifications are granted specifically under Section 4013 of the CARES Act and generally involve principal and/or interest payment deferrals for up to an additional six months for commercial and consumer loans, and principal-only deferrals for up to an additional 12 months for selected commercial loans. The CARES Act, along with a joint agency statement issued by banking agencies, provide that modifications made in response to COVID-19 to borrowers who qualify are not required to be accounted for as a TDR. Accordingly, the Company does not account for such qualifying modifications as TDRs.</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2020, these COVID-19 related loan and lease modifications totaled $311.6 million (210 loans and leases) for the commercial segment and $178.1 million (1,920 loans and leases) for the consumer segment. See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Loans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Leases and the Allowance for Credit Losses </w:t>
      </w:r>
      <w:r>
        <w:rPr>
          <w:rFonts w:ascii="Times New Roman" w:cs="Times New Roman" w:eastAsia="Times New Roman" w:hAnsi="Times New Roman"/>
          <w:sz w:val="18"/>
          <w:szCs w:val="18"/>
          <w:color w:val="auto"/>
        </w:rPr>
        <w:t>for more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Credit Losses</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reserve for credit losses consists of the Allowance and the Unfunded Reserve. As of December 31, 2020, the reserve for credit losses also included a reserve for accrued interest receivable related to loans in which interest payment forbearances were granted to borrowers impacted by the COVID-19 pandemic. Table 18 presents the activity in the Company’s reserve for credit losses for the years ended December 31: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Reserve for Credit Losses</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18</w:t>
            </w:r>
          </w:p>
        </w:tc>
      </w:tr>
      <w:tr>
        <w:trPr>
          <w:trHeight w:val="211"/>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11"/>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116,849</w:t>
            </w:r>
          </w:p>
        </w:tc>
        <w:tc>
          <w:tcPr>
            <w:tcW w:w="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113,515</w:t>
            </w:r>
          </w:p>
        </w:tc>
        <w:tc>
          <w:tcPr>
            <w:tcW w:w="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114,168</w:t>
            </w:r>
          </w:p>
        </w:tc>
        <w:tc>
          <w:tcPr>
            <w:tcW w:w="3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110,845</w:t>
            </w:r>
          </w:p>
        </w:tc>
        <w:tc>
          <w:tcPr>
            <w:tcW w:w="3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108,952</w:t>
            </w: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CECL Adoption (Day 1) Impact</w:t>
            </w:r>
          </w:p>
        </w:tc>
        <w:tc>
          <w:tcPr>
            <w:tcW w:w="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(5,072)</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4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(1,697)</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(1,122)</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(1,505)</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(1,408)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(865)</w:t>
            </w:r>
          </w:p>
        </w:tc>
      </w:tr>
      <w:tr>
        <w:trPr>
          <w:trHeight w:val="213"/>
        </w:trPr>
        <w:tc>
          <w:tcPr>
            <w:tcW w:w="41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Commercial Mortgage</w:t>
            </w:r>
          </w:p>
        </w:tc>
        <w:tc>
          <w:tcPr>
            <w:tcW w:w="6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(1,616)</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13"/>
        </w:trPr>
        <w:tc>
          <w:tcPr>
            <w:tcW w:w="41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Residential Mortgage</w:t>
            </w:r>
          </w:p>
        </w:tc>
        <w:tc>
          <w:tcPr>
            <w:tcW w:w="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(204)</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3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(729)</w:t>
            </w:r>
          </w:p>
        </w:tc>
        <w:tc>
          <w:tcPr>
            <w:tcW w:w="3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(723)</w:t>
            </w:r>
          </w:p>
        </w:tc>
      </w:tr>
      <w:tr>
        <w:trPr>
          <w:trHeight w:val="219"/>
        </w:trPr>
        <w:tc>
          <w:tcPr>
            <w:tcW w:w="4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Home Equity</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(397)</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(900)</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(665)</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(995)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(1,104)</w:t>
            </w:r>
          </w:p>
        </w:tc>
      </w:tr>
      <w:tr>
        <w:trPr>
          <w:trHeight w:val="213"/>
        </w:trPr>
        <w:tc>
          <w:tcPr>
            <w:tcW w:w="41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Automobile</w:t>
            </w:r>
          </w:p>
        </w:tc>
        <w:tc>
          <w:tcPr>
            <w:tcW w:w="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(6,496)</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(7,130)</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(8,218)</w:t>
            </w:r>
          </w:p>
        </w:tc>
        <w:tc>
          <w:tcPr>
            <w:tcW w:w="3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(7,737)</w:t>
            </w:r>
          </w:p>
        </w:tc>
        <w:tc>
          <w:tcPr>
            <w:tcW w:w="3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(6,355)</w:t>
            </w:r>
          </w:p>
        </w:tc>
      </w:tr>
      <w:tr>
        <w:trPr>
          <w:trHeight w:val="219"/>
        </w:trPr>
        <w:tc>
          <w:tcPr>
            <w:tcW w:w="4100" w:type="dxa"/>
            <w:vAlign w:val="bottom"/>
            <w:tcBorders>
              <w:bottom w:val="single" w:sz="8" w:color="auto"/>
            </w:tcBorders>
            <w:shd w:val="clear" w:color="auto" w:fill="CFF0FC"/>
          </w:tcPr>
          <w:p>
            <w:pPr>
              <w:ind w:left="500"/>
              <w:spacing w:after="0" w:line="219"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1</w:t>
            </w: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(12,244)</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(13,075)</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(14,075)</w:t>
            </w: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(12,386)</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(9,462)</w:t>
            </w:r>
          </w:p>
        </w:tc>
      </w:tr>
      <w:tr>
        <w:trPr>
          <w:trHeight w:val="208"/>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Loans and Leases Charged-Off</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(21,038)</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(23,955)</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(24,564)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(23,255)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(18,509)</w:t>
            </w:r>
          </w:p>
        </w:tc>
      </w:tr>
      <w:tr>
        <w:trPr>
          <w:trHeight w:val="211"/>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4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2,288</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1,513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2,039</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1,482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8,058</w:t>
            </w:r>
          </w:p>
        </w:tc>
      </w:tr>
      <w:tr>
        <w:trPr>
          <w:trHeight w:val="213"/>
        </w:trPr>
        <w:tc>
          <w:tcPr>
            <w:tcW w:w="41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Commercial Mortgage</w:t>
            </w:r>
          </w:p>
        </w:tc>
        <w:tc>
          <w:tcPr>
            <w:tcW w:w="6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4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Construction</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41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 Financing</w:t>
            </w:r>
          </w:p>
        </w:tc>
        <w:tc>
          <w:tcPr>
            <w:tcW w:w="6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4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13"/>
        </w:trPr>
        <w:tc>
          <w:tcPr>
            <w:tcW w:w="41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Residential Mortgage</w:t>
            </w:r>
          </w:p>
        </w:tc>
        <w:tc>
          <w:tcPr>
            <w:tcW w:w="6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1,292</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1,927</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807</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639</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1,151</w:t>
            </w:r>
          </w:p>
        </w:tc>
      </w:tr>
      <w:tr>
        <w:trPr>
          <w:trHeight w:val="219"/>
        </w:trPr>
        <w:tc>
          <w:tcPr>
            <w:tcW w:w="4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Home Equity</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2,892</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2,339</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2,001</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2,681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1,776</w:t>
            </w:r>
          </w:p>
        </w:tc>
      </w:tr>
      <w:tr>
        <w:trPr>
          <w:trHeight w:val="213"/>
        </w:trPr>
        <w:tc>
          <w:tcPr>
            <w:tcW w:w="41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Automobile</w:t>
            </w:r>
          </w:p>
        </w:tc>
        <w:tc>
          <w:tcPr>
            <w:tcW w:w="6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3,775</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2,961</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2,902</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2,495</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2,207</w:t>
            </w:r>
          </w:p>
        </w:tc>
      </w:tr>
      <w:tr>
        <w:trPr>
          <w:trHeight w:val="219"/>
        </w:trPr>
        <w:tc>
          <w:tcPr>
            <w:tcW w:w="4100" w:type="dxa"/>
            <w:vAlign w:val="bottom"/>
            <w:tcBorders>
              <w:bottom w:val="single" w:sz="8" w:color="auto"/>
            </w:tcBorders>
            <w:shd w:val="clear" w:color="auto" w:fill="CFF0FC"/>
          </w:tcPr>
          <w:p>
            <w:pPr>
              <w:ind w:left="500"/>
              <w:spacing w:after="0" w:line="219"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1</w:t>
            </w:r>
          </w:p>
        </w:tc>
        <w:tc>
          <w:tcPr>
            <w:tcW w:w="6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3,613</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2,549</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2,737</w:t>
            </w: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2,128</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1,881</w:t>
            </w:r>
          </w:p>
        </w:tc>
      </w:tr>
      <w:tr>
        <w:trPr>
          <w:trHeight w:val="194"/>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Recoveries on Loans and Leases</w:t>
            </w: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4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Previously Charged-Off</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13,900</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11,289</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10,486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9,428</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15,152</w:t>
            </w:r>
          </w:p>
        </w:tc>
      </w:tr>
      <w:tr>
        <w:trPr>
          <w:trHeight w:val="21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(7,138)</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(12,666)</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(14,078)</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(13,827)</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(3,357)</w:t>
            </w:r>
          </w:p>
        </w:tc>
      </w:tr>
      <w:tr>
        <w:trPr>
          <w:trHeight w:val="216"/>
        </w:trPr>
        <w:tc>
          <w:tcPr>
            <w:tcW w:w="410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Provision for Credit Losses </w:t>
            </w:r>
            <w:r>
              <w:rPr>
                <w:rFonts w:ascii="Times New Roman" w:cs="Times New Roman" w:eastAsia="Times New Roman" w:hAnsi="Times New Roman"/>
                <w:sz w:val="25"/>
                <w:szCs w:val="25"/>
                <w:color w:val="auto"/>
                <w:vertAlign w:val="superscript"/>
              </w:rPr>
              <w:t>3</w:t>
            </w:r>
          </w:p>
        </w:tc>
        <w:tc>
          <w:tcPr>
            <w:tcW w:w="6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117,800</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16,000</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13,425</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16,900</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4,750</w:t>
            </w:r>
          </w:p>
        </w:tc>
      </w:tr>
      <w:tr>
        <w:trPr>
          <w:trHeight w:val="213"/>
        </w:trPr>
        <w:tc>
          <w:tcPr>
            <w:tcW w:w="4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Unfunded Commitments</w:t>
            </w: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(1,136)</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250</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500</w:t>
            </w:r>
          </w:p>
        </w:tc>
      </w:tr>
      <w:tr>
        <w:trPr>
          <w:trHeight w:val="252"/>
        </w:trPr>
        <w:tc>
          <w:tcPr>
            <w:tcW w:w="4100" w:type="dxa"/>
            <w:vAlign w:val="bottom"/>
            <w:tcBorders>
              <w:bottom w:val="single" w:sz="8" w:color="auto"/>
            </w:tcBorders>
          </w:tcPr>
          <w:p>
            <w:pPr>
              <w:spacing w:after="0" w:line="212" w:lineRule="exact"/>
              <w:rPr>
                <w:sz w:val="20"/>
                <w:szCs w:val="20"/>
                <w:color w:val="auto"/>
              </w:rPr>
            </w:pPr>
            <w:r>
              <w:rPr>
                <w:rFonts w:ascii="Times New Roman" w:cs="Times New Roman" w:eastAsia="Times New Roman" w:hAnsi="Times New Roman"/>
                <w:sz w:val="15"/>
                <w:szCs w:val="15"/>
                <w:b w:val="1"/>
                <w:bCs w:val="1"/>
                <w:color w:val="auto"/>
              </w:rPr>
              <w:t xml:space="preserve">Balance at End of Period </w:t>
            </w:r>
            <w:r>
              <w:rPr>
                <w:rFonts w:ascii="Times New Roman" w:cs="Times New Roman" w:eastAsia="Times New Roman" w:hAnsi="Times New Roman"/>
                <w:sz w:val="24"/>
                <w:szCs w:val="24"/>
                <w:b w:val="1"/>
                <w:bCs w:val="1"/>
                <w:color w:val="auto"/>
                <w:vertAlign w:val="superscript"/>
              </w:rPr>
              <w:t>2</w:t>
            </w: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221,303</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116,849</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113,515</w:t>
            </w: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114,168</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110,845</w:t>
            </w:r>
          </w:p>
        </w:tc>
      </w:tr>
      <w:tr>
        <w:trPr>
          <w:trHeight w:val="19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6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216,252</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110,027</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106,693</w:t>
            </w: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107,346</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104,273</w:t>
            </w:r>
          </w:p>
        </w:tc>
      </w:tr>
      <w:tr>
        <w:trPr>
          <w:trHeight w:val="219"/>
        </w:trPr>
        <w:tc>
          <w:tcPr>
            <w:tcW w:w="410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15"/>
                <w:szCs w:val="15"/>
                <w:color w:val="auto"/>
              </w:rPr>
              <w:t xml:space="preserve">Allowance for Accrued Interest Receivable </w:t>
            </w:r>
            <w:r>
              <w:rPr>
                <w:rFonts w:ascii="Times New Roman" w:cs="Times New Roman" w:eastAsia="Times New Roman" w:hAnsi="Times New Roman"/>
                <w:sz w:val="25"/>
                <w:szCs w:val="25"/>
                <w:color w:val="auto"/>
                <w:vertAlign w:val="superscript"/>
              </w:rPr>
              <w:t>3</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2,700</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Reserve for Unfunded Commitments</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2,351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6,822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6,822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6,822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6,572</w:t>
            </w:r>
          </w:p>
        </w:tc>
      </w:tr>
      <w:tr>
        <w:trPr>
          <w:trHeight w:val="210"/>
        </w:trPr>
        <w:tc>
          <w:tcPr>
            <w:tcW w:w="4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Reserve for Credit Losses</w:t>
            </w:r>
          </w:p>
        </w:tc>
        <w:tc>
          <w:tcPr>
            <w:tcW w:w="6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221,303</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116,849</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113,515</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114,168</w:t>
            </w:r>
          </w:p>
        </w:tc>
        <w:tc>
          <w:tcPr>
            <w:tcW w:w="3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110,845</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Average Loans and Leases Outstanding</w:t>
            </w: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11,592,093</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10,688,424</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10,043,661</w:t>
            </w: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9,346,828</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8,362,210</w:t>
            </w:r>
          </w:p>
        </w:tc>
      </w:tr>
      <w:tr>
        <w:trPr>
          <w:trHeight w:val="184"/>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Ratio of Net Loans and Leases Charged-Off to</w:t>
            </w:r>
          </w:p>
        </w:tc>
        <w:tc>
          <w:tcPr>
            <w:tcW w:w="6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16"/>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Average Loans and Leases Outstanding</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Ratio of Allowance for Credit Losses to</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 and Leases Outstanding</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bl>
    <w:p>
      <w:pPr>
        <w:spacing w:after="0" w:line="91"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Comprised of other revolving credit, installment, and lease financing.</w:t>
      </w:r>
    </w:p>
    <w:p>
      <w:pPr>
        <w:ind w:left="200" w:hanging="192"/>
        <w:spacing w:after="0" w:line="226" w:lineRule="auto"/>
        <w:tabs>
          <w:tab w:leader="none" w:pos="20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Included in this analysis is activity related to the Company’s reserve for unfunded commitments, which is separately recorded in other liabilities in the consolidated statements of condition.</w:t>
      </w:r>
    </w:p>
    <w:p>
      <w:pPr>
        <w:ind w:left="200" w:right="520" w:hanging="189"/>
        <w:spacing w:after="0" w:line="23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3 </w:t>
      </w:r>
      <w:r>
        <w:rPr>
          <w:rFonts w:ascii="Times New Roman" w:cs="Times New Roman" w:eastAsia="Times New Roman" w:hAnsi="Times New Roman"/>
          <w:sz w:val="14"/>
          <w:szCs w:val="14"/>
          <w:color w:val="auto"/>
        </w:rPr>
        <w:t>On December 31, 2020, the Company recorded a $2.7 million reserve on accrued interest receivable related to loans in which interest payment forbearances were granted to borrowers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4"/>
          <w:szCs w:val="14"/>
          <w:color w:val="auto"/>
        </w:rPr>
        <w:t>impacted by the COVID-19 pandemic. The reserve was recorded as a contra-asset against accrued interest receivable with the offset to provision for credit losses.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19 presents the allocation of the Allowance by loan and lease category.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Allocation of Allowance for Credit Losses</w:t>
            </w: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Table 19</w:t>
            </w:r>
          </w:p>
        </w:tc>
      </w:tr>
      <w:tr>
        <w:trPr>
          <w:trHeight w:val="209"/>
        </w:trPr>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1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13"/>
        </w:trPr>
        <w:tc>
          <w:tcPr>
            <w:tcW w:w="2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97"/>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w w:val="99"/>
              </w:rPr>
              <w:t>43,092</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29,281</w:t>
            </w:r>
          </w:p>
        </w:tc>
        <w:tc>
          <w:tcPr>
            <w:tcW w:w="680" w:type="dxa"/>
            <w:vAlign w:val="bottom"/>
          </w:tcPr>
          <w:p>
            <w:pPr>
              <w:jc w:val="right"/>
              <w:ind w:right="305"/>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26,408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24,750</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22,797</w:t>
            </w:r>
          </w:p>
        </w:tc>
      </w:tr>
      <w:tr>
        <w:trPr>
          <w:trHeight w:val="219"/>
        </w:trPr>
        <w:tc>
          <w:tcPr>
            <w:tcW w:w="2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Mortgage</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w w:val="99"/>
              </w:rPr>
              <w:t>31,723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38,335</w:t>
            </w:r>
          </w:p>
        </w:tc>
        <w:tc>
          <w:tcPr>
            <w:tcW w:w="6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34,869</w:t>
            </w:r>
          </w:p>
        </w:tc>
        <w:tc>
          <w:tcPr>
            <w:tcW w:w="1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34,890</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33,893</w:t>
            </w:r>
          </w:p>
        </w:tc>
      </w:tr>
      <w:tr>
        <w:trPr>
          <w:trHeight w:val="213"/>
        </w:trPr>
        <w:tc>
          <w:tcPr>
            <w:tcW w:w="2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Construction</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5,417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w:t>
            </w:r>
          </w:p>
        </w:tc>
        <w:tc>
          <w:tcPr>
            <w:tcW w:w="680" w:type="dxa"/>
            <w:vAlign w:val="bottom"/>
          </w:tcPr>
          <w:p>
            <w:pPr>
              <w:spacing w:after="0"/>
              <w:rPr>
                <w:sz w:val="18"/>
                <w:szCs w:val="18"/>
                <w:color w:val="auto"/>
              </w:rPr>
            </w:pPr>
          </w:p>
        </w:tc>
        <w:tc>
          <w:tcPr>
            <w:tcW w:w="84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4,398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5,109</w:t>
            </w:r>
          </w:p>
        </w:tc>
        <w:tc>
          <w:tcPr>
            <w:tcW w:w="68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7,771</w:t>
            </w:r>
          </w:p>
        </w:tc>
      </w:tr>
      <w:tr>
        <w:trPr>
          <w:trHeight w:val="216"/>
        </w:trPr>
        <w:tc>
          <w:tcPr>
            <w:tcW w:w="29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Lease Financing</w:t>
            </w: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rPr>
              <w:t>4,615</w:t>
            </w:r>
          </w:p>
        </w:tc>
        <w:tc>
          <w:tcPr>
            <w:tcW w:w="1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6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1,199</w:t>
            </w:r>
          </w:p>
        </w:tc>
        <w:tc>
          <w:tcPr>
            <w:tcW w:w="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1,073</w:t>
            </w:r>
          </w:p>
        </w:tc>
        <w:tc>
          <w:tcPr>
            <w:tcW w:w="6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1,219</w:t>
            </w:r>
          </w:p>
        </w:tc>
      </w:tr>
      <w:tr>
        <w:trPr>
          <w:trHeight w:val="2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84,847</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73,801</w:t>
            </w: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66,874</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65,822</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65,680</w:t>
            </w:r>
          </w:p>
        </w:tc>
      </w:tr>
      <w:tr>
        <w:trPr>
          <w:trHeight w:val="212"/>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13"/>
        </w:trPr>
        <w:tc>
          <w:tcPr>
            <w:tcW w:w="2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Residential Mortgage</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w w:val="99"/>
              </w:rPr>
              <w:t>32,643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680" w:type="dxa"/>
            <w:vAlign w:val="bottom"/>
          </w:tcPr>
          <w:p>
            <w:pPr>
              <w:spacing w:after="0"/>
              <w:rPr>
                <w:sz w:val="18"/>
                <w:szCs w:val="18"/>
                <w:color w:val="auto"/>
              </w:rPr>
            </w:pPr>
          </w:p>
        </w:tc>
        <w:tc>
          <w:tcPr>
            <w:tcW w:w="84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6,870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6,515</w:t>
            </w:r>
          </w:p>
        </w:tc>
        <w:tc>
          <w:tcPr>
            <w:tcW w:w="68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6,435</w:t>
            </w:r>
          </w:p>
        </w:tc>
      </w:tr>
      <w:tr>
        <w:trPr>
          <w:trHeight w:val="219"/>
        </w:trPr>
        <w:tc>
          <w:tcPr>
            <w:tcW w:w="2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Home Equity</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w w:val="99"/>
              </w:rPr>
              <w:t>37,987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9,777</w:t>
            </w:r>
          </w:p>
        </w:tc>
        <w:tc>
          <w:tcPr>
            <w:tcW w:w="6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11,240</w:t>
            </w:r>
          </w:p>
        </w:tc>
        <w:tc>
          <w:tcPr>
            <w:tcW w:w="1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12,520</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13,442</w:t>
            </w:r>
          </w:p>
        </w:tc>
      </w:tr>
      <w:tr>
        <w:trPr>
          <w:trHeight w:val="213"/>
        </w:trPr>
        <w:tc>
          <w:tcPr>
            <w:tcW w:w="2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Automobile</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w w:val="99"/>
              </w:rPr>
              <w:t>28,822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9,269</w:t>
            </w:r>
          </w:p>
        </w:tc>
        <w:tc>
          <w:tcPr>
            <w:tcW w:w="680" w:type="dxa"/>
            <w:vAlign w:val="bottom"/>
          </w:tcPr>
          <w:p>
            <w:pPr>
              <w:spacing w:after="0"/>
              <w:rPr>
                <w:sz w:val="18"/>
                <w:szCs w:val="18"/>
                <w:color w:val="auto"/>
              </w:rPr>
            </w:pPr>
          </w:p>
        </w:tc>
        <w:tc>
          <w:tcPr>
            <w:tcW w:w="84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11,576</w:t>
            </w:r>
          </w:p>
        </w:tc>
        <w:tc>
          <w:tcPr>
            <w:tcW w:w="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10,940</w:t>
            </w:r>
          </w:p>
        </w:tc>
        <w:tc>
          <w:tcPr>
            <w:tcW w:w="68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9,763</w:t>
            </w:r>
          </w:p>
        </w:tc>
      </w:tr>
      <w:tr>
        <w:trPr>
          <w:trHeight w:val="219"/>
        </w:trPr>
        <w:tc>
          <w:tcPr>
            <w:tcW w:w="2940" w:type="dxa"/>
            <w:vAlign w:val="bottom"/>
            <w:tcBorders>
              <w:bottom w:val="single" w:sz="8" w:color="auto"/>
            </w:tcBorders>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1</w:t>
            </w:r>
          </w:p>
        </w:tc>
        <w:tc>
          <w:tcPr>
            <w:tcW w:w="9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w w:val="99"/>
              </w:rPr>
              <w:t>31,953</w:t>
            </w: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10,814</w:t>
            </w:r>
          </w:p>
        </w:tc>
        <w:tc>
          <w:tcPr>
            <w:tcW w:w="6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10,133</w:t>
            </w: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6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8,953</w:t>
            </w:r>
          </w:p>
        </w:tc>
      </w:tr>
      <w:tr>
        <w:trPr>
          <w:trHeight w:val="207"/>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9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131,405</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36,226</w:t>
            </w:r>
          </w:p>
        </w:tc>
        <w:tc>
          <w:tcPr>
            <w:tcW w:w="6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39,819</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41,524</w:t>
            </w:r>
          </w:p>
        </w:tc>
        <w:tc>
          <w:tcPr>
            <w:tcW w:w="6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38,593</w:t>
            </w:r>
          </w:p>
        </w:tc>
      </w:tr>
      <w:tr>
        <w:trPr>
          <w:trHeight w:val="210"/>
        </w:trPr>
        <w:tc>
          <w:tcPr>
            <w:tcW w:w="38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Allocation of Allowance for Credit Losses</w:t>
            </w:r>
          </w:p>
        </w:tc>
        <w:tc>
          <w:tcPr>
            <w:tcW w:w="6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ind w:right="297"/>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6"/>
                <w:szCs w:val="16"/>
                <w:color w:val="auto"/>
              </w:rPr>
              <w:t>216,252</w:t>
            </w:r>
          </w:p>
        </w:tc>
        <w:tc>
          <w:tcPr>
            <w:tcW w:w="1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110,027</w:t>
            </w:r>
          </w:p>
        </w:tc>
        <w:tc>
          <w:tcPr>
            <w:tcW w:w="680" w:type="dxa"/>
            <w:vAlign w:val="bottom"/>
            <w:tcBorders>
              <w:bottom w:val="single" w:sz="8" w:color="auto"/>
            </w:tcBorders>
            <w:shd w:val="clear" w:color="auto" w:fill="CFF0FC"/>
          </w:tcPr>
          <w:p>
            <w:pPr>
              <w:jc w:val="right"/>
              <w:ind w:right="305"/>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106,693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107,346</w:t>
            </w:r>
          </w:p>
        </w:tc>
        <w:tc>
          <w:tcPr>
            <w:tcW w:w="68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104,273</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28"/>
        </w:trPr>
        <w:tc>
          <w:tcPr>
            <w:tcW w:w="29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0"/>
        </w:trPr>
        <w:tc>
          <w:tcPr>
            <w:tcW w:w="294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2020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2018</w:t>
            </w:r>
          </w:p>
        </w:tc>
        <w:tc>
          <w:tcPr>
            <w:tcW w:w="6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2017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w w:val="99"/>
              </w:rPr>
              <w:t>2016</w:t>
            </w:r>
          </w:p>
        </w:tc>
        <w:tc>
          <w:tcPr>
            <w:tcW w:w="740" w:type="dxa"/>
            <w:vAlign w:val="bottom"/>
          </w:tcPr>
          <w:p>
            <w:pPr>
              <w:spacing w:after="0"/>
              <w:rPr>
                <w:sz w:val="18"/>
                <w:szCs w:val="18"/>
                <w:color w:val="auto"/>
              </w:rPr>
            </w:pPr>
          </w:p>
        </w:tc>
      </w:tr>
      <w:tr>
        <w:trPr>
          <w:trHeight w:val="122"/>
        </w:trPr>
        <w:tc>
          <w:tcPr>
            <w:tcW w:w="2940" w:type="dxa"/>
            <w:vAlign w:val="bottom"/>
          </w:tcPr>
          <w:p>
            <w:pPr>
              <w:spacing w:after="0"/>
              <w:rPr>
                <w:sz w:val="10"/>
                <w:szCs w:val="10"/>
                <w:color w:val="auto"/>
              </w:rPr>
            </w:pPr>
          </w:p>
        </w:tc>
        <w:tc>
          <w:tcPr>
            <w:tcW w:w="920" w:type="dxa"/>
            <w:vAlign w:val="bottom"/>
            <w:tcBorders>
              <w:top w:val="single" w:sz="8" w:color="auto"/>
            </w:tcBorders>
          </w:tcPr>
          <w:p>
            <w:pPr>
              <w:jc w:val="right"/>
              <w:ind w:right="247"/>
              <w:spacing w:after="0" w:line="122" w:lineRule="exact"/>
              <w:rPr>
                <w:sz w:val="20"/>
                <w:szCs w:val="20"/>
                <w:color w:val="auto"/>
              </w:rPr>
            </w:pPr>
            <w:r>
              <w:rPr>
                <w:rFonts w:ascii="Times New Roman" w:cs="Times New Roman" w:eastAsia="Times New Roman" w:hAnsi="Times New Roman"/>
                <w:sz w:val="13"/>
                <w:szCs w:val="13"/>
                <w:b w:val="1"/>
                <w:bCs w:val="1"/>
                <w:color w:val="auto"/>
              </w:rPr>
              <w:t>Alloc.</w:t>
            </w:r>
          </w:p>
        </w:tc>
        <w:tc>
          <w:tcPr>
            <w:tcW w:w="680" w:type="dxa"/>
            <w:vAlign w:val="bottom"/>
            <w:tcBorders>
              <w:top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3"/>
                <w:szCs w:val="13"/>
                <w:b w:val="1"/>
                <w:bCs w:val="1"/>
                <w:color w:val="auto"/>
              </w:rPr>
              <w:t>Loan</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Alloc.</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Loan</w:t>
            </w:r>
          </w:p>
        </w:tc>
        <w:tc>
          <w:tcPr>
            <w:tcW w:w="1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Borders>
              <w:top w:val="single" w:sz="8" w:color="auto"/>
            </w:tcBorders>
          </w:tcPr>
          <w:p>
            <w:pPr>
              <w:jc w:val="right"/>
              <w:ind w:right="244"/>
              <w:spacing w:after="0" w:line="122" w:lineRule="exact"/>
              <w:rPr>
                <w:sz w:val="20"/>
                <w:szCs w:val="20"/>
                <w:color w:val="auto"/>
              </w:rPr>
            </w:pPr>
            <w:r>
              <w:rPr>
                <w:rFonts w:ascii="Times New Roman" w:cs="Times New Roman" w:eastAsia="Times New Roman" w:hAnsi="Times New Roman"/>
                <w:sz w:val="13"/>
                <w:szCs w:val="13"/>
                <w:b w:val="1"/>
                <w:bCs w:val="1"/>
                <w:color w:val="auto"/>
              </w:rPr>
              <w:t>Alloc.</w:t>
            </w:r>
          </w:p>
        </w:tc>
        <w:tc>
          <w:tcPr>
            <w:tcW w:w="680" w:type="dxa"/>
            <w:vAlign w:val="bottom"/>
            <w:tcBorders>
              <w:top w:val="single" w:sz="8" w:color="auto"/>
            </w:tcBorders>
          </w:tcPr>
          <w:p>
            <w:pPr>
              <w:jc w:val="right"/>
              <w:ind w:right="85"/>
              <w:spacing w:after="0" w:line="122" w:lineRule="exact"/>
              <w:rPr>
                <w:sz w:val="20"/>
                <w:szCs w:val="20"/>
                <w:color w:val="auto"/>
              </w:rPr>
            </w:pPr>
            <w:r>
              <w:rPr>
                <w:rFonts w:ascii="Times New Roman" w:cs="Times New Roman" w:eastAsia="Times New Roman" w:hAnsi="Times New Roman"/>
                <w:sz w:val="13"/>
                <w:szCs w:val="13"/>
                <w:b w:val="1"/>
                <w:bCs w:val="1"/>
                <w:color w:val="auto"/>
              </w:rPr>
              <w:t>Loan</w:t>
            </w:r>
          </w:p>
        </w:tc>
        <w:tc>
          <w:tcPr>
            <w:tcW w:w="60" w:type="dxa"/>
            <w:vAlign w:val="bottom"/>
          </w:tcPr>
          <w:p>
            <w:pPr>
              <w:spacing w:after="0"/>
              <w:rPr>
                <w:sz w:val="10"/>
                <w:szCs w:val="10"/>
                <w:color w:val="auto"/>
              </w:rPr>
            </w:pPr>
          </w:p>
        </w:tc>
        <w:tc>
          <w:tcPr>
            <w:tcW w:w="780" w:type="dxa"/>
            <w:vAlign w:val="bottom"/>
            <w:tcBorders>
              <w:top w:val="single" w:sz="8" w:color="auto"/>
            </w:tcBorders>
          </w:tcPr>
          <w:p>
            <w:pPr>
              <w:jc w:val="right"/>
              <w:ind w:right="117"/>
              <w:spacing w:after="0" w:line="122" w:lineRule="exact"/>
              <w:rPr>
                <w:sz w:val="20"/>
                <w:szCs w:val="20"/>
                <w:color w:val="auto"/>
              </w:rPr>
            </w:pPr>
            <w:r>
              <w:rPr>
                <w:rFonts w:ascii="Times New Roman" w:cs="Times New Roman" w:eastAsia="Times New Roman" w:hAnsi="Times New Roman"/>
                <w:sz w:val="13"/>
                <w:szCs w:val="13"/>
                <w:b w:val="1"/>
                <w:bCs w:val="1"/>
                <w:color w:val="auto"/>
              </w:rPr>
              <w:t>Alloc.</w:t>
            </w: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Loan</w:t>
            </w:r>
          </w:p>
        </w:tc>
        <w:tc>
          <w:tcPr>
            <w:tcW w:w="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85"/>
              <w:spacing w:after="0" w:line="122" w:lineRule="exact"/>
              <w:rPr>
                <w:sz w:val="20"/>
                <w:szCs w:val="20"/>
                <w:color w:val="auto"/>
              </w:rPr>
            </w:pPr>
            <w:r>
              <w:rPr>
                <w:rFonts w:ascii="Times New Roman" w:cs="Times New Roman" w:eastAsia="Times New Roman" w:hAnsi="Times New Roman"/>
                <w:sz w:val="13"/>
                <w:szCs w:val="13"/>
                <w:b w:val="1"/>
                <w:bCs w:val="1"/>
                <w:color w:val="auto"/>
              </w:rPr>
              <w:t>Alloc.</w:t>
            </w:r>
          </w:p>
        </w:tc>
        <w:tc>
          <w:tcPr>
            <w:tcW w:w="740" w:type="dxa"/>
            <w:vAlign w:val="bottom"/>
            <w:tcBorders>
              <w:top w:val="single" w:sz="8" w:color="auto"/>
            </w:tcBorders>
          </w:tcPr>
          <w:p>
            <w:pPr>
              <w:jc w:val="right"/>
              <w:ind w:right="83"/>
              <w:spacing w:after="0" w:line="122" w:lineRule="exact"/>
              <w:rPr>
                <w:sz w:val="20"/>
                <w:szCs w:val="20"/>
                <w:color w:val="auto"/>
              </w:rPr>
            </w:pPr>
            <w:r>
              <w:rPr>
                <w:rFonts w:ascii="Times New Roman" w:cs="Times New Roman" w:eastAsia="Times New Roman" w:hAnsi="Times New Roman"/>
                <w:sz w:val="13"/>
                <w:szCs w:val="13"/>
                <w:b w:val="1"/>
                <w:bCs w:val="1"/>
                <w:color w:val="auto"/>
              </w:rPr>
              <w:t>Loan</w:t>
            </w:r>
          </w:p>
        </w:tc>
      </w:tr>
      <w:tr>
        <w:trPr>
          <w:trHeight w:val="135"/>
        </w:trPr>
        <w:tc>
          <w:tcPr>
            <w:tcW w:w="2940" w:type="dxa"/>
            <w:vAlign w:val="bottom"/>
          </w:tcPr>
          <w:p>
            <w:pPr>
              <w:spacing w:after="0"/>
              <w:rPr>
                <w:sz w:val="11"/>
                <w:szCs w:val="11"/>
                <w:color w:val="auto"/>
              </w:rPr>
            </w:pPr>
          </w:p>
        </w:tc>
        <w:tc>
          <w:tcPr>
            <w:tcW w:w="920" w:type="dxa"/>
            <w:vAlign w:val="bottom"/>
          </w:tcPr>
          <w:p>
            <w:pPr>
              <w:jc w:val="right"/>
              <w:ind w:right="247"/>
              <w:spacing w:after="0" w:line="135" w:lineRule="exact"/>
              <w:rPr>
                <w:sz w:val="20"/>
                <w:szCs w:val="20"/>
                <w:color w:val="auto"/>
              </w:rPr>
            </w:pPr>
            <w:r>
              <w:rPr>
                <w:rFonts w:ascii="Times New Roman" w:cs="Times New Roman" w:eastAsia="Times New Roman" w:hAnsi="Times New Roman"/>
                <w:sz w:val="13"/>
                <w:szCs w:val="13"/>
                <w:b w:val="1"/>
                <w:bCs w:val="1"/>
                <w:color w:val="auto"/>
              </w:rPr>
              <w:t>Allow.</w:t>
            </w: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category</w:t>
            </w:r>
          </w:p>
        </w:tc>
        <w:tc>
          <w:tcPr>
            <w:tcW w:w="2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Allow.</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category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244"/>
              <w:spacing w:after="0" w:line="135" w:lineRule="exact"/>
              <w:rPr>
                <w:sz w:val="20"/>
                <w:szCs w:val="20"/>
                <w:color w:val="auto"/>
              </w:rPr>
            </w:pPr>
            <w:r>
              <w:rPr>
                <w:rFonts w:ascii="Times New Roman" w:cs="Times New Roman" w:eastAsia="Times New Roman" w:hAnsi="Times New Roman"/>
                <w:sz w:val="13"/>
                <w:szCs w:val="13"/>
                <w:b w:val="1"/>
                <w:bCs w:val="1"/>
                <w:color w:val="auto"/>
              </w:rPr>
              <w:t>Allow.</w:t>
            </w:r>
          </w:p>
        </w:tc>
        <w:tc>
          <w:tcPr>
            <w:tcW w:w="680" w:type="dxa"/>
            <w:vAlign w:val="bottom"/>
          </w:tcPr>
          <w:p>
            <w:pPr>
              <w:jc w:val="right"/>
              <w:ind w:right="85"/>
              <w:spacing w:after="0" w:line="135" w:lineRule="exact"/>
              <w:rPr>
                <w:sz w:val="20"/>
                <w:szCs w:val="20"/>
                <w:color w:val="auto"/>
              </w:rPr>
            </w:pPr>
            <w:r>
              <w:rPr>
                <w:rFonts w:ascii="Times New Roman" w:cs="Times New Roman" w:eastAsia="Times New Roman" w:hAnsi="Times New Roman"/>
                <w:sz w:val="13"/>
                <w:szCs w:val="13"/>
                <w:b w:val="1"/>
                <w:bCs w:val="1"/>
                <w:color w:val="auto"/>
              </w:rPr>
              <w:t>category</w:t>
            </w:r>
          </w:p>
        </w:tc>
        <w:tc>
          <w:tcPr>
            <w:tcW w:w="60" w:type="dxa"/>
            <w:vAlign w:val="bottom"/>
          </w:tcPr>
          <w:p>
            <w:pPr>
              <w:spacing w:after="0"/>
              <w:rPr>
                <w:sz w:val="11"/>
                <w:szCs w:val="11"/>
                <w:color w:val="auto"/>
              </w:rPr>
            </w:pPr>
          </w:p>
        </w:tc>
        <w:tc>
          <w:tcPr>
            <w:tcW w:w="7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Allow.</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category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185"/>
              <w:spacing w:after="0" w:line="135" w:lineRule="exact"/>
              <w:rPr>
                <w:sz w:val="20"/>
                <w:szCs w:val="20"/>
                <w:color w:val="auto"/>
              </w:rPr>
            </w:pPr>
            <w:r>
              <w:rPr>
                <w:rFonts w:ascii="Times New Roman" w:cs="Times New Roman" w:eastAsia="Times New Roman" w:hAnsi="Times New Roman"/>
                <w:sz w:val="13"/>
                <w:szCs w:val="13"/>
                <w:b w:val="1"/>
                <w:bCs w:val="1"/>
                <w:color w:val="auto"/>
              </w:rPr>
              <w:t>Allow.</w:t>
            </w:r>
          </w:p>
        </w:tc>
        <w:tc>
          <w:tcPr>
            <w:tcW w:w="740" w:type="dxa"/>
            <w:vAlign w:val="bottom"/>
          </w:tcPr>
          <w:p>
            <w:pPr>
              <w:jc w:val="right"/>
              <w:ind w:right="83"/>
              <w:spacing w:after="0" w:line="135" w:lineRule="exact"/>
              <w:rPr>
                <w:sz w:val="20"/>
                <w:szCs w:val="20"/>
                <w:color w:val="auto"/>
              </w:rPr>
            </w:pPr>
            <w:r>
              <w:rPr>
                <w:rFonts w:ascii="Times New Roman" w:cs="Times New Roman" w:eastAsia="Times New Roman" w:hAnsi="Times New Roman"/>
                <w:sz w:val="13"/>
                <w:szCs w:val="13"/>
                <w:b w:val="1"/>
                <w:bCs w:val="1"/>
                <w:color w:val="auto"/>
              </w:rPr>
              <w:t>category</w:t>
            </w:r>
          </w:p>
        </w:tc>
      </w:tr>
      <w:tr>
        <w:trPr>
          <w:trHeight w:val="135"/>
        </w:trPr>
        <w:tc>
          <w:tcPr>
            <w:tcW w:w="2940" w:type="dxa"/>
            <w:vAlign w:val="bottom"/>
          </w:tcPr>
          <w:p>
            <w:pPr>
              <w:spacing w:after="0"/>
              <w:rPr>
                <w:sz w:val="11"/>
                <w:szCs w:val="11"/>
                <w:color w:val="auto"/>
              </w:rPr>
            </w:pPr>
          </w:p>
        </w:tc>
        <w:tc>
          <w:tcPr>
            <w:tcW w:w="920" w:type="dxa"/>
            <w:vAlign w:val="bottom"/>
          </w:tcPr>
          <w:p>
            <w:pPr>
              <w:jc w:val="right"/>
              <w:ind w:right="247"/>
              <w:spacing w:after="0" w:line="135" w:lineRule="exact"/>
              <w:rPr>
                <w:sz w:val="20"/>
                <w:szCs w:val="20"/>
                <w:color w:val="auto"/>
              </w:rPr>
            </w:pPr>
            <w:r>
              <w:rPr>
                <w:rFonts w:ascii="Times New Roman" w:cs="Times New Roman" w:eastAsia="Times New Roman" w:hAnsi="Times New Roman"/>
                <w:sz w:val="13"/>
                <w:szCs w:val="13"/>
                <w:b w:val="1"/>
                <w:bCs w:val="1"/>
                <w:color w:val="auto"/>
              </w:rPr>
              <w:t>as</w:t>
            </w: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as % of</w:t>
            </w:r>
          </w:p>
        </w:tc>
        <w:tc>
          <w:tcPr>
            <w:tcW w:w="2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as %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244"/>
              <w:spacing w:after="0" w:line="135" w:lineRule="exact"/>
              <w:rPr>
                <w:sz w:val="20"/>
                <w:szCs w:val="20"/>
                <w:color w:val="auto"/>
              </w:rPr>
            </w:pPr>
            <w:r>
              <w:rPr>
                <w:rFonts w:ascii="Times New Roman" w:cs="Times New Roman" w:eastAsia="Times New Roman" w:hAnsi="Times New Roman"/>
                <w:sz w:val="13"/>
                <w:szCs w:val="13"/>
                <w:b w:val="1"/>
                <w:bCs w:val="1"/>
                <w:color w:val="auto"/>
              </w:rPr>
              <w:t>as</w:t>
            </w:r>
          </w:p>
        </w:tc>
        <w:tc>
          <w:tcPr>
            <w:tcW w:w="680" w:type="dxa"/>
            <w:vAlign w:val="bottom"/>
          </w:tcPr>
          <w:p>
            <w:pPr>
              <w:jc w:val="right"/>
              <w:ind w:right="85"/>
              <w:spacing w:after="0" w:line="135" w:lineRule="exact"/>
              <w:rPr>
                <w:sz w:val="20"/>
                <w:szCs w:val="20"/>
                <w:color w:val="auto"/>
              </w:rPr>
            </w:pPr>
            <w:r>
              <w:rPr>
                <w:rFonts w:ascii="Times New Roman" w:cs="Times New Roman" w:eastAsia="Times New Roman" w:hAnsi="Times New Roman"/>
                <w:sz w:val="13"/>
                <w:szCs w:val="13"/>
                <w:b w:val="1"/>
                <w:bCs w:val="1"/>
                <w:color w:val="auto"/>
              </w:rPr>
              <w:t>as % of</w:t>
            </w:r>
          </w:p>
        </w:tc>
        <w:tc>
          <w:tcPr>
            <w:tcW w:w="60" w:type="dxa"/>
            <w:vAlign w:val="bottom"/>
          </w:tcPr>
          <w:p>
            <w:pPr>
              <w:spacing w:after="0"/>
              <w:rPr>
                <w:sz w:val="11"/>
                <w:szCs w:val="11"/>
                <w:color w:val="auto"/>
              </w:rPr>
            </w:pPr>
          </w:p>
        </w:tc>
        <w:tc>
          <w:tcPr>
            <w:tcW w:w="7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as</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as %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185"/>
              <w:spacing w:after="0" w:line="135" w:lineRule="exact"/>
              <w:rPr>
                <w:sz w:val="20"/>
                <w:szCs w:val="20"/>
                <w:color w:val="auto"/>
              </w:rPr>
            </w:pPr>
            <w:r>
              <w:rPr>
                <w:rFonts w:ascii="Times New Roman" w:cs="Times New Roman" w:eastAsia="Times New Roman" w:hAnsi="Times New Roman"/>
                <w:sz w:val="13"/>
                <w:szCs w:val="13"/>
                <w:b w:val="1"/>
                <w:bCs w:val="1"/>
                <w:color w:val="auto"/>
              </w:rPr>
              <w:t>as</w:t>
            </w:r>
          </w:p>
        </w:tc>
        <w:tc>
          <w:tcPr>
            <w:tcW w:w="740" w:type="dxa"/>
            <w:vAlign w:val="bottom"/>
          </w:tcPr>
          <w:p>
            <w:pPr>
              <w:jc w:val="right"/>
              <w:ind w:right="83"/>
              <w:spacing w:after="0" w:line="135" w:lineRule="exact"/>
              <w:rPr>
                <w:sz w:val="20"/>
                <w:szCs w:val="20"/>
                <w:color w:val="auto"/>
              </w:rPr>
            </w:pPr>
            <w:r>
              <w:rPr>
                <w:rFonts w:ascii="Times New Roman" w:cs="Times New Roman" w:eastAsia="Times New Roman" w:hAnsi="Times New Roman"/>
                <w:sz w:val="13"/>
                <w:szCs w:val="13"/>
                <w:b w:val="1"/>
                <w:bCs w:val="1"/>
                <w:color w:val="auto"/>
              </w:rPr>
              <w:t>as % of</w:t>
            </w:r>
          </w:p>
        </w:tc>
      </w:tr>
      <w:tr>
        <w:trPr>
          <w:trHeight w:val="135"/>
        </w:trPr>
        <w:tc>
          <w:tcPr>
            <w:tcW w:w="2940" w:type="dxa"/>
            <w:vAlign w:val="bottom"/>
          </w:tcPr>
          <w:p>
            <w:pPr>
              <w:spacing w:after="0"/>
              <w:rPr>
                <w:sz w:val="11"/>
                <w:szCs w:val="11"/>
                <w:color w:val="auto"/>
              </w:rPr>
            </w:pPr>
          </w:p>
        </w:tc>
        <w:tc>
          <w:tcPr>
            <w:tcW w:w="920" w:type="dxa"/>
            <w:vAlign w:val="bottom"/>
          </w:tcPr>
          <w:p>
            <w:pPr>
              <w:jc w:val="right"/>
              <w:ind w:right="247"/>
              <w:spacing w:after="0" w:line="135" w:lineRule="exact"/>
              <w:rPr>
                <w:sz w:val="20"/>
                <w:szCs w:val="20"/>
                <w:color w:val="auto"/>
              </w:rPr>
            </w:pPr>
            <w:r>
              <w:rPr>
                <w:rFonts w:ascii="Times New Roman" w:cs="Times New Roman" w:eastAsia="Times New Roman" w:hAnsi="Times New Roman"/>
                <w:sz w:val="13"/>
                <w:szCs w:val="13"/>
                <w:b w:val="1"/>
                <w:bCs w:val="1"/>
                <w:color w:val="auto"/>
              </w:rPr>
              <w:t>% of</w:t>
            </w: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244"/>
              <w:spacing w:after="0" w:line="135" w:lineRule="exact"/>
              <w:rPr>
                <w:sz w:val="20"/>
                <w:szCs w:val="20"/>
                <w:color w:val="auto"/>
              </w:rPr>
            </w:pPr>
            <w:r>
              <w:rPr>
                <w:rFonts w:ascii="Times New Roman" w:cs="Times New Roman" w:eastAsia="Times New Roman" w:hAnsi="Times New Roman"/>
                <w:sz w:val="13"/>
                <w:szCs w:val="13"/>
                <w:b w:val="1"/>
                <w:bCs w:val="1"/>
                <w:color w:val="auto"/>
              </w:rPr>
              <w:t>% of</w:t>
            </w:r>
          </w:p>
        </w:tc>
        <w:tc>
          <w:tcPr>
            <w:tcW w:w="680" w:type="dxa"/>
            <w:vAlign w:val="bottom"/>
          </w:tcPr>
          <w:p>
            <w:pPr>
              <w:jc w:val="right"/>
              <w:ind w:right="85"/>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1"/>
                <w:szCs w:val="11"/>
                <w:color w:val="auto"/>
              </w:rPr>
            </w:pPr>
          </w:p>
        </w:tc>
        <w:tc>
          <w:tcPr>
            <w:tcW w:w="7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185"/>
              <w:spacing w:after="0" w:line="135" w:lineRule="exact"/>
              <w:rPr>
                <w:sz w:val="20"/>
                <w:szCs w:val="20"/>
                <w:color w:val="auto"/>
              </w:rPr>
            </w:pPr>
            <w:r>
              <w:rPr>
                <w:rFonts w:ascii="Times New Roman" w:cs="Times New Roman" w:eastAsia="Times New Roman" w:hAnsi="Times New Roman"/>
                <w:sz w:val="13"/>
                <w:szCs w:val="13"/>
                <w:b w:val="1"/>
                <w:bCs w:val="1"/>
                <w:color w:val="auto"/>
              </w:rPr>
              <w:t>% of</w:t>
            </w:r>
          </w:p>
        </w:tc>
        <w:tc>
          <w:tcPr>
            <w:tcW w:w="740" w:type="dxa"/>
            <w:vAlign w:val="bottom"/>
          </w:tcPr>
          <w:p>
            <w:pPr>
              <w:jc w:val="right"/>
              <w:ind w:right="83"/>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35"/>
        </w:trPr>
        <w:tc>
          <w:tcPr>
            <w:tcW w:w="2940" w:type="dxa"/>
            <w:vAlign w:val="bottom"/>
          </w:tcPr>
          <w:p>
            <w:pPr>
              <w:spacing w:after="0"/>
              <w:rPr>
                <w:sz w:val="11"/>
                <w:szCs w:val="11"/>
                <w:color w:val="auto"/>
              </w:rPr>
            </w:pPr>
          </w:p>
        </w:tc>
        <w:tc>
          <w:tcPr>
            <w:tcW w:w="920" w:type="dxa"/>
            <w:vAlign w:val="bottom"/>
          </w:tcPr>
          <w:p>
            <w:pPr>
              <w:jc w:val="right"/>
              <w:ind w:right="247"/>
              <w:spacing w:after="0" w:line="135" w:lineRule="exact"/>
              <w:rPr>
                <w:sz w:val="20"/>
                <w:szCs w:val="20"/>
                <w:color w:val="auto"/>
              </w:rPr>
            </w:pPr>
            <w:r>
              <w:rPr>
                <w:rFonts w:ascii="Times New Roman" w:cs="Times New Roman" w:eastAsia="Times New Roman" w:hAnsi="Times New Roman"/>
                <w:sz w:val="13"/>
                <w:szCs w:val="13"/>
                <w:b w:val="1"/>
                <w:bCs w:val="1"/>
                <w:color w:val="auto"/>
              </w:rPr>
              <w:t>loan or</w:t>
            </w: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loans</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loan or</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loans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244"/>
              <w:spacing w:after="0" w:line="135" w:lineRule="exact"/>
              <w:rPr>
                <w:sz w:val="20"/>
                <w:szCs w:val="20"/>
                <w:color w:val="auto"/>
              </w:rPr>
            </w:pPr>
            <w:r>
              <w:rPr>
                <w:rFonts w:ascii="Times New Roman" w:cs="Times New Roman" w:eastAsia="Times New Roman" w:hAnsi="Times New Roman"/>
                <w:sz w:val="13"/>
                <w:szCs w:val="13"/>
                <w:b w:val="1"/>
                <w:bCs w:val="1"/>
                <w:color w:val="auto"/>
              </w:rPr>
              <w:t>loan or</w:t>
            </w:r>
          </w:p>
        </w:tc>
        <w:tc>
          <w:tcPr>
            <w:tcW w:w="680" w:type="dxa"/>
            <w:vAlign w:val="bottom"/>
          </w:tcPr>
          <w:p>
            <w:pPr>
              <w:jc w:val="right"/>
              <w:ind w:right="85"/>
              <w:spacing w:after="0" w:line="135" w:lineRule="exact"/>
              <w:rPr>
                <w:sz w:val="20"/>
                <w:szCs w:val="20"/>
                <w:color w:val="auto"/>
              </w:rPr>
            </w:pPr>
            <w:r>
              <w:rPr>
                <w:rFonts w:ascii="Times New Roman" w:cs="Times New Roman" w:eastAsia="Times New Roman" w:hAnsi="Times New Roman"/>
                <w:sz w:val="13"/>
                <w:szCs w:val="13"/>
                <w:b w:val="1"/>
                <w:bCs w:val="1"/>
                <w:color w:val="auto"/>
              </w:rPr>
              <w:t>loans</w:t>
            </w:r>
          </w:p>
        </w:tc>
        <w:tc>
          <w:tcPr>
            <w:tcW w:w="60" w:type="dxa"/>
            <w:vAlign w:val="bottom"/>
          </w:tcPr>
          <w:p>
            <w:pPr>
              <w:spacing w:after="0"/>
              <w:rPr>
                <w:sz w:val="11"/>
                <w:szCs w:val="11"/>
                <w:color w:val="auto"/>
              </w:rPr>
            </w:pPr>
          </w:p>
        </w:tc>
        <w:tc>
          <w:tcPr>
            <w:tcW w:w="7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loan or</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loans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185"/>
              <w:spacing w:after="0" w:line="135" w:lineRule="exact"/>
              <w:rPr>
                <w:sz w:val="20"/>
                <w:szCs w:val="20"/>
                <w:color w:val="auto"/>
              </w:rPr>
            </w:pPr>
            <w:r>
              <w:rPr>
                <w:rFonts w:ascii="Times New Roman" w:cs="Times New Roman" w:eastAsia="Times New Roman" w:hAnsi="Times New Roman"/>
                <w:sz w:val="13"/>
                <w:szCs w:val="13"/>
                <w:b w:val="1"/>
                <w:bCs w:val="1"/>
                <w:color w:val="auto"/>
              </w:rPr>
              <w:t>loan or</w:t>
            </w:r>
          </w:p>
        </w:tc>
        <w:tc>
          <w:tcPr>
            <w:tcW w:w="740" w:type="dxa"/>
            <w:vAlign w:val="bottom"/>
          </w:tcPr>
          <w:p>
            <w:pPr>
              <w:jc w:val="right"/>
              <w:ind w:right="83"/>
              <w:spacing w:after="0" w:line="135" w:lineRule="exact"/>
              <w:rPr>
                <w:sz w:val="20"/>
                <w:szCs w:val="20"/>
                <w:color w:val="auto"/>
              </w:rPr>
            </w:pPr>
            <w:r>
              <w:rPr>
                <w:rFonts w:ascii="Times New Roman" w:cs="Times New Roman" w:eastAsia="Times New Roman" w:hAnsi="Times New Roman"/>
                <w:sz w:val="13"/>
                <w:szCs w:val="13"/>
                <w:b w:val="1"/>
                <w:bCs w:val="1"/>
                <w:color w:val="auto"/>
              </w:rPr>
              <w:t>loans</w:t>
            </w:r>
          </w:p>
        </w:tc>
      </w:tr>
      <w:tr>
        <w:trPr>
          <w:trHeight w:val="135"/>
        </w:trPr>
        <w:tc>
          <w:tcPr>
            <w:tcW w:w="2940" w:type="dxa"/>
            <w:vAlign w:val="bottom"/>
          </w:tcPr>
          <w:p>
            <w:pPr>
              <w:spacing w:after="0"/>
              <w:rPr>
                <w:sz w:val="11"/>
                <w:szCs w:val="11"/>
                <w:color w:val="auto"/>
              </w:rPr>
            </w:pPr>
          </w:p>
        </w:tc>
        <w:tc>
          <w:tcPr>
            <w:tcW w:w="920" w:type="dxa"/>
            <w:vAlign w:val="bottom"/>
          </w:tcPr>
          <w:p>
            <w:pPr>
              <w:jc w:val="right"/>
              <w:ind w:right="247"/>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7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2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244"/>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680" w:type="dxa"/>
            <w:vAlign w:val="bottom"/>
          </w:tcPr>
          <w:p>
            <w:pPr>
              <w:jc w:val="right"/>
              <w:ind w:right="85"/>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60" w:type="dxa"/>
            <w:vAlign w:val="bottom"/>
          </w:tcPr>
          <w:p>
            <w:pPr>
              <w:spacing w:after="0"/>
              <w:rPr>
                <w:sz w:val="11"/>
                <w:szCs w:val="11"/>
                <w:color w:val="auto"/>
              </w:rPr>
            </w:pPr>
          </w:p>
        </w:tc>
        <w:tc>
          <w:tcPr>
            <w:tcW w:w="7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185"/>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740" w:type="dxa"/>
            <w:vAlign w:val="bottom"/>
          </w:tcPr>
          <w:p>
            <w:pPr>
              <w:jc w:val="right"/>
              <w:ind w:right="83"/>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r>
      <w:tr>
        <w:trPr>
          <w:trHeight w:val="155"/>
        </w:trPr>
        <w:tc>
          <w:tcPr>
            <w:tcW w:w="29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6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7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leases</w:t>
            </w:r>
          </w:p>
        </w:tc>
      </w:tr>
      <w:tr>
        <w:trPr>
          <w:trHeight w:val="21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13"/>
        </w:trPr>
        <w:tc>
          <w:tcPr>
            <w:tcW w:w="2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2.30%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80" w:type="dxa"/>
            <w:vAlign w:val="bottom"/>
          </w:tcPr>
          <w:p>
            <w:pPr>
              <w:spacing w:after="0"/>
              <w:rPr>
                <w:sz w:val="18"/>
                <w:szCs w:val="18"/>
                <w:color w:val="auto"/>
              </w:rPr>
            </w:pPr>
          </w:p>
        </w:tc>
        <w:tc>
          <w:tcPr>
            <w:tcW w:w="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2.12%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60" w:type="dxa"/>
            <w:vAlign w:val="bottom"/>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1.98%</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1.82%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19"/>
        </w:trPr>
        <w:tc>
          <w:tcPr>
            <w:tcW w:w="2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Mortgage</w:t>
            </w:r>
          </w:p>
        </w:tc>
        <w:tc>
          <w:tcPr>
            <w:tcW w:w="9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1.11</w:t>
            </w:r>
          </w:p>
        </w:tc>
        <w:tc>
          <w:tcPr>
            <w:tcW w:w="6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6"/>
                <w:szCs w:val="16"/>
                <w:color w:val="auto"/>
              </w:rPr>
              <w:t>23.91</w:t>
            </w: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1.51</w:t>
            </w:r>
          </w:p>
        </w:tc>
        <w:tc>
          <w:tcPr>
            <w:tcW w:w="68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22.03</w:t>
            </w:r>
          </w:p>
        </w:tc>
        <w:tc>
          <w:tcPr>
            <w:tcW w:w="8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1.66</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1.79</w:t>
            </w:r>
          </w:p>
        </w:tc>
        <w:tc>
          <w:tcPr>
            <w:tcW w:w="7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21.11</w:t>
            </w:r>
          </w:p>
        </w:tc>
      </w:tr>
      <w:tr>
        <w:trPr>
          <w:trHeight w:val="213"/>
        </w:trPr>
        <w:tc>
          <w:tcPr>
            <w:tcW w:w="2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Construction</w:t>
            </w: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2.09</w:t>
            </w: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2.59</w:t>
            </w:r>
          </w:p>
        </w:tc>
        <w:tc>
          <w:tcPr>
            <w:tcW w:w="68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1.63</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2.88</w:t>
            </w: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3.02</w:t>
            </w:r>
          </w:p>
        </w:tc>
      </w:tr>
      <w:tr>
        <w:trPr>
          <w:trHeight w:val="216"/>
        </w:trPr>
        <w:tc>
          <w:tcPr>
            <w:tcW w:w="29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Lease Financing</w:t>
            </w:r>
          </w:p>
        </w:tc>
        <w:tc>
          <w:tcPr>
            <w:tcW w:w="9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4.17</w:t>
            </w:r>
          </w:p>
        </w:tc>
        <w:tc>
          <w:tcPr>
            <w:tcW w:w="6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6"/>
                <w:szCs w:val="16"/>
                <w:color w:val="auto"/>
              </w:rPr>
              <w:t>0.93</w:t>
            </w:r>
          </w:p>
        </w:tc>
        <w:tc>
          <w:tcPr>
            <w:tcW w:w="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0.68</w:t>
            </w:r>
          </w:p>
        </w:tc>
        <w:tc>
          <w:tcPr>
            <w:tcW w:w="68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1.69</w:t>
            </w:r>
          </w:p>
        </w:tc>
        <w:tc>
          <w:tcPr>
            <w:tcW w:w="840" w:type="dxa"/>
            <w:vAlign w:val="bottom"/>
            <w:tcBorders>
              <w:bottom w:val="single" w:sz="8" w:color="auto"/>
            </w:tcBorders>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0.59</w:t>
            </w:r>
          </w:p>
        </w:tc>
        <w:tc>
          <w:tcPr>
            <w:tcW w:w="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0.59</w:t>
            </w:r>
          </w:p>
        </w:tc>
        <w:tc>
          <w:tcPr>
            <w:tcW w:w="740" w:type="dxa"/>
            <w:vAlign w:val="bottom"/>
            <w:tcBorders>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2.33</w:t>
            </w:r>
          </w:p>
        </w:tc>
      </w:tr>
      <w:tr>
        <w:trPr>
          <w:trHeight w:val="210"/>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1.66</w:t>
            </w:r>
          </w:p>
        </w:tc>
        <w:tc>
          <w:tcPr>
            <w:tcW w:w="6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color w:val="auto"/>
              </w:rPr>
              <w:t>42.72</w:t>
            </w: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1.68</w:t>
            </w:r>
          </w:p>
        </w:tc>
        <w:tc>
          <w:tcPr>
            <w:tcW w:w="6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color w:val="auto"/>
              </w:rPr>
              <w:t>38.09</w:t>
            </w:r>
          </w:p>
        </w:tc>
        <w:tc>
          <w:tcPr>
            <w:tcW w:w="8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color w:val="auto"/>
              </w:rPr>
              <w:t>1.75</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1.82</w:t>
            </w:r>
          </w:p>
        </w:tc>
        <w:tc>
          <w:tcPr>
            <w:tcW w:w="7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40.42</w:t>
            </w:r>
          </w:p>
        </w:tc>
      </w:tr>
      <w:tr>
        <w:trPr>
          <w:trHeight w:val="212"/>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13"/>
        </w:trPr>
        <w:tc>
          <w:tcPr>
            <w:tcW w:w="2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Residential Mortgage</w:t>
            </w: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0.79</w:t>
            </w: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34.59</w:t>
            </w: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0.19</w:t>
            </w:r>
          </w:p>
        </w:tc>
        <w:tc>
          <w:tcPr>
            <w:tcW w:w="68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35.16</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0.20</w:t>
            </w: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35.34</w:t>
            </w:r>
          </w:p>
        </w:tc>
      </w:tr>
      <w:tr>
        <w:trPr>
          <w:trHeight w:val="219"/>
        </w:trPr>
        <w:tc>
          <w:tcPr>
            <w:tcW w:w="2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Home Equity</w:t>
            </w:r>
          </w:p>
        </w:tc>
        <w:tc>
          <w:tcPr>
            <w:tcW w:w="9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2.37</w:t>
            </w:r>
          </w:p>
        </w:tc>
        <w:tc>
          <w:tcPr>
            <w:tcW w:w="6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6"/>
                <w:szCs w:val="16"/>
                <w:color w:val="auto"/>
              </w:rPr>
              <w:t>13.44</w:t>
            </w: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0.67</w:t>
            </w:r>
          </w:p>
        </w:tc>
        <w:tc>
          <w:tcPr>
            <w:tcW w:w="68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16.09</w:t>
            </w:r>
          </w:p>
        </w:tc>
        <w:tc>
          <w:tcPr>
            <w:tcW w:w="8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0.79</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14.91</w:t>
            </w:r>
          </w:p>
        </w:tc>
      </w:tr>
      <w:tr>
        <w:trPr>
          <w:trHeight w:val="213"/>
        </w:trPr>
        <w:tc>
          <w:tcPr>
            <w:tcW w:w="2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Automobile</w:t>
            </w: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4.07</w:t>
            </w: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5.94</w:t>
            </w: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1.76</w:t>
            </w:r>
          </w:p>
        </w:tc>
        <w:tc>
          <w:tcPr>
            <w:tcW w:w="68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6.30</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2.07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2.15</w:t>
            </w: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5.08</w:t>
            </w:r>
          </w:p>
        </w:tc>
      </w:tr>
      <w:tr>
        <w:trPr>
          <w:trHeight w:val="219"/>
        </w:trPr>
        <w:tc>
          <w:tcPr>
            <w:tcW w:w="2940" w:type="dxa"/>
            <w:vAlign w:val="bottom"/>
            <w:tcBorders>
              <w:bottom w:val="single" w:sz="8" w:color="auto"/>
            </w:tcBorders>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1</w:t>
            </w:r>
          </w:p>
        </w:tc>
        <w:tc>
          <w:tcPr>
            <w:tcW w:w="9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8.08</w:t>
            </w:r>
          </w:p>
        </w:tc>
        <w:tc>
          <w:tcPr>
            <w:tcW w:w="6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2.22</w:t>
            </w:r>
          </w:p>
        </w:tc>
        <w:tc>
          <w:tcPr>
            <w:tcW w:w="68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rPr>
              <w:t>4.36</w:t>
            </w:r>
          </w:p>
        </w:tc>
        <w:tc>
          <w:tcPr>
            <w:tcW w:w="840" w:type="dxa"/>
            <w:vAlign w:val="bottom"/>
            <w:tcBorders>
              <w:bottom w:val="single" w:sz="8" w:color="auto"/>
            </w:tcBorders>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2.35</w:t>
            </w:r>
          </w:p>
        </w:tc>
        <w:tc>
          <w:tcPr>
            <w:tcW w:w="740" w:type="dxa"/>
            <w:vAlign w:val="bottom"/>
            <w:tcBorders>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6"/>
                <w:szCs w:val="16"/>
                <w:color w:val="auto"/>
              </w:rPr>
              <w:t>4.25</w:t>
            </w:r>
          </w:p>
        </w:tc>
      </w:tr>
      <w:tr>
        <w:trPr>
          <w:trHeight w:val="207"/>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1.92</w:t>
            </w:r>
          </w:p>
        </w:tc>
        <w:tc>
          <w:tcPr>
            <w:tcW w:w="6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color w:val="auto"/>
              </w:rPr>
              <w:t>57.28</w:t>
            </w: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0.62</w:t>
            </w:r>
          </w:p>
        </w:tc>
        <w:tc>
          <w:tcPr>
            <w:tcW w:w="6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color w:val="auto"/>
              </w:rPr>
              <w:t>61.91</w:t>
            </w:r>
          </w:p>
        </w:tc>
        <w:tc>
          <w:tcPr>
            <w:tcW w:w="8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color w:val="auto"/>
              </w:rPr>
              <w:t>0.69</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0.72</w:t>
            </w:r>
          </w:p>
        </w:tc>
        <w:tc>
          <w:tcPr>
            <w:tcW w:w="7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59.58</w:t>
            </w:r>
          </w:p>
        </w:tc>
      </w:tr>
      <w:tr>
        <w:trPr>
          <w:trHeight w:val="210"/>
        </w:trPr>
        <w:tc>
          <w:tcPr>
            <w:tcW w:w="2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1.81%</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gridSpan w:val="3"/>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1.00%</w:t>
            </w: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1.02%</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40" w:type="dxa"/>
            <w:vAlign w:val="bottom"/>
            <w:tcBorders>
              <w:bottom w:val="single" w:sz="8" w:color="auto"/>
            </w:tcBorders>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1.17%</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200" w:hanging="192"/>
        <w:spacing w:after="0"/>
        <w:tabs>
          <w:tab w:leader="none" w:pos="20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Comprised of other revolving credit, installment, and lease financing</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CECL Adoption</w:t>
      </w:r>
    </w:p>
    <w:p>
      <w:pPr>
        <w:spacing w:after="0" w:line="2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Upon adoption of CECL, the Company recorded a $1.7 million decrease to the Allowance on January 1, 2020. This “Day 1” adjustment decreased the Allowance as of January 1, 2020, to $108.3 million or 0.99% of total loans and leases outstanding, compared with an Allowance of $110.0 million or</w:t>
      </w:r>
    </w:p>
    <w:p>
      <w:pPr>
        <w:ind w:right="40"/>
        <w:spacing w:after="0" w:line="251" w:lineRule="auto"/>
        <w:rPr>
          <w:sz w:val="20"/>
          <w:szCs w:val="20"/>
          <w:color w:val="auto"/>
        </w:rPr>
      </w:pPr>
      <w:r>
        <w:rPr>
          <w:rFonts w:ascii="Times New Roman" w:cs="Times New Roman" w:eastAsia="Times New Roman" w:hAnsi="Times New Roman"/>
          <w:sz w:val="18"/>
          <w:szCs w:val="18"/>
          <w:color w:val="auto"/>
        </w:rPr>
        <w:t>1.00% of total loans and leases outstanding as of December 31, 2019. This decrease was primarily due to an $18.8 million decrease to the Allowance of the commercial portfolio. This decrease was largely the result of the Company’s use of updated historical loss rates with refined segmentation based on portfolio class (commercial &amp; industrial, commercial mortgage, construction and lease financing) in calculating the Allowance baseline, compared to the loss rate factors used in the incurred approach. The decrease to the Allowance of the commercial portfolio was largely offset by a $17.1 million increase to the Allowance of the consumer portfolio, which was primarily due to the impact of longer duration portfolio segments. Our one-year reasonable and supportable forecast reflected a generally stable asset quality and economic outlook. Upon adoption of CECL, the Company recorded a $3.3 million decrease to the Unfunded Reserve. This “Day 1” adjustment decreased the Unfunded Reserve as of January 1, 2020, to $3.5 million, compared to $6.8 million as of December 31, 2019. The decrease was primarily reflected in the commercial portfolio, due largely to the same reasons explained for the decrease in the Allowance for the commercial portfolio.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Going forward, the impact of utilizing the CECL approach to calculate the reserve for credit losses will be significantly influenced by the composition, characteristics and credit risk in the loan portfolio, the prevailing economic conditions and forecasts utilized, and other external and internal factors. Material changes to these and other relevant factors may result in greater volatility to the reserve for credit losses, and therefore, greater volatility to our reported earnings.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2020, the Allowance was $216.3 million or 1.81% of total loans and leases outstanding (1.89% excluding PPP loans), compared with an Allowance of $108.3 million or 0.99% of total loans and leases outstanding as of January 1, 2020, (after the CECL Day 1 adjustment). The increase in the Allowance and the ratio of Allowance to loans and leases outstanding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 The CECL approach requires an estimate of the credit losses expected over the life of an exposure (or pool of exposures). It removes the incurred loss approach’s threshold that delayed the recognition of a credit loss until it was probable a loss event was incurred.</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charge-offs of loans and leases were $7.1 million or 0.06% of total average loans and leases in 2020 compared to $12.7 million or 0.12% of total average loans and leases in 2019. Net charge-offs in our consumer portfolios were $7.8 million in 2020 compared to $11.4 million in 2019. This decrease was primarily reflected in our other and automobile portfolio. Net recoveries in our commercial portfolios were $0.6 million in 2020 compared to net charge-offs of $1.2 million in 2019. This increase in recoveries was primarily reflected in our commercial and industrial portfolio.</w:t>
      </w:r>
    </w:p>
    <w:p>
      <w:pPr>
        <w:spacing w:after="0" w:line="13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Although we determine the amount of each component of the Allowance separately, the Allowance as a whole was considered appropriate by management as of December 31, 2020, based on our ongoing analysis of estimated probable credit losses, credit risk profiles, economic conditions, coverage ratios, and other relevant factors.</w:t>
      </w:r>
    </w:p>
    <w:p>
      <w:pPr>
        <w:spacing w:after="0" w:line="1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allocation of the Allowance to our commercial portfolio segment increased by $11.0 million or 15% from December 31, 2019. This increase was primarily due to a $13.8 million increase in the Allowance allocated to the commercial and industrial portfolio due to loan growth partially offset by a $6.6 million decrease in the Allowance allocated to the commercial mortgage portfolio.</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allocation of the Allowance to our consumer portfolio segment increased by $95.2 million from December 31, 2019. The increase was primarily due to current asset quality metrics and economic conditions.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the Consolidated Financial Statements for more information on the Allowance and credit quality indicators.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Unfunded Commitments</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Unfunded Reserve was $2.4 million as of December 31, 2020, a decrease of $1.1 million from January 1, 2020, (after the CECL Day 1 adjustment) due to the updated historical loss rates and segmentation.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Credit Risks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serve the needs of state and political subdivisions in multiple capacities, including traditional banking products such as deposit services, and by investing in municipal debt securities. The carrying value of our municipal debt securities was $58.6 million as of December 31, 2020, and $109.9 million as of December 31, 2019. We also maintained investments in corporate bonds with a carrying value of $236.6 million as of December 31, 2020, and $351.3 million as of December 31, 2019. We are exposed to credit risk in these investments should the issuer of a security be unable to meet its financial obligations. This may result in the issuer failing to make scheduled interest payments and/or being unable to repay the principal upon maturity.</w:t>
      </w:r>
    </w:p>
    <w:p>
      <w:pPr>
        <w:spacing w:after="0" w:line="14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use of derivative financial instruments exposes the Company to counterparty credit risk. See Note 17 to the Consolidated Financial Statements for more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market risk exposure is interest rate risk.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35"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statement of condition mix or altering the interest rate characteristics of assets and liabilities;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product pricing strategies;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characteristics of the investment securities portfolio; and</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derivative financial instruments.</w:t>
      </w:r>
    </w:p>
    <w:p>
      <w:pPr>
        <w:spacing w:after="0" w:line="1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use of derivative financial instruments, as detailed in Note 17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4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1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utilize net interest income simulations to analyze short-term income sensitivities to changes in interest rates. Table 20 presents, for the twelve months subsequent to December 31, 2020, and December 31, 2019,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December 31, 2020,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December 31, 2020, net interest income sensitivity to changes in interest rates for the twelve months subsequent to December 31, 2020, was slightly more sensitive in comparison to the sensitivity profile for the twelve months subsequent to December 31, 2019. Year-over-year asset sensitivity increased due to faster forecasted prepayments for mortgage-related assets due to the lower rate environment, higher liquidity, as well as higher balances in mortgage-backed securities and in floating rate commercial mortgage loans.</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Interest Income Sensitivity Profile</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20</w:t>
            </w:r>
          </w:p>
        </w:tc>
      </w:tr>
      <w:tr>
        <w:trPr>
          <w:trHeight w:val="209"/>
        </w:trPr>
        <w:tc>
          <w:tcPr>
            <w:tcW w:w="5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gridSpan w:val="5"/>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Impact on Future Annual Net Interest Income</w:t>
            </w:r>
          </w:p>
        </w:tc>
      </w:tr>
      <w:tr>
        <w:trPr>
          <w:trHeight w:val="211"/>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December 31, 2020</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8"/>
              </w:rPr>
              <w:t>December 31, 2019</w:t>
            </w:r>
          </w:p>
        </w:tc>
      </w:tr>
      <w:tr>
        <w:trPr>
          <w:trHeight w:val="211"/>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Gradual Change in Interest Rates (basis points)</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+200</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17,560</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2.3</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8,869</w:t>
            </w:r>
          </w:p>
        </w:tc>
        <w:tc>
          <w:tcPr>
            <w:tcW w:w="14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(9,311)</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+200</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41,827</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30,439</w:t>
            </w:r>
          </w:p>
        </w:tc>
        <w:tc>
          <w:tcPr>
            <w:tcW w:w="15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6.5</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23,594</w:t>
            </w:r>
          </w:p>
        </w:tc>
        <w:tc>
          <w:tcPr>
            <w:tcW w:w="14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(13,517)</w:t>
            </w: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(30,034)</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w:t>
            </w:r>
          </w:p>
        </w:tc>
      </w:tr>
    </w:tbl>
    <w:p>
      <w:pPr>
        <w:spacing w:after="0" w:line="19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 Risks</w:t>
      </w:r>
    </w:p>
    <w:p>
      <w:pPr>
        <w:spacing w:after="0" w:line="20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is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 Management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regularly monitor our liquidity position in light of the changing economic environment and customer activity. Based on ongoing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our ability to sell loans in the secondary market, and to secure borrowings from the FRB and FHLB. Our held-to-maturity securities, while not intended for sale, may also be utilized in repurchase agreements to obtain funding. Our core deposits have historically provided us with a long-term source of stable and relatively low cost source of funding. Additional funding is available through the issuance of long-term debt or equity.</w:t>
      </w:r>
    </w:p>
    <w:p>
      <w:pPr>
        <w:spacing w:after="0" w:line="1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Maturities and payments on outstanding loans and investment securities also provide a steady flow of funds. Liquidity is further enhanced by our ability to pledge loans to access secured borrowings from the FHLB and FRB. As of December 31, 2020, we could have borrowed an additional $2.8 billion from the FHLB and an additional $427.9 million from the FRB based on the amount of collateral pledged.</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continued our focus on maintaining a strong liquidity position throughout 2020. As of December 31, 2020, cash and cash equivalents were $614.1 million, the carrying value of our available-for-sale investment securities was $3.8 billion, and total deposits were $18.2 billion. As of December 31, 2020, our available-for-sale investment securities portfolio was comprised of securities with an average base duration of approximately 3.38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actively manage capital, commensurate with our risk profile, in our efforts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December 31, 2020, the Company’s capital levels remained characterized as “well-capitalized.” The Company’s regulatory capital ratios are presented in Table 21 below. Capital ratios are calculated using the regulatory capital rule that allows a five-year transition period related to the adoption of CECL. There have been no conditions or events since December 31, 2020, that management believes have changed either the Company’s or the Bank’s capital classifications.</w:t>
      </w:r>
    </w:p>
    <w:p>
      <w:pPr>
        <w:spacing w:after="0" w:line="1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2020, shareholders’ equity was $1.4 billion, an increase of $87.7 million or 7% from December 31, 2019. Earnings for 2020 of $153.8 million, other comprehensive income of $38.9 million, common stock issuances of $9.2 million, share-based compensation of $7.6 million and cumulative change in accounting principle of $3.6 million were offset by cash dividends paid of $107.4 million and common stock repurchases of $18.0 million. In 2020, included in the amount of common stock repurchased were 156,358 shares repurchased under our share repurchase program. These shares were repurchased at an average cost per share of $89.32 and a total cost of $14.0 million. From the beginning of our share repurchase program in July 2001 through December 31, 2020, we repurchased a total of 57.1 million shares of common stock and returned a total of nearly $2.3 billion to our shareholders at an average cost of $40.51 per share.</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Remaining buyback authority was $113.1 million as of December 31, 2020. In March 2020, we suspended share repurchases in light of the COVID-19 pandemic. We believe the suspension, while conservative, is prudent given uncertainty regarding the length and severity of the COVID-19 pandemic. The actual amount and timing of future share repurchases, if any, will depend on market and economic conditions, regulatory rules, applicable SEC rules, and various other factors.</w:t>
      </w:r>
    </w:p>
    <w:p>
      <w:pPr>
        <w:spacing w:after="0" w:line="15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January 2021, the Parent’s Board of Directors declared a quarterly cash dividend of $0.67 per share on the Parent’s outstanding shares. The dividend will be payable on March 12, 2021, to shareholders of record at the close of business on February 26, 2021.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21 presents a five-year history of activities and balances in our capital accounts, along with key capital ratios.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Shareholders’ Equity and Regulatory Capital</w:t>
            </w: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21</w:t>
            </w:r>
          </w:p>
        </w:tc>
      </w:tr>
      <w:tr>
        <w:trPr>
          <w:trHeight w:val="209"/>
        </w:trPr>
        <w:tc>
          <w:tcPr>
            <w:tcW w:w="4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1"/>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11"/>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Shareholders' Equity</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153,804</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225,913</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219,602</w:t>
            </w:r>
          </w:p>
        </w:tc>
        <w:tc>
          <w:tcPr>
            <w:tcW w:w="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184,672</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181,461</w:t>
            </w:r>
          </w:p>
        </w:tc>
      </w:tr>
      <w:tr>
        <w:trPr>
          <w:trHeight w:val="21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 Paid</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(107,434)</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(105,478)</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(98,496)</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(87,066)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(81,157)</w:t>
            </w:r>
          </w:p>
        </w:tc>
      </w:tr>
      <w:tr>
        <w:trPr>
          <w:trHeight w:val="21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Dividend Reinvestment Program</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5,012</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5,039</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4,689</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4,360</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4,271</w:t>
            </w:r>
          </w:p>
        </w:tc>
      </w:tr>
      <w:tr>
        <w:trPr>
          <w:trHeight w:val="21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Repurchased</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(18,006)</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(137,649)</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(91,988)</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(47,076)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(61,807)</w:t>
            </w:r>
          </w:p>
        </w:tc>
      </w:tr>
      <w:tr>
        <w:trPr>
          <w:trHeight w:val="216"/>
        </w:trPr>
        <w:tc>
          <w:tcPr>
            <w:tcW w:w="412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5"/>
                <w:szCs w:val="25"/>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54,299</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30,807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2,525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15,441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2,509</w:t>
            </w:r>
          </w:p>
        </w:tc>
      </w:tr>
      <w:tr>
        <w:trPr>
          <w:trHeight w:val="208"/>
        </w:trPr>
        <w:tc>
          <w:tcPr>
            <w:tcW w:w="4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Increase in Shareholders' Equity</w:t>
            </w:r>
          </w:p>
        </w:tc>
        <w:tc>
          <w:tcPr>
            <w:tcW w:w="58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87,675</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18,632</w:t>
            </w:r>
          </w:p>
        </w:tc>
        <w:tc>
          <w:tcPr>
            <w:tcW w:w="3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36,332</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70,331</w:t>
            </w:r>
          </w:p>
        </w:tc>
        <w:tc>
          <w:tcPr>
            <w:tcW w:w="3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45,277</w:t>
            </w: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5"/>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Regulatory Capital</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1,374,507</w:t>
            </w:r>
          </w:p>
        </w:tc>
        <w:tc>
          <w:tcPr>
            <w:tcW w:w="3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1,286,832</w:t>
            </w:r>
          </w:p>
        </w:tc>
        <w:tc>
          <w:tcPr>
            <w:tcW w:w="3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1,268,200</w:t>
            </w:r>
          </w:p>
        </w:tc>
        <w:tc>
          <w:tcPr>
            <w:tcW w:w="3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1,231,868</w:t>
            </w:r>
          </w:p>
        </w:tc>
        <w:tc>
          <w:tcPr>
            <w:tcW w:w="3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1,161,537</w:t>
            </w:r>
          </w:p>
        </w:tc>
      </w:tr>
      <w:tr>
        <w:trPr>
          <w:trHeight w:val="21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Add: CECL Transitional Amount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23,750</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Goodwill</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28,718</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28,718</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28,718</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28,718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27,413</w:t>
            </w:r>
          </w:p>
        </w:tc>
      </w:tr>
      <w:tr>
        <w:trPr>
          <w:trHeight w:val="213"/>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Postretirement Benefit Liability Adjustments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(43,250)</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(38,757)</w:t>
            </w:r>
          </w:p>
        </w:tc>
        <w:tc>
          <w:tcPr>
            <w:tcW w:w="3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(36,010)</w:t>
            </w:r>
          </w:p>
        </w:tc>
        <w:tc>
          <w:tcPr>
            <w:tcW w:w="3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(27,715)</w:t>
            </w:r>
          </w:p>
        </w:tc>
        <w:tc>
          <w:tcPr>
            <w:tcW w:w="3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(28,892)</w:t>
            </w:r>
          </w:p>
        </w:tc>
      </w:tr>
      <w:tr>
        <w:trPr>
          <w:trHeight w:val="219"/>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51,072</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7,645</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(15,033)</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(7,000)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(5,014)</w:t>
            </w:r>
          </w:p>
        </w:tc>
      </w:tr>
      <w:tr>
        <w:trPr>
          <w:trHeight w:val="213"/>
        </w:trPr>
        <w:tc>
          <w:tcPr>
            <w:tcW w:w="4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(198)</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(198)</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(198)</w:t>
            </w:r>
          </w:p>
        </w:tc>
      </w:tr>
      <w:tr>
        <w:trPr>
          <w:trHeight w:val="212"/>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Equity Tier 1 Capital</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1,361,915</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1,289,424</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1,290,723</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1,238,063</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1,168,228</w:t>
            </w:r>
          </w:p>
        </w:tc>
      </w:tr>
      <w:tr>
        <w:trPr>
          <w:trHeight w:val="21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Tier 1 Capital</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1,361,915</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1,289,424</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1,290,723</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1,238,063</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1,168,228</w:t>
            </w:r>
          </w:p>
        </w:tc>
      </w:tr>
      <w:tr>
        <w:trPr>
          <w:trHeight w:val="216"/>
        </w:trPr>
        <w:tc>
          <w:tcPr>
            <w:tcW w:w="4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Allowable Reserve for Credit Losses</w:t>
            </w:r>
          </w:p>
        </w:tc>
        <w:tc>
          <w:tcPr>
            <w:tcW w:w="3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141,869</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116,849</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113,515</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114,168</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110,300</w:t>
            </w:r>
          </w:p>
        </w:tc>
      </w:tr>
      <w:tr>
        <w:trPr>
          <w:trHeight w:val="250"/>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Regulatory Capital</w:t>
            </w:r>
          </w:p>
        </w:tc>
        <w:tc>
          <w:tcPr>
            <w:tcW w:w="5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1,503,784</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1,406,273</w:t>
            </w:r>
          </w:p>
        </w:tc>
        <w:tc>
          <w:tcPr>
            <w:tcW w:w="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1,404,238</w:t>
            </w:r>
          </w:p>
        </w:tc>
        <w:tc>
          <w:tcPr>
            <w:tcW w:w="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1,352,231</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1,278,528</w:t>
            </w:r>
          </w:p>
        </w:tc>
      </w:tr>
      <w:tr>
        <w:trPr>
          <w:trHeight w:val="197"/>
        </w:trPr>
        <w:tc>
          <w:tcPr>
            <w:tcW w:w="4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Risk-Weighted Assets</w:t>
            </w:r>
          </w:p>
        </w:tc>
        <w:tc>
          <w:tcPr>
            <w:tcW w:w="58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11,295,077</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10,589,061</w:t>
            </w:r>
          </w:p>
        </w:tc>
        <w:tc>
          <w:tcPr>
            <w:tcW w:w="3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9,878,904</w:t>
            </w:r>
          </w:p>
        </w:tc>
        <w:tc>
          <w:tcPr>
            <w:tcW w:w="3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9,348,296</w:t>
            </w:r>
          </w:p>
        </w:tc>
        <w:tc>
          <w:tcPr>
            <w:tcW w:w="3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8,823,485</w:t>
            </w: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4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Key Regulatory Capital Ratios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w:t>
            </w:r>
          </w:p>
        </w:tc>
      </w:tr>
      <w:tr>
        <w:trPr>
          <w:trHeight w:val="21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Tier 1 Capital Ratio</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12.06</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12.18</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13.07</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13.24</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13.24</w:t>
            </w:r>
          </w:p>
        </w:tc>
      </w:tr>
      <w:tr>
        <w:trPr>
          <w:trHeight w:val="21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Capital Ratio</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13.31</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13.28</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14.21</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14.46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14.49</w:t>
            </w: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Tier 1 Leverage Ratio</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6.71</w:t>
            </w:r>
          </w:p>
        </w:tc>
        <w:tc>
          <w:tcPr>
            <w:tcW w:w="30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7.25</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7.60</w:t>
            </w:r>
          </w:p>
        </w:tc>
        <w:tc>
          <w:tcPr>
            <w:tcW w:w="34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7.26</w:t>
            </w:r>
          </w:p>
        </w:tc>
        <w:tc>
          <w:tcPr>
            <w:tcW w:w="3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7.21</w:t>
            </w:r>
          </w:p>
        </w:tc>
      </w:tr>
    </w:tbl>
    <w:p>
      <w:pPr>
        <w:spacing w:after="0" w:line="91" w:lineRule="exact"/>
        <w:rPr>
          <w:sz w:val="20"/>
          <w:szCs w:val="20"/>
          <w:color w:val="auto"/>
        </w:rPr>
      </w:pPr>
    </w:p>
    <w:p>
      <w:pPr>
        <w:ind w:left="200" w:right="280" w:hanging="192"/>
        <w:spacing w:after="0" w:line="261" w:lineRule="auto"/>
        <w:tabs>
          <w:tab w:leader="none" w:pos="2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Includes unrealized gains and losses on available-for-sale investment securities, minimum pension liability adjustments, and common stock issuances under share-based compensation and related tax benefits.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Initiatives Affecting the Banking Industry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Basel III</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final FRB and FDIC approved rules implementing the Basel Committee on Banking Supervision’s capital guidelines for U.S. banks minimum requirements increased for both the quantity and quality of capital held by the Company. The Basel III capital standards substantially revised the risk-based capital requirements applicable to bank holding companies and their depository institution subsidiaries, including the definitions and the components of Tier 1 capital and Total Capital, the method of evaluating risk-weighted assets, institution of a capital conservation buffer, and other matters affecting regulatory capital ratios. Strict eligibility criteria for regulatory capital instruments were also implemented under the rules.</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phase-in period for the final rules became effective for the Company on January 1, 2015, with full compliance with all of the final rules’ requirements phased in over a multi-year schedule, which were fully implemented on January 1, 2019. As of December 31, 2020, the Company’s capital levels remained characterized as “well-capitalized” under the new rules.</w:t>
      </w:r>
    </w:p>
    <w:p>
      <w:pPr>
        <w:spacing w:after="0" w:line="135" w:lineRule="exact"/>
        <w:rPr>
          <w:sz w:val="20"/>
          <w:szCs w:val="20"/>
          <w:color w:val="auto"/>
        </w:rPr>
      </w:pPr>
    </w:p>
    <w:p>
      <w:pPr>
        <w:ind w:right="2040"/>
        <w:spacing w:after="0" w:line="461" w:lineRule="auto"/>
        <w:rPr>
          <w:sz w:val="20"/>
          <w:szCs w:val="20"/>
          <w:color w:val="auto"/>
        </w:rPr>
      </w:pPr>
      <w:r>
        <w:rPr>
          <w:rFonts w:ascii="Times New Roman" w:cs="Times New Roman" w:eastAsia="Times New Roman" w:hAnsi="Times New Roman"/>
          <w:sz w:val="18"/>
          <w:szCs w:val="18"/>
          <w:color w:val="auto"/>
        </w:rPr>
        <w:t xml:space="preserve">Management continues to monitor regulatory developments and their potential impact to the Company’s liquidity requirements. </w:t>
      </w:r>
      <w:r>
        <w:rPr>
          <w:rFonts w:ascii="Times New Roman" w:cs="Times New Roman" w:eastAsia="Times New Roman" w:hAnsi="Times New Roman"/>
          <w:sz w:val="18"/>
          <w:szCs w:val="18"/>
          <w:i w:val="1"/>
          <w:iCs w:val="1"/>
          <w:color w:val="auto"/>
        </w:rPr>
        <w:t>Stress Testing</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subject to company-run stress testing requirements in section 165(i)(2) of the Dodd-Frank Act, including publishing a summary of results. At this time, the Company continues to run internal stress tests as a component of our comprehensive risk management and capital planning process.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CARES Act</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27, 2020, President Trump signed the CARES Act into law. The CARES Act established several new temporary U.S. Small Business Administration (“SBA”) loan programs to assist U.S. small businesses through the COVID-19 pandemic. One of the new loan programs is the Paycheck Protection Program (“PPP”), an expansion of the SBA’s 7(a) loan program and the Economic Injury Disaster Loan Program. Many of the provisions of the CARES Act, including the availability of PPP loans, were renewed or extended by the Coronavirus Response and Relief Supplemental Appropriations Act on December 21, 2020.</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PPP provides loans to small businesses who were affected by economic conditions as a result of COVID-19 to provide cash-flow assistance to employers who maintain their payroll (including healthcare and certain related expenses), mortgage interest, rent, leases, utilities and interest on existing debt during this emergency. Eligible borrowers need to make a good faith certification that the uncertainty of current economic conditions make requesting assistance necessary to support ongoing operations. Pursuant to the provisions of Section 1106 of the CARES Act, borrowers may apply to the Bank for loan forgiveness of all or a portion of the loan, subject to certain eligibility requirements and conditions.</w:t>
      </w:r>
    </w:p>
    <w:p>
      <w:pPr>
        <w:spacing w:after="0" w:line="1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Bank is an SBA lender and began accepting applications under the CARES Act via its online application process on April 3, 2020. As of February 24, 2021, the Bank had 4,237 PPP loans totaling $504.9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4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Guarantees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hold interests in several unconsolidated variable interest entities (“VIEs”). These unconsolidated VIEs are primarily low-income housing partnerships and solar energy tax credit partnership investments.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 See discussion of our accounting policy related to VIEs in Note 1 to the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pool Federal Housing Administration (“FHA”) insured and U.S. Department of Veterans Affairs (“VA”) guaranteed residential mortgage loans for sale to Ginnie Mae. We also sell residential mortgage loans in the secondary market to Fannie Mae. The agreements under which we sell residential mortgage loans to Ginnie Mae or Fannie Mae and the insurance or guaranty agreements with the FHA and VA contain provisions that include various representations and warranties regarding the origination and characteristics of the residential mortgage loans. Although these loans are primarily sold on a non-recourse basis, we may be obligated to repurchase residential mortgage loans or reimburse the respective investor if it is found that required documents were not delivered or were defective.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service substantially all of the loans we sell to investors in the secondary market. Each agreement under which we act as servicer generally specifies a standard of responsibility for our actions and provides protection against expenses and liabilities incurred by us when acting in compliance with the respective servicing agreements. However, if we commit a material breach of obligations as servicer, we may be subject to various penalties which may include the repurchase of an affected loan or a reimbursement to the respective investor.</w:t>
      </w:r>
    </w:p>
    <w:p>
      <w:pPr>
        <w:spacing w:after="0" w:line="1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discussion of our risks related to representation and warranty provisions as well as our risks related to residential mortgage loan servicing activities in Note 20 to the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as of December 31,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Contractual Obligations </w:t>
            </w:r>
            <w:r>
              <w:rPr>
                <w:rFonts w:ascii="Times New Roman" w:cs="Times New Roman" w:eastAsia="Times New Roman" w:hAnsi="Times New Roman"/>
                <w:sz w:val="27"/>
                <w:szCs w:val="27"/>
                <w:b w:val="1"/>
                <w:bCs w:val="1"/>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Table 22</w:t>
            </w:r>
          </w:p>
        </w:tc>
      </w:tr>
      <w:tr>
        <w:trPr>
          <w:trHeight w:val="194"/>
        </w:trPr>
        <w:tc>
          <w:tcPr>
            <w:tcW w:w="4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After 5</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5"/>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 Years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Deposits with No Stated Maturity</w:t>
            </w: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16,549,558</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16,549,558</w:t>
            </w:r>
          </w:p>
        </w:tc>
      </w:tr>
      <w:tr>
        <w:trPr>
          <w:trHeight w:val="21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1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1,488,523</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148,603</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18,209</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6,728</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1,662,063</w:t>
            </w:r>
          </w:p>
        </w:tc>
      </w:tr>
      <w:tr>
        <w:trPr>
          <w:trHeight w:val="21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575,000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600,590</w:t>
            </w:r>
          </w:p>
        </w:tc>
      </w:tr>
      <w:tr>
        <w:trPr>
          <w:trHeight w:val="21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Other Debt</w:t>
            </w:r>
          </w:p>
        </w:tc>
        <w:tc>
          <w:tcPr>
            <w:tcW w:w="1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r>
      <w:tr>
        <w:trPr>
          <w:trHeight w:val="21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Banker’s Acceptances Outstanding</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Obligations</w:t>
            </w:r>
          </w:p>
        </w:tc>
        <w:tc>
          <w:tcPr>
            <w:tcW w:w="1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825</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1,650</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1,650</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22,280</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26,405</w:t>
            </w:r>
          </w:p>
        </w:tc>
      </w:tr>
      <w:tr>
        <w:trPr>
          <w:trHeight w:val="21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Non-Cancelable Operating Leases</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11,124</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20,531</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18,033</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100,371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150,059</w:t>
            </w:r>
          </w:p>
        </w:tc>
      </w:tr>
      <w:tr>
        <w:trPr>
          <w:trHeight w:val="21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Purchase Obligations</w:t>
            </w:r>
          </w:p>
        </w:tc>
        <w:tc>
          <w:tcPr>
            <w:tcW w:w="1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21,889</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31,853</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17,551</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8,932</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80,225</w:t>
            </w:r>
          </w:p>
        </w:tc>
      </w:tr>
      <w:tr>
        <w:trPr>
          <w:trHeight w:val="21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Affordable Housing Commitments</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21,698</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22,159</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8,877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52,959</w:t>
            </w:r>
          </w:p>
        </w:tc>
      </w:tr>
      <w:tr>
        <w:trPr>
          <w:trHeight w:val="216"/>
        </w:trPr>
        <w:tc>
          <w:tcPr>
            <w:tcW w:w="426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5"/>
                <w:szCs w:val="15"/>
                <w:color w:val="auto"/>
              </w:rPr>
              <w:t xml:space="preserve">Pension and Postretirement Benefit Contributions </w:t>
            </w:r>
            <w:r>
              <w:rPr>
                <w:rFonts w:ascii="Times New Roman" w:cs="Times New Roman" w:eastAsia="Times New Roman" w:hAnsi="Times New Roman"/>
                <w:sz w:val="25"/>
                <w:szCs w:val="25"/>
                <w:color w:val="auto"/>
                <w:vertAlign w:val="superscript"/>
              </w:rPr>
              <w:t>2</w:t>
            </w: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1,612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3,285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3,506</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10,454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18,857</w:t>
            </w:r>
          </w:p>
        </w:tc>
      </w:tr>
      <w:tr>
        <w:trPr>
          <w:trHeight w:val="208"/>
        </w:trPr>
        <w:tc>
          <w:tcPr>
            <w:tcW w:w="4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18,095,367</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253,081</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109,664</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732,642</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19,190,754</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right="160" w:hanging="192"/>
        <w:spacing w:after="0" w:line="233" w:lineRule="auto"/>
        <w:tabs>
          <w:tab w:leader="none" w:pos="2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liability for UTBs as of December 31, 2020, was $5.4 million. We were unable to reasonably estimate the period of cash settlement with the respective taxing authority. As a result, our liability for UTBs is not included in this disclosure.</w:t>
      </w:r>
    </w:p>
    <w:p>
      <w:pPr>
        <w:ind w:left="200" w:hanging="192"/>
        <w:spacing w:after="0"/>
        <w:tabs>
          <w:tab w:leader="none" w:pos="2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Amounts only include obligations related to the unfunded non-qualified pension plan and postretirement benefit plan.</w:t>
      </w:r>
    </w:p>
    <w:p>
      <w:pPr>
        <w:spacing w:after="0" w:line="1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Commitments to extend credit, standby letters of credit, and commercial letters of credit do not necessarily represent future cash requirements in that these commitments often expire without being drawn upon; therefore, these items are not included in the above table (see Note 20 to the Consolidated Financial Statements for more information). Our non-cancelable operating leases and finance lease obligations are primarily related to branch premises, equipment, and a portion of the Company’s headquarters’ building with lease terms extending through 2052. Purchase obligations arise from agreements to purchase goods or services that are enforceable and legally binding. Other contracts included in purchase obligations primarily consist of service agreements for various systems and applications supporting bank operations. Pension and postretirement benefit contributions represent the minimum expected contribution to the unfunded non-qualified pension plan and postretirement benefit plan. Actual contributions may differ from these estimates.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of credit, lease, and other contractual commitments in Note 20 and Note 23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Application of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Pending Adoption</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This ASU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Finally, it clarifies that single-member limited liability companies and similar disregarded entities that are not subject to income tax are not required to recognize an allocation of consolidated income tax expense in their separate financial statements, but they could elect to do so. ASU 2019-12 is effective for interim and annual reporting periods beginning after December 15, 2020. ASU 2019-12 did not have a material impact on the Company’s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xml:space="preserve"> This ASU provides temporary optional expedients and exceptions to GAAP guidance on contract modifications and hedge accounting to ease the financial reporting burdens of the expected market transition from LIBOR and other interbank offered rates to alternative reference rates, such as SOFR. For instance, entities can (1) elect not to apply certain modification accounting requirements to contracts affected by reference rate reform, if certain criteria are met. An entity that makes this election would not have to remeasure the contracts at the modification date or reassess a previous accounting determination. Entities can also</w:t>
      </w:r>
    </w:p>
    <w:p>
      <w:pPr>
        <w:spacing w:after="0" w:line="1" w:lineRule="exact"/>
        <w:rPr>
          <w:sz w:val="20"/>
          <w:szCs w:val="20"/>
          <w:color w:val="auto"/>
        </w:rPr>
      </w:pPr>
    </w:p>
    <w:p>
      <w:pPr>
        <w:ind w:right="160" w:firstLine="8"/>
        <w:spacing w:after="0" w:line="25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various optional expedients that would allow them to continue applying hedge accounting for hedging relationships affected by reference rate reform, if certain criteria are met. Finally, entities can (3) make a one-time election to sell and/or reclassify held-to-maturity (“HTM”) debt securities that reference an interest rate affected by reference rate reform. ASU 2020-04 is effective March 12, 2020, through December 31, 2022. The Company will elect (1) above for all contract modifications that meet the stated criteria. As the Company currently does not utilize hedge accounting, (2) above is currently not applicable. The Company currently does not have HTM debt securities that reference an interest rate, such as LIBOR, affected by reference rate reform, and therefore, (3) above is currently not applicable.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the Consolidated Financial Statements for the accounting standards adopted in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Consolidated Financial Data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23 presents our selected quarterly financial data for 2020 and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Condensed Statements of Income</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23</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(dollars in thousands, except per</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80" w:type="dxa"/>
            <w:vAlign w:val="bottom"/>
          </w:tcPr>
          <w:p>
            <w:pPr>
              <w:spacing w:after="0"/>
              <w:rPr>
                <w:sz w:val="17"/>
                <w:szCs w:val="17"/>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180" w:type="dxa"/>
            <w:vAlign w:val="bottom"/>
          </w:tcPr>
          <w:p>
            <w:pPr>
              <w:spacing w:after="0"/>
              <w:rPr>
                <w:sz w:val="17"/>
                <w:szCs w:val="17"/>
                <w:color w:val="auto"/>
              </w:rPr>
            </w:pPr>
          </w:p>
        </w:tc>
        <w:tc>
          <w:tcPr>
            <w:tcW w:w="8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80" w:type="dxa"/>
            <w:vAlign w:val="bottom"/>
          </w:tcPr>
          <w:p>
            <w:pPr>
              <w:spacing w:after="0"/>
              <w:rPr>
                <w:sz w:val="17"/>
                <w:szCs w:val="17"/>
                <w:color w:val="auto"/>
              </w:rPr>
            </w:pPr>
          </w:p>
        </w:tc>
        <w:tc>
          <w:tcPr>
            <w:tcW w:w="8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Mar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200" w:type="dxa"/>
            <w:vAlign w:val="bottom"/>
          </w:tcPr>
          <w:p>
            <w:pPr>
              <w:spacing w:after="0"/>
              <w:rPr>
                <w:sz w:val="17"/>
                <w:szCs w:val="17"/>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180" w:type="dxa"/>
            <w:vAlign w:val="bottom"/>
          </w:tcPr>
          <w:p>
            <w:pPr>
              <w:spacing w:after="0"/>
              <w:rPr>
                <w:sz w:val="17"/>
                <w:szCs w:val="17"/>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80" w:type="dxa"/>
            <w:vAlign w:val="bottom"/>
          </w:tcPr>
          <w:p>
            <w:pPr>
              <w:spacing w:after="0"/>
              <w:rPr>
                <w:sz w:val="17"/>
                <w:szCs w:val="17"/>
                <w:color w:val="auto"/>
              </w:rPr>
            </w:pPr>
          </w:p>
        </w:tc>
        <w:tc>
          <w:tcPr>
            <w:tcW w:w="8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share amounts)</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128,316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134,017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139,145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144,946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145,101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148,083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148,571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145,642</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8,817</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9,851</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12,454</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18,980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21,216</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23,187</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24,474</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20,805</w:t>
            </w:r>
          </w:p>
        </w:tc>
        <w:tc>
          <w:tcPr>
            <w:tcW w:w="0" w:type="dxa"/>
            <w:vAlign w:val="bottom"/>
          </w:tcPr>
          <w:p>
            <w:pPr>
              <w:spacing w:after="0"/>
              <w:rPr>
                <w:sz w:val="1"/>
                <w:szCs w:val="1"/>
                <w:color w:val="auto"/>
              </w:rPr>
            </w:pPr>
          </w:p>
        </w:tc>
      </w:tr>
      <w:tr>
        <w:trPr>
          <w:trHeight w:val="210"/>
        </w:trPr>
        <w:tc>
          <w:tcPr>
            <w:tcW w:w="2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119,499</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124,166</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126,691</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125,966</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123,885</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124,896</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124,097</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124,837</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15,200</w:t>
            </w:r>
          </w:p>
        </w:tc>
        <w:tc>
          <w:tcPr>
            <w:tcW w:w="1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28,600</w:t>
            </w:r>
          </w:p>
        </w:tc>
        <w:tc>
          <w:tcPr>
            <w:tcW w:w="1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40,400</w:t>
            </w:r>
          </w:p>
        </w:tc>
        <w:tc>
          <w:tcPr>
            <w:tcW w:w="1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4,750</w:t>
            </w: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4,250</w:t>
            </w:r>
          </w:p>
        </w:tc>
        <w:tc>
          <w:tcPr>
            <w:tcW w:w="1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4,000</w:t>
            </w:r>
          </w:p>
        </w:tc>
        <w:tc>
          <w:tcPr>
            <w:tcW w:w="18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Gains</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(Losses), Net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(1,193)</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(1,121)</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13,216</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(906)</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(1,469)</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(776)</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46,451</w:t>
            </w:r>
          </w:p>
        </w:tc>
        <w:tc>
          <w:tcPr>
            <w:tcW w:w="1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42,855</w:t>
            </w:r>
          </w:p>
        </w:tc>
        <w:tc>
          <w:tcPr>
            <w:tcW w:w="1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38,052</w:t>
            </w:r>
          </w:p>
        </w:tc>
        <w:tc>
          <w:tcPr>
            <w:tcW w:w="1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48,608</w:t>
            </w: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47,976</w:t>
            </w:r>
          </w:p>
        </w:tc>
        <w:tc>
          <w:tcPr>
            <w:tcW w:w="1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46,226</w:t>
            </w:r>
          </w:p>
        </w:tc>
        <w:tc>
          <w:tcPr>
            <w:tcW w:w="18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44,514</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2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98,654</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89,949</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88,892</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96,312</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93,096</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100,349</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92,725</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93,057</w:t>
            </w:r>
          </w:p>
        </w:tc>
        <w:tc>
          <w:tcPr>
            <w:tcW w:w="0" w:type="dxa"/>
            <w:vAlign w:val="bottom"/>
          </w:tcPr>
          <w:p>
            <w:pPr>
              <w:spacing w:after="0"/>
              <w:rPr>
                <w:sz w:val="1"/>
                <w:szCs w:val="1"/>
                <w:color w:val="auto"/>
              </w:rPr>
            </w:pPr>
          </w:p>
        </w:tc>
      </w:tr>
      <w:tr>
        <w:trPr>
          <w:trHeight w:val="198"/>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Provision for</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50,903</w:t>
            </w:r>
          </w:p>
        </w:tc>
        <w:tc>
          <w:tcPr>
            <w:tcW w:w="1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47,351</w:t>
            </w:r>
          </w:p>
        </w:tc>
        <w:tc>
          <w:tcPr>
            <w:tcW w:w="1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48,667</w:t>
            </w:r>
          </w:p>
        </w:tc>
        <w:tc>
          <w:tcPr>
            <w:tcW w:w="1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73,741</w:t>
            </w: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66,804</w:t>
            </w:r>
          </w:p>
        </w:tc>
        <w:tc>
          <w:tcPr>
            <w:tcW w:w="1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72,822</w:t>
            </w:r>
          </w:p>
        </w:tc>
        <w:tc>
          <w:tcPr>
            <w:tcW w:w="18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72,459</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8,589</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9,511</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9,759</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7,461</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15,598</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14,752</w:t>
            </w: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15,903</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13,660</w:t>
            </w:r>
          </w:p>
        </w:tc>
        <w:tc>
          <w:tcPr>
            <w:tcW w:w="0" w:type="dxa"/>
            <w:vAlign w:val="bottom"/>
          </w:tcPr>
          <w:p>
            <w:pPr>
              <w:spacing w:after="0"/>
              <w:rPr>
                <w:sz w:val="1"/>
                <w:szCs w:val="1"/>
                <w:color w:val="auto"/>
              </w:rPr>
            </w:pPr>
          </w:p>
        </w:tc>
      </w:tr>
      <w:tr>
        <w:trPr>
          <w:trHeight w:val="251"/>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42,314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37,840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38,908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34,742</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58,143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52,052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56,919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58,799</w:t>
            </w:r>
          </w:p>
        </w:tc>
        <w:tc>
          <w:tcPr>
            <w:tcW w:w="0" w:type="dxa"/>
            <w:vAlign w:val="bottom"/>
          </w:tcPr>
          <w:p>
            <w:pPr>
              <w:spacing w:after="0"/>
              <w:rPr>
                <w:sz w:val="1"/>
                <w:szCs w:val="1"/>
                <w:color w:val="auto"/>
              </w:rPr>
            </w:pPr>
          </w:p>
        </w:tc>
      </w:tr>
      <w:tr>
        <w:trPr>
          <w:trHeight w:val="198"/>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 Common Share</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0.95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0.98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0.87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0.67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0.65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Net Income to Average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Assets (ROA)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to Average</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Shareholders’ Equity (ROE)</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12.26</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11.01</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11.58</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10.64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17.84</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16.02</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17.97</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18.81</w:t>
            </w: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Efficiency Ratio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59.88</w:t>
            </w:r>
          </w:p>
        </w:tc>
        <w:tc>
          <w:tcPr>
            <w:tcW w:w="1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54.22</w:t>
            </w:r>
          </w:p>
        </w:tc>
        <w:tc>
          <w:tcPr>
            <w:tcW w:w="1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49.95</w:t>
            </w:r>
          </w:p>
        </w:tc>
        <w:tc>
          <w:tcPr>
            <w:tcW w:w="1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54.26</w:t>
            </w: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58.55</w:t>
            </w:r>
          </w:p>
        </w:tc>
        <w:tc>
          <w:tcPr>
            <w:tcW w:w="1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54.69</w:t>
            </w:r>
          </w:p>
        </w:tc>
        <w:tc>
          <w:tcPr>
            <w:tcW w:w="18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55.22</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5"/>
                <w:szCs w:val="15"/>
                <w:color w:val="auto"/>
              </w:rPr>
              <w:t xml:space="preserve">Net Interest Margin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2.48</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2.67</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2.95</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3.01</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3.04</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efficiency ratio is defined as noninterest expense divided by total revenue (net interest income and noninterest income).</w:t>
      </w:r>
    </w:p>
    <w:p>
      <w:pPr>
        <w:spacing w:after="0" w:line="11" w:lineRule="exact"/>
        <w:rPr>
          <w:sz w:val="20"/>
          <w:szCs w:val="20"/>
          <w:color w:val="auto"/>
        </w:rPr>
      </w:pPr>
    </w:p>
    <w:p>
      <w:pPr>
        <w:ind w:left="200" w:hanging="192"/>
        <w:spacing w:after="0"/>
        <w:tabs>
          <w:tab w:leader="none" w:pos="2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net interest margin is defined as net interest income, on a taxable-equivalent basis, as a percentage of average earning assets.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Results and Other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income for the fourth quarter of 2020 was $42.3 million, a decrease of $15.8 million or 27% compared to the fourth quarter of 2019. Diluted earnings per share were $1.06 for the fourth quarter of 2020, a decrease of $0.39 or 27% compared to the fourth quarter of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interest income, on a taxable-equivalent basis, for the fourth quarter of 2020 was $119.8 million, a decrease of $4.4 million or 4% compared to the fourth quarter of 2019. This decrease was primarily due to the lower rate environment. In addition the fourth quarter of 2020 included a $3.0 million impairment in the residual value of a leveraged lease. This decrease was partially offset by lower rates paid on our interest-bearing deposits. Net interest margin was 2.48% for the fourth quarter of 2020, a decrease of 47 basis points compared to the fourth quarter of 2019, primarily due to lower yields in our investment securities and loans portfolio.</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recorded a Provision of $15.2 million in the fourth quarter of 2020 compared to a Provision of $4.8 million recorded in the fourth quarter of 2019, while recording a net recovery of $0.3 million in the fourth quarter of 2020 compared to a net charge-off of loans and leases of $3.7 million in the fourth quarter of 2019. The Provision recorded was based on our internal calculation and judgment that the allowance for credit losses should be $216.3 million as of December 31, 2020. In addition, on December 31, 2020, the Company recorded a $2.7 million reserve on accrued interest receivable related to loans in which interest payment forbearances were granted to borrowers impacted by the COVID-19 pandemic. The reserve was recorded as a contra-asset against accrued interest receivable with the offset to provision for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Noninterest income, other than net gains on sales of investment securities, was $46.5 million in the fourth quarter of 2020, a decrease of $2.2 million or 4% compared to the fourth quarter of 2019. This decrease was primarily due to a $2.4 million decrease in fees, exchange, and other service charges due to lower debit card, credit card, and ATM transaction volume. In addition, merchant income decreased due to lower sales volume. Service charges on deposit accounts decreased by $1.5 million due to a decrease in overdraft fees due to lower transaction volume. Other income decreased by $1.9 million due to a $3.4 million decrease in net gain on sale of leased assets which was partially offset by a $2.0 million increase in fees related to our customer interest rate swap derivatives. These decreases were partially offset by a $3.7 million increase in mortgage banking income due to increased sales of conforming saleable loans from current production. The increase was offset by a $1.5 million valuation impairment to our mortgage servicing rights.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20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Noninterest expense was $98.7 million in the fourth quarter of 2020, an increase of $5.6 million or 6% compared to the fourth quarter of 2019. This increase was primarily due to a $5.7 million increase in net occupancy primarily due to the determination to permanently close 12 branches in the fourth quarter of 2020 for a total exit cost of $5.6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was $8.6 million in the fourth quarter of 2020, a decrease of $7.0 million or 45% compared to the fourth quarter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2019. The effective tax rate for the fourth quarter of 2020 was 16.87% compared with an effective tax rate of 21.15% for the fourth quarter of 2019. The lower effective tax rate in the fourth quarter of 2020 compared to the same period of 2019 was primarily due to lower pretax income and tax benefit identified and recorded in 2020 for return to provision adjustments. This was partially offset by the early buy-out of our equity interest in a leveraged lease, which resulted in $1.8 million credit to the provision for income taxes in the fourth quarter of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 Program</w:t>
      </w:r>
    </w:p>
    <w:p>
      <w:pPr>
        <w:spacing w:after="0" w:line="187"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 the fourth quarter of 2020, the common stock repurchase program remains temporarily suspended. See Note 11 to the Consolidated Financial Statements for more information related to our common stock repurchase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Market Risk section in Management’s Discussion and Analysis of Financial Condition and Results of Operation included in Item 7 of this report.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14" w:lineRule="exact"/>
        <w:rPr>
          <w:sz w:val="20"/>
          <w:szCs w:val="20"/>
          <w:color w:val="auto"/>
        </w:rPr>
      </w:pPr>
    </w:p>
    <w:p>
      <w:pPr>
        <w:ind w:right="3340" w:firstLine="3364"/>
        <w:spacing w:after="0" w:line="471" w:lineRule="auto"/>
        <w:rPr>
          <w:sz w:val="20"/>
          <w:szCs w:val="20"/>
          <w:color w:val="auto"/>
        </w:rPr>
      </w:pPr>
      <w:r>
        <w:rPr>
          <w:rFonts w:ascii="Times New Roman" w:cs="Times New Roman" w:eastAsia="Times New Roman" w:hAnsi="Times New Roman"/>
          <w:sz w:val="18"/>
          <w:szCs w:val="18"/>
          <w:b w:val="1"/>
          <w:bCs w:val="1"/>
          <w:color w:val="333333"/>
        </w:rPr>
        <w:t xml:space="preserve">Report of Independent Registered Public Accounting Firm </w:t>
      </w:r>
      <w:r>
        <w:rPr>
          <w:rFonts w:ascii="Times New Roman" w:cs="Times New Roman" w:eastAsia="Times New Roman" w:hAnsi="Times New Roman"/>
          <w:sz w:val="18"/>
          <w:szCs w:val="18"/>
          <w:color w:val="333333"/>
        </w:rPr>
        <w:t xml:space="preserve">To the Shareholders and the Board of Directors of Bank of Hawaii Corporation </w:t>
      </w:r>
      <w:r>
        <w:rPr>
          <w:rFonts w:ascii="Times New Roman" w:cs="Times New Roman" w:eastAsia="Times New Roman" w:hAnsi="Times New Roman"/>
          <w:sz w:val="18"/>
          <w:szCs w:val="18"/>
          <w:b w:val="1"/>
          <w:bCs w:val="1"/>
          <w:color w:val="333333"/>
        </w:rPr>
        <w:t>Opinion on the Financial Statements</w:t>
      </w:r>
    </w:p>
    <w:p>
      <w:pPr>
        <w:spacing w:after="0" w:line="256" w:lineRule="auto"/>
        <w:rPr>
          <w:sz w:val="20"/>
          <w:szCs w:val="20"/>
          <w:color w:val="auto"/>
        </w:rPr>
      </w:pPr>
      <w:r>
        <w:rPr>
          <w:rFonts w:ascii="Times New Roman" w:cs="Times New Roman" w:eastAsia="Times New Roman" w:hAnsi="Times New Roman"/>
          <w:sz w:val="18"/>
          <w:szCs w:val="18"/>
          <w:color w:val="333333"/>
        </w:rPr>
        <w:t>We have audited the accompanying consolidated statements of condition of Bank of Hawaii Corporation and subsidiaries (the Company) as of December 31, 2020 and 2019, the related consolidated statements of income, comprehensive income, shareholders'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87"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 2021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Adoption of New Accounting Standard</w:t>
      </w:r>
    </w:p>
    <w:p>
      <w:pPr>
        <w:spacing w:after="0" w:line="3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333333"/>
        </w:rPr>
        <w:t>As discussed in Note 1 to the consolidated financial statements, the Company changed its method of accounting for credit losses due to the adoption of ASU 2016-13, Financial Instruments-Credit Losses (Topic 326): Measurement of Credit Losses on Financial Instruments. The Company adopted the standard on a modified retrospective basis through a cumulative-effect adjustment to retained earnings as of January 1,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Critical Audit Matter</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left="60" w:right="80"/>
        <w:spacing w:after="0" w:line="284" w:lineRule="auto"/>
        <w:rPr>
          <w:sz w:val="20"/>
          <w:szCs w:val="20"/>
          <w:color w:val="auto"/>
        </w:rPr>
      </w:pPr>
      <w:r>
        <w:rPr>
          <w:rFonts w:ascii="Times New Roman" w:cs="Times New Roman" w:eastAsia="Times New Roman" w:hAnsi="Times New Roman"/>
          <w:sz w:val="18"/>
          <w:szCs w:val="18"/>
          <w:i w:val="1"/>
          <w:iCs w:val="1"/>
          <w:color w:val="333333"/>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line="290" w:lineRule="auto"/>
        <w:rPr>
          <w:sz w:val="20"/>
          <w:szCs w:val="20"/>
          <w:color w:val="auto"/>
        </w:rPr>
      </w:pPr>
      <w:r>
        <w:rPr>
          <w:rFonts w:ascii="Times New Roman" w:cs="Times New Roman" w:eastAsia="Times New Roman" w:hAnsi="Times New Roman"/>
          <w:sz w:val="17"/>
          <w:szCs w:val="17"/>
          <w:i w:val="1"/>
          <w:iCs w:val="1"/>
          <w:color w:val="333333"/>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Allowance for Credit Losses – Loans and Leases</w:t>
      </w:r>
    </w:p>
    <w:p>
      <w:pPr>
        <w:spacing w:after="0" w:line="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333333"/>
        </w:rPr>
        <w:t>At December 31, 2020, the Company’s loans and leases portfolio and associated allowance for credit losses (the “Allowance”) totaled $11.9 billion and $216.3 million, respectively. As discussed in Note 1 to the consolidated financial statements, the Company’s current expected credit loss is an estimate of the credit losses expected over the life of an exposure (or pool of exposures). Management’s estimate of expected credit losses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historical period used. Relevant factors include, but are not limited to, concentrations of credit risk (geographic, large borrower, and industry), economic trends and conditions, changes in underwriting standards, experience and depth of lending staff, trends in delinquencies, and the level of criticized loans (environmental factor). The Company also considers future economic conditions and portfolio performance as part of a reasonable and supportable forecast period. This include a quarterly asset quality review which includes a review of forecasted gross charge-offs and recoveries, nonperforming assets, criticized loans and leases, and risk rating migration, as well as additional factors that may not be reflected in the net charge-off forecast.</w:t>
      </w:r>
    </w:p>
    <w:p>
      <w:pPr>
        <w:spacing w:after="0" w:line="19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333333"/>
        </w:rPr>
        <w:t>Auditing the Company’s Allowance involved a high degree of subjectivity due to the judgment involved in management’s identification and measurement of the qualitative adjustments to the quantitative baseline that were included in the estimate of the Allowance.</w:t>
      </w:r>
    </w:p>
    <w:p>
      <w:pPr>
        <w:spacing w:after="0" w:line="200" w:lineRule="exact"/>
        <w:rPr>
          <w:sz w:val="20"/>
          <w:szCs w:val="20"/>
          <w:color w:val="auto"/>
        </w:rPr>
      </w:pPr>
    </w:p>
    <w:p>
      <w:pPr>
        <w:spacing w:after="0" w:line="3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333333"/>
        </w:rPr>
        <w:t>We obtained an understanding of the Company’s process for establishing the Allowance and evaluated the design and tested the operating effectiveness of controls that address the risk of material misstatement related to the measurement of the Allowance. We tested controls over management’s review of data inputs utilized in the Allowance calculation, management’s identification and review of the qualitative adjustments related to the loan and lease losses and management’s review and approval process over the final determination of the Allowance.</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333333"/>
        </w:rPr>
        <w:t>To test the identification and measurement of the qualitative adjustments included in management’s estimate of the Allowance, we evaluated the Allowance methodology used, including management’s consideration of the individual loan portfolio segments, and tested the completeness and accuracy of data from underlying systems and the data warehouse that was used in the determination of qualitative adjustments. We further evaluated management’s assessment of the qualitative adjustments by obtaining an understanding of the basis for any changes in underlying environmental factor adjustments and reasonable and supportable forecast period and giving consideration to Day 1 qualitative adjustments and other information available within the Company and from external sources focusing on both corroborating and any contrary evidence.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333333"/>
        </w:rPr>
        <w:t>We also evaluated the overall Allowance amount to determine whether the amount appropriately reflected the current expected credit loss in the loan portfolio as of the balance sheet date. We reviewed subsequent events and transactions and considered whether they corroborated or contradicted the Company’s year-end measurement of the Allowance.</w:t>
      </w:r>
    </w:p>
    <w:p>
      <w:pPr>
        <w:spacing w:after="0" w:line="200" w:lineRule="exact"/>
        <w:rPr>
          <w:sz w:val="20"/>
          <w:szCs w:val="20"/>
          <w:color w:val="auto"/>
        </w:rPr>
      </w:pPr>
    </w:p>
    <w:p>
      <w:pPr>
        <w:sectPr>
          <w:pgSz w:w="11900" w:h="16838" w:orient="portrait"/>
          <w:cols w:equalWidth="0" w:num="2">
            <w:col w:w="1440" w:space="500"/>
            <w:col w:w="920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have served as the Company’s auditor since 1971.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Honolulu, Hawaii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1, 2021</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 except per share amounts)</w:t>
            </w: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5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417,498</w:t>
            </w:r>
          </w:p>
        </w:tc>
        <w:tc>
          <w:tcPr>
            <w:tcW w:w="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439,012</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410,597</w:t>
            </w: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Income on Investment Securities</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13"/>
        </w:trPr>
        <w:tc>
          <w:tcPr>
            <w:tcW w:w="50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Available-for-Sale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61,294</w:t>
            </w:r>
          </w:p>
        </w:tc>
        <w:tc>
          <w:tcPr>
            <w:tcW w:w="5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62,174</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50,152</w:t>
            </w:r>
          </w:p>
        </w:tc>
      </w:tr>
      <w:tr>
        <w:trPr>
          <w:trHeight w:val="219"/>
        </w:trPr>
        <w:tc>
          <w:tcPr>
            <w:tcW w:w="5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Held-to-Maturity</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66,055</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81,616</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84,310</w:t>
            </w:r>
          </w:p>
        </w:tc>
      </w:tr>
      <w:tr>
        <w:trPr>
          <w:trHeight w:val="213"/>
        </w:trPr>
        <w:tc>
          <w:tcPr>
            <w:tcW w:w="5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Deposits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5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41</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Funds Sold</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3,553</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3,723</w:t>
            </w:r>
          </w:p>
        </w:tc>
      </w:tr>
      <w:tr>
        <w:trPr>
          <w:trHeight w:val="213"/>
        </w:trPr>
        <w:tc>
          <w:tcPr>
            <w:tcW w:w="5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1,001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1,357</w:t>
            </w:r>
          </w:p>
        </w:tc>
      </w:tr>
      <w:tr>
        <w:trPr>
          <w:trHeight w:val="210"/>
        </w:trPr>
        <w:tc>
          <w:tcPr>
            <w:tcW w:w="50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Interest Income</w:t>
            </w:r>
          </w:p>
        </w:tc>
        <w:tc>
          <w:tcPr>
            <w:tcW w:w="15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546,424</w:t>
            </w:r>
          </w:p>
        </w:tc>
        <w:tc>
          <w:tcPr>
            <w:tcW w:w="5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587,397</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550,173</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Deposits</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32,966</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68,374</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41,143</w:t>
            </w:r>
          </w:p>
        </w:tc>
      </w:tr>
      <w:tr>
        <w:trPr>
          <w:trHeight w:val="213"/>
        </w:trPr>
        <w:tc>
          <w:tcPr>
            <w:tcW w:w="5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15,281</w:t>
            </w:r>
          </w:p>
        </w:tc>
        <w:tc>
          <w:tcPr>
            <w:tcW w:w="5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17,522</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18,519</w:t>
            </w: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Funds Purchased</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840</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609</w:t>
            </w:r>
          </w:p>
        </w:tc>
      </w:tr>
      <w:tr>
        <w:trPr>
          <w:trHeight w:val="213"/>
        </w:trPr>
        <w:tc>
          <w:tcPr>
            <w:tcW w:w="5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Borrowings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5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r>
      <w:tr>
        <w:trPr>
          <w:trHeight w:val="216"/>
        </w:trPr>
        <w:tc>
          <w:tcPr>
            <w:tcW w:w="50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Debt</w:t>
            </w:r>
          </w:p>
        </w:tc>
        <w:tc>
          <w:tcPr>
            <w:tcW w:w="15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5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2,908</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3,405</w:t>
            </w:r>
          </w:p>
        </w:tc>
      </w:tr>
      <w:tr>
        <w:trPr>
          <w:trHeight w:val="209"/>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50,102</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89,682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63,821</w:t>
            </w:r>
          </w:p>
        </w:tc>
      </w:tr>
      <w:tr>
        <w:trPr>
          <w:trHeight w:val="212"/>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496,322</w:t>
            </w:r>
          </w:p>
        </w:tc>
        <w:tc>
          <w:tcPr>
            <w:tcW w:w="5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497,715</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486,352</w:t>
            </w:r>
          </w:p>
        </w:tc>
      </w:tr>
      <w:tr>
        <w:trPr>
          <w:trHeight w:val="21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117,800</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16,000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13,425</w:t>
            </w:r>
          </w:p>
        </w:tc>
      </w:tr>
      <w:tr>
        <w:trPr>
          <w:trHeight w:val="209"/>
        </w:trPr>
        <w:tc>
          <w:tcPr>
            <w:tcW w:w="50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15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378,522</w:t>
            </w:r>
          </w:p>
        </w:tc>
        <w:tc>
          <w:tcPr>
            <w:tcW w:w="5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481,715</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472,927</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Trust and Asset Management</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43,456</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44,233</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43,877</w:t>
            </w:r>
          </w:p>
        </w:tc>
      </w:tr>
      <w:tr>
        <w:trPr>
          <w:trHeight w:val="213"/>
        </w:trPr>
        <w:tc>
          <w:tcPr>
            <w:tcW w:w="5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Mortgage Banking</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17,871</w:t>
            </w:r>
          </w:p>
        </w:tc>
        <w:tc>
          <w:tcPr>
            <w:tcW w:w="5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13,686</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8,437</w:t>
            </w: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24,910</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30,074</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28,811</w:t>
            </w:r>
          </w:p>
        </w:tc>
      </w:tr>
      <w:tr>
        <w:trPr>
          <w:trHeight w:val="213"/>
        </w:trPr>
        <w:tc>
          <w:tcPr>
            <w:tcW w:w="5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Fees, Exchange, and Other Service Charges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47,056</w:t>
            </w:r>
          </w:p>
        </w:tc>
        <w:tc>
          <w:tcPr>
            <w:tcW w:w="5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57,893</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57,482</w:t>
            </w: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Investment Securities Gains (Losses), Net</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(3,986)</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w:t>
            </w:r>
          </w:p>
        </w:tc>
      </w:tr>
      <w:tr>
        <w:trPr>
          <w:trHeight w:val="213"/>
        </w:trPr>
        <w:tc>
          <w:tcPr>
            <w:tcW w:w="5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Annuity and Insurance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5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6,934</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5,822</w:t>
            </w: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Bank-Owned Life Insurance</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7,388</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7,015</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7,199</w:t>
            </w:r>
          </w:p>
        </w:tc>
      </w:tr>
      <w:tr>
        <w:trPr>
          <w:trHeight w:val="213"/>
        </w:trPr>
        <w:tc>
          <w:tcPr>
            <w:tcW w:w="5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30,434</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27,489</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21,233</w:t>
            </w:r>
          </w:p>
        </w:tc>
      </w:tr>
      <w:tr>
        <w:trPr>
          <w:trHeight w:val="210"/>
        </w:trPr>
        <w:tc>
          <w:tcPr>
            <w:tcW w:w="50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5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184,409</w:t>
            </w:r>
          </w:p>
        </w:tc>
        <w:tc>
          <w:tcPr>
            <w:tcW w:w="5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183,338</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168,923</w:t>
            </w:r>
          </w:p>
        </w:tc>
      </w:tr>
      <w:tr>
        <w:trPr>
          <w:trHeight w:val="208"/>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Salaries and Benefits</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207,329</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216,106</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213,208</w:t>
            </w:r>
          </w:p>
        </w:tc>
      </w:tr>
      <w:tr>
        <w:trPr>
          <w:trHeight w:val="213"/>
        </w:trPr>
        <w:tc>
          <w:tcPr>
            <w:tcW w:w="5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Occupancy</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39,533</w:t>
            </w:r>
          </w:p>
        </w:tc>
        <w:tc>
          <w:tcPr>
            <w:tcW w:w="5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33,800</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34,742</w:t>
            </w: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Equipment</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29,295</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23,852</w:t>
            </w:r>
          </w:p>
        </w:tc>
      </w:tr>
      <w:tr>
        <w:trPr>
          <w:trHeight w:val="213"/>
        </w:trPr>
        <w:tc>
          <w:tcPr>
            <w:tcW w:w="5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Data Processing</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18,499</w:t>
            </w:r>
          </w:p>
        </w:tc>
        <w:tc>
          <w:tcPr>
            <w:tcW w:w="5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18,757</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17,846</w:t>
            </w:r>
          </w:p>
        </w:tc>
      </w:tr>
      <w:tr>
        <w:trPr>
          <w:trHeight w:val="219"/>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Professional Fees</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10,071</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9,992</w:t>
            </w:r>
          </w:p>
        </w:tc>
      </w:tr>
      <w:tr>
        <w:trPr>
          <w:trHeight w:val="213"/>
        </w:trPr>
        <w:tc>
          <w:tcPr>
            <w:tcW w:w="5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FDIC Insurance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w:t>
            </w:r>
          </w:p>
        </w:tc>
        <w:tc>
          <w:tcPr>
            <w:tcW w:w="5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5,192</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7,732</w:t>
            </w:r>
          </w:p>
        </w:tc>
      </w:tr>
      <w:tr>
        <w:trPr>
          <w:trHeight w:val="216"/>
        </w:trPr>
        <w:tc>
          <w:tcPr>
            <w:tcW w:w="50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5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55,032</w:t>
            </w:r>
          </w:p>
        </w:tc>
        <w:tc>
          <w:tcPr>
            <w:tcW w:w="5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66,006</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64,252</w:t>
            </w:r>
          </w:p>
        </w:tc>
      </w:tr>
      <w:tr>
        <w:trPr>
          <w:trHeight w:val="210"/>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373,807</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379,227</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371,624</w:t>
            </w:r>
          </w:p>
        </w:tc>
      </w:tr>
      <w:tr>
        <w:trPr>
          <w:trHeight w:val="211"/>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189,124</w:t>
            </w:r>
          </w:p>
        </w:tc>
        <w:tc>
          <w:tcPr>
            <w:tcW w:w="5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285,826</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270,226</w:t>
            </w:r>
          </w:p>
        </w:tc>
      </w:tr>
      <w:tr>
        <w:trPr>
          <w:trHeight w:val="21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35,320</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59,913</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50,624</w:t>
            </w:r>
          </w:p>
        </w:tc>
      </w:tr>
      <w:tr>
        <w:trPr>
          <w:trHeight w:val="210"/>
        </w:trPr>
        <w:tc>
          <w:tcPr>
            <w:tcW w:w="50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90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153,804</w:t>
            </w:r>
          </w:p>
        </w:tc>
        <w:tc>
          <w:tcPr>
            <w:tcW w:w="58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225,913</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219,602</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5"/>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5.59</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w:t>
            </w:r>
          </w:p>
        </w:tc>
      </w:tr>
      <w:tr>
        <w:trPr>
          <w:trHeight w:val="21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5.56</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5.23</w:t>
            </w: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2.59</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w:t>
            </w:r>
          </w:p>
        </w:tc>
      </w:tr>
      <w:tr>
        <w:trPr>
          <w:trHeight w:val="21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Weighted Average Shares</w:t>
            </w: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39,726,210</w:t>
            </w:r>
          </w:p>
        </w:tc>
        <w:tc>
          <w:tcPr>
            <w:tcW w:w="5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40,384,328</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41,714,770</w:t>
            </w:r>
          </w:p>
        </w:tc>
      </w:tr>
      <w:tr>
        <w:trPr>
          <w:trHeight w:val="21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39,892,107</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40,649,570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41,999,399</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8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153,804</w:t>
            </w:r>
          </w:p>
        </w:tc>
        <w:tc>
          <w:tcPr>
            <w:tcW w:w="68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225,913</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219,602</w:t>
            </w: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43,428</w:t>
            </w:r>
          </w:p>
        </w:tc>
        <w:tc>
          <w:tcPr>
            <w:tcW w:w="6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22,677</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(6,525)</w:t>
            </w:r>
          </w:p>
        </w:tc>
      </w:tr>
      <w:tr>
        <w:trPr>
          <w:trHeight w:val="213"/>
        </w:trPr>
        <w:tc>
          <w:tcPr>
            <w:tcW w:w="5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Defined Benefit Plans</w:t>
            </w:r>
          </w:p>
        </w:tc>
        <w:tc>
          <w:tcPr>
            <w:tcW w:w="1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(4,494)</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(2,746)</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09"/>
        </w:trPr>
        <w:tc>
          <w:tcPr>
            <w:tcW w:w="5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3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38,934</w:t>
            </w:r>
          </w:p>
        </w:tc>
        <w:tc>
          <w:tcPr>
            <w:tcW w:w="6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19,931</w:t>
            </w:r>
          </w:p>
        </w:tc>
        <w:tc>
          <w:tcPr>
            <w:tcW w:w="4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(8,851)</w:t>
            </w:r>
          </w:p>
        </w:tc>
      </w:tr>
      <w:tr>
        <w:trPr>
          <w:trHeight w:val="209"/>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8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192,738</w:t>
            </w:r>
          </w:p>
        </w:tc>
        <w:tc>
          <w:tcPr>
            <w:tcW w:w="6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245,844</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210,751</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Condition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Deposits in Other Banks</w:t>
            </w:r>
          </w:p>
        </w:tc>
        <w:tc>
          <w:tcPr>
            <w:tcW w:w="1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1,646</w:t>
            </w: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4,979</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Funds Sold</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333,022</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254,574</w:t>
            </w: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Investment Securities</w:t>
            </w: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Available-for-Sale</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3,791,689</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2,619,003</w:t>
            </w:r>
          </w:p>
        </w:tc>
      </w:tr>
      <w:tr>
        <w:trPr>
          <w:trHeight w:val="213"/>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Held-to-Maturity (Fair Value of $3,348,693 and $3,062,882)</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3,262,727</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3,042,294</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82,565</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39,062</w:t>
            </w: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Loans and Leases</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11,940,020</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10,990,892</w:t>
            </w:r>
          </w:p>
        </w:tc>
      </w:tr>
      <w:tr>
        <w:trPr>
          <w:trHeight w:val="216"/>
        </w:trPr>
        <w:tc>
          <w:tcPr>
            <w:tcW w:w="62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8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(216,252)</w:t>
            </w: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(110,027)</w:t>
            </w:r>
          </w:p>
        </w:tc>
      </w:tr>
      <w:tr>
        <w:trPr>
          <w:trHeight w:val="209"/>
        </w:trPr>
        <w:tc>
          <w:tcPr>
            <w:tcW w:w="62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Net Loans and Leases</w:t>
            </w:r>
          </w:p>
        </w:tc>
        <w:tc>
          <w:tcPr>
            <w:tcW w:w="1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11,723,768</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10,880,865</w:t>
            </w:r>
          </w:p>
        </w:tc>
      </w:tr>
      <w:tr>
        <w:trPr>
          <w:trHeight w:val="210"/>
        </w:trPr>
        <w:tc>
          <w:tcPr>
            <w:tcW w:w="6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Earning Assets</w:t>
            </w:r>
          </w:p>
        </w:tc>
        <w:tc>
          <w:tcPr>
            <w:tcW w:w="18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19,195,417</w:t>
            </w: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16,840,777</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279,420</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299,105</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199,695</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188,388</w:t>
            </w: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99,542</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100,838</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49,303</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46,476</w:t>
            </w: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Foreclosed Real Estate</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2,332</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2,737</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Servicing Rights</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19,652</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25,022</w:t>
            </w: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31,517</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31,517</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Bank-Owned Life Insurance</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291,480</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287,962</w:t>
            </w:r>
          </w:p>
        </w:tc>
      </w:tr>
      <w:tr>
        <w:trPr>
          <w:trHeight w:val="213"/>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435,293</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272,674</w:t>
            </w:r>
          </w:p>
        </w:tc>
      </w:tr>
      <w:tr>
        <w:trPr>
          <w:trHeight w:val="210"/>
        </w:trPr>
        <w:tc>
          <w:tcPr>
            <w:tcW w:w="6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20,603,651</w:t>
            </w: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18,095,496</w:t>
            </w: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8"/>
        </w:trPr>
        <w:tc>
          <w:tcPr>
            <w:tcW w:w="6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Deposits</w:t>
            </w: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8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5,749,612</w:t>
            </w:r>
          </w:p>
        </w:tc>
        <w:tc>
          <w:tcPr>
            <w:tcW w:w="4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4,489,525</w:t>
            </w:r>
          </w:p>
        </w:tc>
      </w:tr>
      <w:tr>
        <w:trPr>
          <w:trHeight w:val="213"/>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Interest-Bearing Demand</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4,040,733</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3,127,205</w:t>
            </w:r>
          </w:p>
        </w:tc>
      </w:tr>
      <w:tr>
        <w:trPr>
          <w:trHeight w:val="219"/>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Savings</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6,759,213</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6,365,321</w:t>
            </w:r>
          </w:p>
        </w:tc>
      </w:tr>
      <w:tr>
        <w:trPr>
          <w:trHeight w:val="213"/>
        </w:trPr>
        <w:tc>
          <w:tcPr>
            <w:tcW w:w="6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Time</w:t>
            </w:r>
          </w:p>
        </w:tc>
        <w:tc>
          <w:tcPr>
            <w:tcW w:w="1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1,662,063</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1,802,431</w:t>
            </w:r>
          </w:p>
        </w:tc>
      </w:tr>
      <w:tr>
        <w:trPr>
          <w:trHeight w:val="210"/>
        </w:trPr>
        <w:tc>
          <w:tcPr>
            <w:tcW w:w="6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Deposits</w:t>
            </w:r>
          </w:p>
        </w:tc>
        <w:tc>
          <w:tcPr>
            <w:tcW w:w="18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18,211,621</w:t>
            </w: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15,784,482</w:t>
            </w: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600,590</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604,306</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Debt</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60,481</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85,565</w:t>
            </w: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107,412</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108,210</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Retirement Benefits Payable</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51,197</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44,504</w:t>
            </w: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5,117</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8,040</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Payable and Deferred Taxes</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2,463</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16,085</w:t>
            </w:r>
          </w:p>
        </w:tc>
      </w:tr>
      <w:tr>
        <w:trPr>
          <w:trHeight w:val="213"/>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190,263</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157,472</w:t>
            </w:r>
          </w:p>
        </w:tc>
      </w:tr>
      <w:tr>
        <w:trPr>
          <w:trHeight w:val="211"/>
        </w:trPr>
        <w:tc>
          <w:tcPr>
            <w:tcW w:w="6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19,229,144</w:t>
            </w: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16,808,664</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Contingencies, and Guarantees (Note 20 and Note 23)</w:t>
            </w: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8"/>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02"/>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($.01 par value; authorized 500,000,000 shares;</w:t>
            </w: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issued / outstanding: December 31, 2020 - 58,285,624 / 40,119,312</w:t>
            </w: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3"/>
        </w:trPr>
        <w:tc>
          <w:tcPr>
            <w:tcW w:w="6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and December 31, 2019 - 58,166,910 / 40,039,695)</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580</w:t>
            </w:r>
          </w:p>
        </w:tc>
        <w:tc>
          <w:tcPr>
            <w:tcW w:w="4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579</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Surplus</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591,360</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582,566</w:t>
            </w:r>
          </w:p>
        </w:tc>
      </w:tr>
      <w:tr>
        <w:trPr>
          <w:trHeight w:val="21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7,822</w:t>
            </w: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(31,112)</w:t>
            </w:r>
          </w:p>
        </w:tc>
      </w:tr>
      <w:tr>
        <w:trPr>
          <w:trHeight w:val="21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8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1,811,979</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1,761,415</w:t>
            </w:r>
          </w:p>
        </w:tc>
      </w:tr>
      <w:tr>
        <w:trPr>
          <w:trHeight w:val="202"/>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 at Cost (Shares: December 31, 2020 - 18,166,312</w:t>
            </w: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3"/>
        </w:trPr>
        <w:tc>
          <w:tcPr>
            <w:tcW w:w="6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and December 31, 2019 - 18,127,215)</w:t>
            </w:r>
          </w:p>
        </w:tc>
        <w:tc>
          <w:tcPr>
            <w:tcW w:w="1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(1,037,234)</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(1,026,616)</w:t>
            </w:r>
          </w:p>
        </w:tc>
      </w:tr>
      <w:tr>
        <w:trPr>
          <w:trHeight w:val="211"/>
        </w:trPr>
        <w:tc>
          <w:tcPr>
            <w:tcW w:w="6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8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1,374,507</w:t>
            </w: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1,286,832</w:t>
            </w:r>
          </w:p>
        </w:tc>
      </w:tr>
      <w:tr>
        <w:trPr>
          <w:trHeight w:val="209"/>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20,603,651</w:t>
            </w:r>
          </w:p>
        </w:tc>
        <w:tc>
          <w:tcPr>
            <w:tcW w:w="4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18,095,496</w:t>
            </w: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Accum.</w:t>
            </w: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03"/>
        </w:trPr>
        <w:tc>
          <w:tcPr>
            <w:tcW w:w="3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Compre-</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hensive</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8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940" w:type="dxa"/>
            <w:vAlign w:val="bottom"/>
          </w:tcPr>
          <w:p>
            <w:pPr>
              <w:spacing w:after="0"/>
              <w:rPr>
                <w:sz w:val="17"/>
                <w:szCs w:val="17"/>
                <w:color w:val="auto"/>
              </w:rPr>
            </w:pPr>
          </w:p>
        </w:tc>
      </w:tr>
      <w:tr>
        <w:trPr>
          <w:trHeight w:val="215"/>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 except share amounts)</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2017</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42,401,443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561,161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(34,715)</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$ 1,512,218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(807,372)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$ 1,231,868</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219,602</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219,602</w:t>
            </w:r>
          </w:p>
        </w:tc>
      </w:tr>
      <w:tr>
        <w:trPr>
          <w:trHeight w:val="21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(8,851)</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the Income Tax Effects of the</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Tax Cuts and Jobs Act from AOCI</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(7,477)</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7,477</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8,146</w:t>
            </w: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r>
      <w:tr>
        <w:trPr>
          <w:trHeight w:val="21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Issued under Purchase and Equity</w:t>
            </w: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13"/>
        </w:trPr>
        <w:tc>
          <w:tcPr>
            <w:tcW w:w="3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Compensation Plans and Related Tax Benefits</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219,210</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2,397</w:t>
            </w: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513</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5,008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w:t>
            </w:r>
          </w:p>
        </w:tc>
      </w:tr>
      <w:tr>
        <w:trPr>
          <w:trHeight w:val="21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Repurchased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(1,120,755)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(91,988)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(91,988)</w:t>
            </w:r>
          </w:p>
        </w:tc>
      </w:tr>
      <w:tr>
        <w:trPr>
          <w:trHeight w:val="213"/>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Dividends Declared ($2.34 per share)</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(98,496)</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(98,496)</w:t>
            </w:r>
          </w:p>
        </w:tc>
      </w:tr>
      <w:tr>
        <w:trPr>
          <w:trHeight w:val="210"/>
        </w:trPr>
        <w:tc>
          <w:tcPr>
            <w:tcW w:w="3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2018</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41,499,898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571,704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(51,043)</w:t>
            </w:r>
          </w:p>
        </w:tc>
        <w:tc>
          <w:tcPr>
            <w:tcW w:w="10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$ 1,641,314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(894,352)</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$ 1,268,200</w:t>
            </w:r>
          </w:p>
        </w:tc>
      </w:tr>
      <w:tr>
        <w:trPr>
          <w:trHeight w:val="211"/>
        </w:trPr>
        <w:tc>
          <w:tcPr>
            <w:tcW w:w="3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225,913</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225,913</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19,931</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19,931</w:t>
            </w:r>
          </w:p>
        </w:tc>
      </w:tr>
      <w:tr>
        <w:trPr>
          <w:trHeight w:val="21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8,337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8,337</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under Purchase and Equity</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Compensation Plans and Related Tax Benefits</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212,924</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2,525</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5,385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7,578</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Repurchased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(1,673,127)</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(137,649)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(137,649)</w:t>
            </w:r>
          </w:p>
        </w:tc>
      </w:tr>
      <w:tr>
        <w:trPr>
          <w:trHeight w:val="216"/>
        </w:trPr>
        <w:tc>
          <w:tcPr>
            <w:tcW w:w="3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 Declared ($2.59 per share)</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(105,478)</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(105,478)</w:t>
            </w:r>
          </w:p>
        </w:tc>
      </w:tr>
      <w:tr>
        <w:trPr>
          <w:trHeight w:val="210"/>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2019</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40,039,695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582,566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(31,112)</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$ 1,761,415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(1,026,616)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$ 1,286,832</w:t>
            </w:r>
          </w:p>
        </w:tc>
      </w:tr>
      <w:tr>
        <w:trPr>
          <w:trHeight w:val="211"/>
        </w:trPr>
        <w:tc>
          <w:tcPr>
            <w:tcW w:w="37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153,804</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153,804</w:t>
            </w:r>
          </w:p>
        </w:tc>
      </w:tr>
      <w:tr>
        <w:trPr>
          <w:trHeight w:val="21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38,934</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38,934</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Cumulative Change in Accounting Principle</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3,632</w:t>
            </w:r>
          </w:p>
        </w:tc>
        <w:tc>
          <w:tcPr>
            <w:tcW w:w="1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w:t>
            </w:r>
          </w:p>
        </w:tc>
      </w:tr>
      <w:tr>
        <w:trPr>
          <w:trHeight w:val="21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7,577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7,577</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under Purchase and Equity</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Compensation Plans and Related Tax Benefits</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283,482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562</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7,388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9,168</w:t>
            </w: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Repurchased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(203,865)</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(18,006)</w:t>
            </w:r>
          </w:p>
        </w:tc>
      </w:tr>
      <w:tr>
        <w:trPr>
          <w:trHeight w:val="216"/>
        </w:trPr>
        <w:tc>
          <w:tcPr>
            <w:tcW w:w="3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 Declared ($2.68 per share)</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(107,434)</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(107,434)</w:t>
            </w:r>
          </w:p>
        </w:tc>
      </w:tr>
      <w:tr>
        <w:trPr>
          <w:trHeight w:val="210"/>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40,119,312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591,360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7,822</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$ 1,811,979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(1,037,234)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$ 1,374,507</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8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56"/>
        </w:trPr>
        <w:tc>
          <w:tcPr>
            <w:tcW w:w="55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0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153,804</w:t>
            </w:r>
          </w:p>
        </w:tc>
        <w:tc>
          <w:tcPr>
            <w:tcW w:w="5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225,913</w:t>
            </w:r>
          </w:p>
        </w:tc>
        <w:tc>
          <w:tcPr>
            <w:tcW w:w="5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219,602</w:t>
            </w:r>
          </w:p>
        </w:tc>
        <w:tc>
          <w:tcPr>
            <w:tcW w:w="0" w:type="dxa"/>
            <w:vAlign w:val="bottom"/>
          </w:tcPr>
          <w:p>
            <w:pPr>
              <w:spacing w:after="0"/>
              <w:rPr>
                <w:sz w:val="1"/>
                <w:szCs w:val="1"/>
                <w:color w:val="auto"/>
              </w:rPr>
            </w:pPr>
          </w:p>
        </w:tc>
      </w:tr>
      <w:tr>
        <w:trPr>
          <w:trHeight w:val="139"/>
        </w:trPr>
        <w:tc>
          <w:tcPr>
            <w:tcW w:w="558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w:t>
            </w:r>
          </w:p>
        </w:tc>
        <w:tc>
          <w:tcPr>
            <w:tcW w:w="10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Activities: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117,800</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16,000</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13,425</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20,205</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17,268</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14,389</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Amortization of Deferred Loans and Leases (Fees) Costs, Net</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476</w:t>
            </w: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39"/>
        </w:trPr>
        <w:tc>
          <w:tcPr>
            <w:tcW w:w="5580" w:type="dxa"/>
            <w:vAlign w:val="bottom"/>
            <w:shd w:val="clear" w:color="auto" w:fill="CFF0FC"/>
          </w:tcPr>
          <w:p>
            <w:pPr>
              <w:ind w:left="500"/>
              <w:spacing w:after="0" w:line="139" w:lineRule="exact"/>
              <w:rPr>
                <w:sz w:val="20"/>
                <w:szCs w:val="20"/>
                <w:color w:val="auto"/>
              </w:rPr>
            </w:pPr>
            <w:r>
              <w:rPr>
                <w:rFonts w:ascii="Times New Roman" w:cs="Times New Roman" w:eastAsia="Times New Roman" w:hAnsi="Times New Roman"/>
                <w:sz w:val="14"/>
                <w:szCs w:val="14"/>
                <w:color w:val="auto"/>
              </w:rPr>
              <w:t>Amortization and Accretion of Premiums/Discounts on Investment</w:t>
            </w:r>
          </w:p>
        </w:tc>
        <w:tc>
          <w:tcPr>
            <w:tcW w:w="10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27,586</w:t>
            </w:r>
          </w:p>
        </w:tc>
        <w:tc>
          <w:tcPr>
            <w:tcW w:w="54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20,683</w:t>
            </w:r>
          </w:p>
        </w:tc>
        <w:tc>
          <w:tcPr>
            <w:tcW w:w="50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32,966</w:t>
            </w:r>
          </w:p>
        </w:tc>
        <w:tc>
          <w:tcPr>
            <w:tcW w:w="0" w:type="dxa"/>
            <w:vAlign w:val="bottom"/>
          </w:tcPr>
          <w:p>
            <w:pPr>
              <w:spacing w:after="0"/>
              <w:rPr>
                <w:sz w:val="1"/>
                <w:szCs w:val="1"/>
                <w:color w:val="auto"/>
              </w:rPr>
            </w:pPr>
          </w:p>
        </w:tc>
      </w:tr>
      <w:tr>
        <w:trPr>
          <w:trHeight w:val="171"/>
        </w:trPr>
        <w:tc>
          <w:tcPr>
            <w:tcW w:w="55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rPr>
              <w:t>Securities, Net</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Amortization of Operating Lease Right-of-Use-Assets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12,281</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12,616</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7,578</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8,337</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8,146</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Benefit Plan Contributions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5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(1,926)</w:t>
            </w: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Deferred Income Taxes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(42,586)</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(15,415)</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Gains on Sale of Premises and Equipment</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5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(558)</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Impairment on Leveraged Lease</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2,951</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Impairment on ISB Closures and ATMs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4,168</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Gains on Sales of Loans and Leases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(12,875)</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(10,357)</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(Gains) Losses on Investment Securities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(9,932)</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3,986</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3,938</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394,196</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487,436</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275,943</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Originations of Loans Held for Sale</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(394,649)</w:t>
            </w:r>
          </w:p>
        </w:tc>
        <w:tc>
          <w:tcPr>
            <w:tcW w:w="5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(510,909)</w:t>
            </w: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(267,066)</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Tax Benefits from Share-Based Compensation</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727</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62"/>
        </w:trPr>
        <w:tc>
          <w:tcPr>
            <w:tcW w:w="5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(127,934)</w:t>
            </w: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(20,039)</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27,815</w:t>
            </w:r>
          </w:p>
        </w:tc>
        <w:tc>
          <w:tcPr>
            <w:tcW w:w="0" w:type="dxa"/>
            <w:vAlign w:val="bottom"/>
          </w:tcPr>
          <w:p>
            <w:pPr>
              <w:spacing w:after="0"/>
              <w:rPr>
                <w:sz w:val="1"/>
                <w:szCs w:val="1"/>
                <w:color w:val="auto"/>
              </w:rPr>
            </w:pPr>
          </w:p>
        </w:tc>
      </w:tr>
      <w:tr>
        <w:trPr>
          <w:trHeight w:val="156"/>
        </w:trPr>
        <w:tc>
          <w:tcPr>
            <w:tcW w:w="5580" w:type="dxa"/>
            <w:vAlign w:val="bottom"/>
            <w:tcBorders>
              <w:bottom w:val="single" w:sz="8" w:color="auto"/>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8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146,416</w:t>
            </w:r>
          </w:p>
        </w:tc>
        <w:tc>
          <w:tcPr>
            <w:tcW w:w="5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234,238</w:t>
            </w:r>
          </w:p>
        </w:tc>
        <w:tc>
          <w:tcPr>
            <w:tcW w:w="5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317,922</w:t>
            </w: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Proceeds from Sales, Prepayments and Maturities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1,003,432</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1,873,700</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358,244</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(2,114,912)</w:t>
            </w:r>
          </w:p>
        </w:tc>
        <w:tc>
          <w:tcPr>
            <w:tcW w:w="5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(1,456,901)</w:t>
            </w: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(166,915)</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Proceeds from Prepayments and Maturities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1,420,853</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794,157</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853,635</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Purchases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(1,661,180)</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(1,380,430)</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(419,640)</w:t>
            </w: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Change in Loans and Leases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(990,169)</w:t>
            </w:r>
          </w:p>
        </w:tc>
        <w:tc>
          <w:tcPr>
            <w:tcW w:w="54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(550,533)</w:t>
            </w:r>
          </w:p>
        </w:tc>
        <w:tc>
          <w:tcPr>
            <w:tcW w:w="5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(664,692)</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(33,287)</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(53,900)</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(35,300)</w:t>
            </w:r>
          </w:p>
        </w:tc>
        <w:tc>
          <w:tcPr>
            <w:tcW w:w="0" w:type="dxa"/>
            <w:vAlign w:val="bottom"/>
          </w:tcPr>
          <w:p>
            <w:pPr>
              <w:spacing w:after="0"/>
              <w:rPr>
                <w:sz w:val="1"/>
                <w:szCs w:val="1"/>
                <w:color w:val="auto"/>
              </w:rPr>
            </w:pPr>
          </w:p>
        </w:tc>
      </w:tr>
      <w:tr>
        <w:trPr>
          <w:trHeight w:val="162"/>
        </w:trPr>
        <w:tc>
          <w:tcPr>
            <w:tcW w:w="5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Proceeds from Sale of Premises and Equipment</w:t>
            </w: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1,981</w:t>
            </w: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639</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5580" w:type="dxa"/>
            <w:vAlign w:val="bottom"/>
            <w:tcBorders>
              <w:bottom w:val="single" w:sz="8" w:color="auto"/>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8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(2,373,282)</w:t>
            </w:r>
          </w:p>
        </w:tc>
        <w:tc>
          <w:tcPr>
            <w:tcW w:w="5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(773,268)</w:t>
            </w:r>
          </w:p>
        </w:tc>
        <w:tc>
          <w:tcPr>
            <w:tcW w:w="5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(74,668)</w:t>
            </w: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Change in Deposits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2,427,147</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757,241</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143,273</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Change in Short-Term Borrowings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99,811</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Other Debt</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50,000</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Repayments of Other Debt</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(75,084)</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(50,078)</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9,389</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7,872</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7,873</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(18,006)</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(137,649)</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(91,988)</w:t>
            </w:r>
          </w:p>
        </w:tc>
        <w:tc>
          <w:tcPr>
            <w:tcW w:w="0" w:type="dxa"/>
            <w:vAlign w:val="bottom"/>
          </w:tcPr>
          <w:p>
            <w:pPr>
              <w:spacing w:after="0"/>
              <w:rPr>
                <w:sz w:val="1"/>
                <w:szCs w:val="1"/>
                <w:color w:val="auto"/>
              </w:rPr>
            </w:pPr>
          </w:p>
        </w:tc>
      </w:tr>
      <w:tr>
        <w:trPr>
          <w:trHeight w:val="162"/>
        </w:trPr>
        <w:tc>
          <w:tcPr>
            <w:tcW w:w="5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Cash Dividends Paid</w:t>
            </w: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(107,434)</w:t>
            </w: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(105,478)</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(98,496)</w:t>
            </w:r>
          </w:p>
        </w:tc>
        <w:tc>
          <w:tcPr>
            <w:tcW w:w="0" w:type="dxa"/>
            <w:vAlign w:val="bottom"/>
          </w:tcPr>
          <w:p>
            <w:pPr>
              <w:spacing w:after="0"/>
              <w:rPr>
                <w:sz w:val="1"/>
                <w:szCs w:val="1"/>
                <w:color w:val="auto"/>
              </w:rPr>
            </w:pPr>
          </w:p>
        </w:tc>
      </w:tr>
      <w:tr>
        <w:trPr>
          <w:trHeight w:val="155"/>
        </w:trPr>
        <w:tc>
          <w:tcPr>
            <w:tcW w:w="5580" w:type="dxa"/>
            <w:vAlign w:val="bottom"/>
            <w:tcBorders>
              <w:bottom w:val="single" w:sz="8" w:color="auto"/>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08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2,282,296</w:t>
            </w:r>
          </w:p>
        </w:tc>
        <w:tc>
          <w:tcPr>
            <w:tcW w:w="5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571,719</w:t>
            </w:r>
          </w:p>
        </w:tc>
        <w:tc>
          <w:tcPr>
            <w:tcW w:w="5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(165,136)</w:t>
            </w: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55,430</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32,689</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78,118</w:t>
            </w:r>
          </w:p>
        </w:tc>
        <w:tc>
          <w:tcPr>
            <w:tcW w:w="0" w:type="dxa"/>
            <w:vAlign w:val="bottom"/>
          </w:tcPr>
          <w:p>
            <w:pPr>
              <w:spacing w:after="0"/>
              <w:rPr>
                <w:sz w:val="1"/>
                <w:szCs w:val="1"/>
                <w:color w:val="auto"/>
              </w:rPr>
            </w:pPr>
          </w:p>
        </w:tc>
      </w:tr>
      <w:tr>
        <w:trPr>
          <w:trHeight w:val="162"/>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558,658</w:t>
            </w: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525,969</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447,851</w:t>
            </w:r>
          </w:p>
        </w:tc>
        <w:tc>
          <w:tcPr>
            <w:tcW w:w="0" w:type="dxa"/>
            <w:vAlign w:val="bottom"/>
          </w:tcPr>
          <w:p>
            <w:pPr>
              <w:spacing w:after="0"/>
              <w:rPr>
                <w:sz w:val="1"/>
                <w:szCs w:val="1"/>
                <w:color w:val="auto"/>
              </w:rPr>
            </w:pPr>
          </w:p>
        </w:tc>
      </w:tr>
      <w:tr>
        <w:trPr>
          <w:trHeight w:val="155"/>
        </w:trPr>
        <w:tc>
          <w:tcPr>
            <w:tcW w:w="558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460" w:type="dxa"/>
            <w:vAlign w:val="bottom"/>
            <w:tcBorders>
              <w:bottom w:val="single" w:sz="8" w:color="auto"/>
            </w:tcBorders>
            <w:gridSpan w:val="2"/>
            <w:shd w:val="clear" w:color="auto" w:fill="CFF0FC"/>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614,088</w:t>
            </w:r>
          </w:p>
        </w:tc>
        <w:tc>
          <w:tcPr>
            <w:tcW w:w="540" w:type="dxa"/>
            <w:vAlign w:val="bottom"/>
            <w:tcBorders>
              <w:bottom w:val="single" w:sz="8" w:color="auto"/>
            </w:tcBorders>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558,658</w:t>
            </w:r>
          </w:p>
        </w:tc>
        <w:tc>
          <w:tcPr>
            <w:tcW w:w="500" w:type="dxa"/>
            <w:vAlign w:val="bottom"/>
            <w:tcBorders>
              <w:bottom w:val="single" w:sz="8" w:color="auto"/>
            </w:tcBorders>
            <w:shd w:val="clear" w:color="auto" w:fill="CFF0FC"/>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525,969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8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Cash Paid for Interest</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53,026</w:t>
            </w:r>
          </w:p>
        </w:tc>
        <w:tc>
          <w:tcPr>
            <w:tcW w:w="5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89,894</w:t>
            </w:r>
          </w:p>
        </w:tc>
        <w:tc>
          <w:tcPr>
            <w:tcW w:w="50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62,515</w:t>
            </w: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60,182</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58,152</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42,475</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Initial Recognition of Operating Lease Right-of-Use Assets</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106,514</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Initial Recognition of Operating Lease Liabilities</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113,394</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Transfer from Loans to Foreclosed Real Estate</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2,070</w:t>
            </w:r>
          </w:p>
        </w:tc>
        <w:tc>
          <w:tcPr>
            <w:tcW w:w="5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2,693</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Transfers from Loans to Loans Held for Sale</w:t>
            </w:r>
          </w:p>
        </w:tc>
        <w:tc>
          <w:tcPr>
            <w:tcW w:w="10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32,423</w:t>
            </w: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accounting and reporting principles of the Company conform to U.S. generally accepted accounting principles (“GAAP”) and prevailing practices within the financial services industry. 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year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Parent and its subsidiaries. The Parent’s principal operating subsidiary is Bank of Hawaii (the “Bank”). All significant intercompany accounts and transactions have been eliminated in consolidation.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the power to direct the activities of the VIE that most significantly impact the entity’s economic performance and the obligation to absorb losses or the right to receive benefits that could be significant to the VIE.</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 income range, state and/or federal income tax credits are made available to the partners. The tax credits are generally recognized over 10 years for federal and 5 years for state. In order to continue receiving the tax credits each year over the life of the partnership, the low-income residency targets must be maintained.</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Accounting Standards Update (“ASU”) No. 2014-01, </w:t>
      </w:r>
      <w:r>
        <w:rPr>
          <w:rFonts w:ascii="Times New Roman" w:cs="Times New Roman" w:eastAsia="Times New Roman" w:hAnsi="Times New Roman"/>
          <w:sz w:val="18"/>
          <w:szCs w:val="18"/>
          <w:i w:val="1"/>
          <w:iCs w:val="1"/>
          <w:color w:val="auto"/>
        </w:rPr>
        <w:t>“Accounting for Investments in Qualified Affordable Housing Projects”</w:t>
      </w:r>
      <w:r>
        <w:rPr>
          <w:rFonts w:ascii="Times New Roman" w:cs="Times New Roman" w:eastAsia="Times New Roman" w:hAnsi="Times New Roman"/>
          <w:sz w:val="18"/>
          <w:szCs w:val="18"/>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14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Unfunded commitments to fund these low-income housing partnerships were $53.0 million and $21.3 million as of December 31, 2020, and December 31, 2019, respectively. These unfunded commitments are unconditional and legally binding and are recorded in other liabilities in the consolidated statements of condition. See Note 18 </w:t>
      </w:r>
      <w:r>
        <w:rPr>
          <w:rFonts w:ascii="Times New Roman" w:cs="Times New Roman" w:eastAsia="Times New Roman" w:hAnsi="Times New Roman"/>
          <w:sz w:val="18"/>
          <w:szCs w:val="18"/>
          <w:i w:val="1"/>
          <w:iCs w:val="1"/>
          <w:color w:val="auto"/>
        </w:rPr>
        <w:t>Affordable Housing Projects Tax Credit Partnerships</w:t>
      </w:r>
      <w:r>
        <w:rPr>
          <w:rFonts w:ascii="Times New Roman" w:cs="Times New Roman" w:eastAsia="Times New Roman" w:hAnsi="Times New Roman"/>
          <w:sz w:val="18"/>
          <w:szCs w:val="18"/>
          <w:color w:val="auto"/>
        </w:rPr>
        <w:t xml:space="preserve"> for more information.</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6 years.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these entities meet the definition of a VIE,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investments in these entities are initially recorded at cost, which approximates the maximum exposure to loss as a result of the Company’s involvement with these unconsolidated entities. The balance of the Company’s investments in these entities was $143.0 million and $84.6 million as of December 31, 2020, and December 31, 2019, respectively, and is included in other assets in the consolidated statements of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Investment securities are accounted for according to their purpose and holding period. Trading securities are those that are bought and held principally for the purpose of selling them in the near term. The Company held no trading securities as of December 31, 2020 or December 31, 2019. Available-for-sale investment securities, comprised of debt and mortgage-backed securities, are those that may be sold before maturity due to changes in the Company’s interest rate risk profile or funding needs, and are reported at fair value with unrealized gains and losses, net of taxes, reported as a component of other comprehensive income. Held-to-maturity investment securities, comprised of debt and mortgage-backed securities, are those that management has the positive intent and ability to hold to maturity and are reported at amortized cost.</w:t>
      </w:r>
    </w:p>
    <w:p>
      <w:pPr>
        <w:spacing w:after="0" w:line="1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Realized gains and losses are recorded in noninterest income and are determined on a trade date basis using the specific identification method. Interest and dividends on investment securities are recognized in interest income on an accrual basis. Premiums and discounts are amortized or accreted into interest income using the interest method over the expected lives of the individual securities.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Transfers of debt securities from the available-for-sale category to the held-to-maturity category are made at fair value at the date of transfer. The unrealized holding gain or loss at the date of transfer remains in accumulated other comprehensive income and in the carrying value of the held-to-maturity investment security. Premiums or discounts on investment securities are amortized or accreted as an adjustment of yield using the interest method over the estimated life of the security. Unrealized holding gains or losses that remain in accumulated other comprehensive income are also amortized or accreted over the estimated life of the security as an adjustment of yield, offsetting the related amortization of the premium or accretion of the discount.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20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Residential mortgage loans with the intent to be sold in the secondary market are accounted for on an aggregate basis under the fair value option. Fair value is primarily determined based on quoted prices for similar loans in active markets. Non-refundable fees and direct loan origination costs related to residential mortgage loans held for sale are recognized as part of the cost basis of the loan at the time of sale. Gains and losses on sales of residential mortgage loans (sales proceeds minus carrying value) are recorded in the mortgage banking component of noninterest income.</w:t>
      </w:r>
    </w:p>
    <w:p>
      <w:pPr>
        <w:spacing w:after="0" w:line="13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Commercial loans that management has an active plan to sell are valued on an individual basis at the lower-of-cost-or fair value. Fair value is primarily determined based on quoted prices for similar loans in active markets or agreed upon sales prices. Any reduction in the loan’s value, prior to being transferred to the held-for-sale category, is reflected as a charge-off of the recorded investment in the loan resulting in a new cost basis, with a corresponding reduction in the allowance for credit losses (the “Allowance”). Further decreases in the fair value of the loan are recognized in noninterest expense.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20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Loans are reported at the principal amount outstanding, net of unearned income including unamortized deferred loan fees and costs, and cumulative net charge-offs. Interest income is recognized on an accrual basis. Loan origination fees, certain direct costs, and unearned discounts and premiums, if any, are deferred and are generally amortized into interest income as yield adjustments using the interest method over the contractual life of the loan. Loan commitment fees are generally recognized into noninterest income. Other credit-related fees are recognized as fee income, a component of noninterest income, when earned.</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lease financing arrangements, excluding leveraged leases, primarily consist of equipment and automobile leases. These lease arrangements are classified as sales-type leases despite not receiving a selling profit at lease inception. Sales-type leases are carried at the aggregate of lease payments receivable plus the estimated residual value of leased property, less unearned income. Leveraged leases are carried net of non-recourse debt. Unearned income on sales-type and leveraged leases is amortized over the lease term by methods that approximate the interest method. Residual values on leased assets are periodically reviewed for impairment.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Portfolio segments are defined as the level at which an entity develops and documents a systematic methodology to determine its allowance for credit losses. Management has designated two portfolio segments of loans and leases, commercial and consumer. These portfolio segments are further disaggregated into classes, which represent loans and leases of similar type, risk characteristics, and methods for monitoring and assessing credit risk. The commercial portfolio segment is disaggregated into four classes, commercial and industrial, commercial mortgage, construction, and lease financing. The consumer portfolio segment is also disaggregated into four classes, residential mortgage, home equity, auto, and other (which is comprised of revolving credit, installment, and consumer lease financing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Loans and Leases</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Generally, all classes of commercial loans and leases are placed on non-accrual status upon becoming contractually past due 90 days as to principal or interest (unless loans and leases are adequately secured by collateral, are in the process of collection, and are reasonably expected to result in repayment), when terms are renegotiated below market levels, or where substantial doubt about full repayment of principal or interest is evident. For residential mortgage and home equity loan classes, loans past due 120 days as to principal or interest may be placed on non-accrual status, and a partial charge-off may be recorded, depending on the collateral value and/or the collectability of the loan. For automobile and other consumer loan classes, the entire outstanding balance of the loan is charged off when the loan becomes 120 days past due as to principal or interest.</w:t>
      </w:r>
    </w:p>
    <w:p>
      <w:pPr>
        <w:spacing w:after="0" w:line="14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When a loan or lease is placed on non-accrual status, the accrued and unpaid interest receivable is reversed and the loan or lease is accounted for on the cash or cost recovery method until qualifying for return to accrual status. All payments received on non-accrual loans and leases are applied against the principal balance of the loan or lease. A loan or lease may be returned to accrual status when all delinquent interest and principal become current in accordance with the terms of the loan or lease agreement and when doubt about repayment is resolved.</w:t>
      </w:r>
    </w:p>
    <w:p>
      <w:pPr>
        <w:spacing w:after="0" w:line="1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Generally, for all classes of loans and leases, a charge-off is recorded when it is probable that a loss has been incurred and when it is possible to determine a reasonable estimate of the loss. For all classes of commercial loans and leases, a charge-off is determined on a judgmental basis after due consideration of the debtor’s prospects for repayment and the fair value of collateral. For the pooled segment of the Company’s commercial and industrial loan class, which consists of small business loans, the entire outstanding balance of the loan remains on accrual status until it is charged off during the month that the loan becomes 120 days past due as to principal or interest. As previously mentioned, for residential mortgage and home equity loan classes, a partial charge-off may be recorded at 120 days past due as to principal or interest depending on the collateral value and/or the collectability of the loan. In the event that a loan or line in the home equity loan class is behind another financial institution’s first mortgage, the entire outstanding balance of the loan is charged off when the loan becomes 120 days past due as to principal or interest, unless the combined loan-to-value ratio is 60% or less. As noted above, loans in the automobile and other consumer loan classes are charged off in its entirety upon the loan becoming 120 days past due as to principal or interest.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Modified in a Troubled Debt Restructuring</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Loans are considered to have been modified in a troubled debt restructuring when, due to a borrower’s financial difficulties, the Company makes certain concessions to the borrower that it would not otherwise consider. Modifications may include interest rate reductions, principal or interest forgiveness, forbearance, and other actions intended to minimize economic loss and to avoid foreclosure or repossession of collateral. Generally, a non-accrual loan that has been modified in a troubled debt restructuring remains on non-accrual status for a period of at least 6 months to demonstrate that the borrower is able to meet the terms of the modified loan. However, performance prior to the modification, or significant events that coincide with the modification, are included in assessing whether the borrower can meet the new terms and may result in the loan being returned to accrual status at the time of loan modification or after a shorter performance period. If the borrower’s ability to meet the revised payment schedule is uncertain, the loan remains on non-accrual status.</w:t>
      </w:r>
    </w:p>
    <w:p>
      <w:pPr>
        <w:spacing w:after="0" w:line="37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Company began offering short-term loan modifications to assist borrowers during the COVID-19 pandemic. If the modification meets certain conditions, the modification does not need to be accounted for as a TDR. See the </w:t>
      </w:r>
      <w:r>
        <w:rPr>
          <w:rFonts w:ascii="Times New Roman" w:cs="Times New Roman" w:eastAsia="Times New Roman" w:hAnsi="Times New Roman"/>
          <w:sz w:val="18"/>
          <w:szCs w:val="18"/>
          <w:i w:val="1"/>
          <w:iCs w:val="1"/>
          <w:color w:val="auto"/>
        </w:rPr>
        <w:t xml:space="preserve">Operating, Accounting and Reporting Considerations related to COVID-19 </w:t>
      </w:r>
      <w:r>
        <w:rPr>
          <w:rFonts w:ascii="Times New Roman" w:cs="Times New Roman" w:eastAsia="Times New Roman" w:hAnsi="Times New Roman"/>
          <w:sz w:val="18"/>
          <w:szCs w:val="18"/>
          <w:color w:val="auto"/>
        </w:rPr>
        <w:t>section below for more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Credit Losses</w:t>
      </w:r>
    </w:p>
    <w:p>
      <w:pPr>
        <w:spacing w:after="0" w:line="18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Company’s reserve for credit losses is comprised of the Allowance and the reserve for unfunded commitments (the “Unfunded Reserve”). As of December 31, 2020, the reserve for credit losses also included a reserve for accrued interest receivable related to loans in which interest payment forbearances were granted to borrowers impacted by the COVID-19 pandemic.</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 Loans and Leases (the “Allowance”)</w:t>
      </w:r>
    </w:p>
    <w:p>
      <w:pPr>
        <w:spacing w:after="0" w:line="20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current expected credit loss (“CECL”) approach requires an estimate of the credit losses expected over the life of an exposure (or pool of exposures). It replaces the incurred loss approach’s threshold that delayed the recognition of a credit loss until it was probable a loss event was incurred.</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estimate of expected credit losses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historical period used. The Company also considers future economic conditions and portfolio performance as part of a reasonable and supportable forecast period.</w:t>
      </w:r>
    </w:p>
    <w:p>
      <w:pPr>
        <w:spacing w:after="0" w:line="14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previously mentioned, portfolio segment is defined as the level at which an entity develops and documents a systematic methodology to determine its allowance for credit losses. The Company has designated two portfolio segments of loans and leases, commercial and consumer. These portfolio segments are further disaggregated into classes, which represent loans and leases of similar type, risk characteristics, and methods for monitoring and assessing credit risk. The commercial portfolio segment is disaggregated into four classes, commercial and industrial, commercial mortgage, construction, and lease financing. The consumer portfolio segment is also disaggregated into four classes, residential mortgage, home equity, auto, and other (which is comprised of revolving credit, installment, and consumer lease financing arrangements). Each commercial and consumer portfolio class is also segmented based on risk characteristics.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Portfolio Segment</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historical loss experience for the commercial portfolio segment is primarily determined using a Cohort method. This method pools loans into groups (“cohorts”) sharing similar risk characteristics and tracks each cohort’s historical net charge-offs to calculate a historical loss rate. The historical loss rates for each cohort are then averaged to calculate an overall historical loss rate which is applied to current loan balances to arrive at the quantitative baseline portion of the Allowance for most of the commercial portfolio segment.</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considers qualitative adjustments to the quantitative baseline. For example, the Company considers the impact of current environmental factors at the reporting date that did not exist over the period from which historical experience was used. Relevant factors include, but are not limited to, concentrations of credit risk (geographic, large borrower, and industry), economic trends and conditions, changes in underwriting standards, experience and depth of lending staff, trends in delinquencies, and the level of criticized loans.</w:t>
      </w:r>
    </w:p>
    <w:p>
      <w:pPr>
        <w:spacing w:after="0" w:line="1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also incorporates a reasonable and supportable (“R&amp;S”) loss forecast period, which is currently one year, to account for the effect of forecasted economic conditions and other factors on the performance of the commercial portfolio, which could differ from historical loss experience. The Company performs a quarterly asset quality review which includes a review of forecasted gross charge-offs and recoveries, nonperforming assets, criticized loans and leases, and risk rating migration. The asset quality review is reviewed by management and the results are used to consider a qualitative adjustments to the quantitative baseline. After the one-year R&amp;S loss forecast period, this adjustment assumes an immediate reversion to historical loss rates for the remaining expected life of the loan.</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establishes a specific reserve for individually evaluated loans which do not share similar risk characteristics with the loans included in the quantitative baseline. These individually evaluated loans are removed from the pooling approach discussed above for the quantitative baseline, and include non-accrual loans, troubled debt restructurings (“TDRs”), and other loans as deemed appropriate by management. In addition, the Company individually evaluates “reasonably expected” TDRs, which are identified by the Company as a commercial loan expected to be classified as a TDR within the next six months. Management judgment is utilized to make this determination.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Consumer Portfolio Segment</w:t>
      </w:r>
    </w:p>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historical loss experience for the consumer portfolio segment is primarily determined using a Vintage method. This method measures historical loss behavior in the form of a historical loss rate for homogenous loan pools that originate in the same period, known as a vintage. The historical loss rates are then applied to origination loan balances by vintage to determine the quantitative baseline portion of the Allowance for most of the consumer portfolio segment. The homogenous loan pools are segmented according to similar risk characteristics (e.g., residential mortgage, home equity) and may be sub-segmented further (e.g., geography, lien position) depending on the product.</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also considers qualitative adjustments to the quantitative baseline. For example, the Company considers the impact of current environmental factors at the reporting date that did not exist over the period from which historical experience was used. The environmental factors considered for the consumer portfolio are similar to the aforementioned factors considered for the commercial portfolio.</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also incorporates a one-year R&amp;S loss forecast period to account for forecasted economic conditions and other factors on the performance of the consumer portfolio which could differ from historical loss experience. The Company performs a quarterly asset quality review designed to estimate gross charge-offs and recoveries for the forecast period. Management evaluates additional factors that may not be reflected in the net charge-off forecast to determine whether a qualitative adjustment is warranted.</w:t>
      </w:r>
    </w:p>
    <w:p>
      <w:pPr>
        <w:spacing w:after="0" w:line="1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the January 1, 2020 implementation date, and following the one-year R&amp;S loss forecast period, the Company chose a reversion back to average historical loss rates using a straight line method based on forecasted and relatively benign economic conditions at the measurement date, with the exception of the home equity portfolio. For the home equity portfolio, the Company elected to revert back to average historical loss rates using a straight line method over the halfway point of the average life of the portfolio. The halfway point is used for the home equity portfolio given the longer average life length compared to the other consumer portfolios.</w:t>
      </w:r>
    </w:p>
    <w:p>
      <w:pPr>
        <w:spacing w:after="0" w:line="1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Since the first quarter of 2020, the Company has chosen an immediate reversion back to average historical loss rates following the one-year R&amp;S loss forecast period. The reversion method, however, does not reflect the potential for higher losses than pre-pandemic levels due to the impact of COVID-19 beyond the R&amp;S loss forecast period, which the Company has addressed through other qualitative adjustments.</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establishes a specific reserve for individually evaluated loans that do not share similar risk characteristics with the loans included in the quantitative baseline. These individually evaluated loans include “reasonably expected” TDRs, identified by the Company as a consumer loan for which a borrower’s application of loan modification due to hardship has been approved by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Loans and Leases and the Allowance for Credit Losses</w:t>
      </w:r>
      <w:r>
        <w:rPr>
          <w:rFonts w:ascii="Times New Roman" w:cs="Times New Roman" w:eastAsia="Times New Roman" w:hAnsi="Times New Roman"/>
          <w:sz w:val="18"/>
          <w:szCs w:val="18"/>
          <w:color w:val="auto"/>
        </w:rPr>
        <w:t xml:space="preserve">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 Held-to-Maturity (“HTM”) Debt Securities</w:t>
      </w:r>
    </w:p>
    <w:p>
      <w:pPr>
        <w:spacing w:after="0" w:line="18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Company’s HTM debt securities are also required to utilize the CECL approach to estimate expected credit losses. 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the Company did not record an allowance for credit losses for these securities.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also carries a limited portfolio of HTM municipal bonds. As of December 31, 2020, the entire portfolio consisted of State of Hawaii bonds carrying a Moody’s rating of Aa2, with a portion of these bonds escrowed to maturity. To estimate the expected credit losses, the Company utilized the probability of default (“PD”)/loss given default (“LGD”) methodology. The PD, which represents the percentage likelihood that a bond will default over a given time period, is primarily based upon the bond’s current credit rating and maturity and computed using Moody’s rating transition matrix, which provides the probability of a rating migrating to default within a one-year period (adjustments are made for longer maturities). The LGD, which represents the percentage of loss if a default occurs, is based on the median recovery rate for municipals according to Moody’s. The Company’s exposure at default, represented by the carrying value of the municipal bond portfolio, is multiplied with the PD and the LGD to arrive at the expected credit loss. Management may exercise discretion to make adjustments based on environmental factors. As of December 31, 2020, the Company determined that the expected credit loss on its municipal bond portfolio was de minimis, and therefore, an allowance for credit losses was not recorded. See Note 3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for more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 Available-for-Sale (“AFS”) Debt Securities</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 impairment model for available-for-sale (“AFS”) debt securities differs from the CECL approach utilized by HTM debt securities because AFS debt securities are measured at fair value rather than amortized cost. Although ASU No. 2016-13 replaced the legacy other-than-temporary impairment (“OTTI”) model with a credit loss model, it retained the fundamental nature of the legacy OTTI model. One notable change from the legacy OTTI model is when evaluating whether credit loss exists, an entity may no longer consider the length of time fair value has been less than amortized cost. For AFS debt securities in an unrealized loss position, the Company first assesses whether it intends to sell, or it is more likely than not that it will be required to sell the security before recovery of its amortized cost basis. If either criteria is met, the security’s amortized cost basis is written down to fair value through income. 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Changes in the allowance for credit losses are recorded as a provision for (or reversal of) credit losses. Losses are charged against the allowance when management believes the uncollectibility of an AFS security is confirmed or when either of the criteria regarding intent or requirement to sell is met. As of December 31, 2020, the Company determined that the unrealized loss positions in AFS securities were not the result of credit losses, and therefore, an allowance for credit losses was not recorded. See Note 3 </w:t>
      </w: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for more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Interest Receivable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Upon adoption of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and its related amendments on January 1, 2020,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made the following elections regarding accrued interest receivable:</w:t>
      </w:r>
    </w:p>
    <w:p>
      <w:pPr>
        <w:spacing w:after="0" w:line="166" w:lineRule="exact"/>
        <w:rPr>
          <w:sz w:val="20"/>
          <w:szCs w:val="20"/>
          <w:color w:val="auto"/>
        </w:rPr>
      </w:pPr>
    </w:p>
    <w:p>
      <w:pPr>
        <w:ind w:left="5540" w:right="1800" w:hanging="5154"/>
        <w:spacing w:after="0" w:line="532" w:lineRule="auto"/>
        <w:tabs>
          <w:tab w:leader="none" w:pos="7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accrued interest receivable balances separately within another consolidated statements of condition line item.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760" w:hanging="374"/>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accrued interest receivable that is included in the amortized cost of financing receivables from related disclosure requirements.</w:t>
      </w:r>
    </w:p>
    <w:p>
      <w:pPr>
        <w:spacing w:after="0" w:line="184" w:lineRule="exact"/>
        <w:rPr>
          <w:rFonts w:ascii="Times New Roman" w:cs="Times New Roman" w:eastAsia="Times New Roman" w:hAnsi="Times New Roman"/>
          <w:sz w:val="18"/>
          <w:szCs w:val="18"/>
          <w:color w:val="auto"/>
        </w:rPr>
      </w:pPr>
    </w:p>
    <w:p>
      <w:pPr>
        <w:ind w:left="760" w:right="100" w:hanging="374"/>
        <w:spacing w:after="0" w:line="25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policy to write off accrued interest receivable by reversing interest income. For commercial loans, the write off typically occurs upon becoming 90 days past due. For consumer loans, the write off typically occurs upon becoming 120 days past due. Historically, the Company has not experienced uncollectible accrued interest receivable on its investment securities. However, the Company would generally write off accrued interest receivable by reversing interest income if the Company does not reasonably expect to receive payments. Due to the timely manner in which accrued interest receivables are written off, the amounts of such write offs are immaterial.</w:t>
      </w:r>
    </w:p>
    <w:p>
      <w:pPr>
        <w:spacing w:after="0" w:line="142" w:lineRule="exact"/>
        <w:rPr>
          <w:rFonts w:ascii="Times New Roman" w:cs="Times New Roman" w:eastAsia="Times New Roman" w:hAnsi="Times New Roman"/>
          <w:sz w:val="18"/>
          <w:szCs w:val="18"/>
          <w:color w:val="auto"/>
        </w:rPr>
      </w:pPr>
    </w:p>
    <w:p>
      <w:pPr>
        <w:ind w:left="760" w:right="300" w:hanging="374"/>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measuring an allowance for credit losses for accrued interest receivable due to the Company’s policy of writing off uncollectible accrued interest receivable balances in a timely manner, as described above.</w:t>
      </w:r>
    </w:p>
    <w:p>
      <w:pPr>
        <w:spacing w:after="0" w:line="121" w:lineRule="exact"/>
        <w:rPr>
          <w:rFonts w:ascii="Times New Roman" w:cs="Times New Roman" w:eastAsia="Times New Roman" w:hAnsi="Times New Roman"/>
          <w:sz w:val="18"/>
          <w:szCs w:val="18"/>
          <w:color w:val="auto"/>
        </w:rPr>
      </w:pPr>
    </w:p>
    <w:p>
      <w:pPr>
        <w:ind w:left="760" w:hanging="374"/>
        <w:spacing w:after="0" w:line="25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began offering loan modifications to assist borrowers negatively impacted by the COVID-19 national emergency. In general, the Company does not classify such loans as nonperforming and continues to accrue and recognize interest income during the forbearance period. For these loans, the Company evaluates the need to record an allowance for the related accrued interest receivable balances as any amounts that may become uncollectible may not be considered written off in a timely manner. On December 31, 2020, the Company recorded a $2.7 million reserve on accrued interest receivable related to loans in which interest payment forbearances were granted to borrowers impacted by the COVID-19 pandemic. The reserve was recorded as a contra-asset against accrued interest receivable with the offset to provision for credit losses. See the </w:t>
      </w:r>
      <w:r>
        <w:rPr>
          <w:rFonts w:ascii="Times New Roman" w:cs="Times New Roman" w:eastAsia="Times New Roman" w:hAnsi="Times New Roman"/>
          <w:sz w:val="18"/>
          <w:szCs w:val="18"/>
          <w:i w:val="1"/>
          <w:iCs w:val="1"/>
          <w:color w:val="auto"/>
        </w:rPr>
        <w:t>Operating, Accounting and Reporting Considerations related to COVID-19</w:t>
      </w:r>
      <w:r>
        <w:rPr>
          <w:rFonts w:ascii="Times New Roman" w:cs="Times New Roman" w:eastAsia="Times New Roman" w:hAnsi="Times New Roman"/>
          <w:sz w:val="18"/>
          <w:szCs w:val="18"/>
          <w:color w:val="auto"/>
        </w:rPr>
        <w:t xml:space="preserve"> section below for further discussion on COVID-19 loan modifications.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Collateral-Dependent Loans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financial asset is considered collateral-dependent when the debtor is experiencing financial difficulty and repayment is expected to be provided substantially through the sale or operation of the collateral. For all classes of loans and leases deemed collateral-dependent, the Company elected the practical expedient to estimate expected credit losses based on the collateral’s fair value less cost to sell. In most cases, the Company records a partial charge-off to reduce the loan’s carrying value to the collateral’s fair value less cost to sell. Substantially all of the collateral consists of various types of real estate including residential properties; commercial properties such as retail centers, office buildings, and lodging; agriculture land; and vacant land.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Unfunded Commitments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recognized as a liability (other liabilities in the consolidated statements of condition), with adjustments to the reserve recognized in other noninterest expense in the consolidated statements of income. The Unfunded Reserve is determined by estimating future draws and applying the expected loss rates on those draws. Future draws are based on historical averages of utilization rates (i.e., the likelihood of draws taken). To estimate future draws on unfunded balances, current utilization rates are compared to historical utilization rates. If current utilization rates are below historical utilization rates, the rate difference is applied to the committed balance to estimate the future draw. Loss rates are estimated by utilizing the same loss rates calculated for the Allowance general reserves. For the commercial portfolio, the historical loss rates were calculated utilizing the Cohort methodology, while the consumer portfolio utilized the Vintage methodology.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Accounting and Reporting Considerations related to COVID-19</w:t>
      </w:r>
    </w:p>
    <w:p>
      <w:pPr>
        <w:spacing w:after="0" w:line="20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including Hawaii and the Pacific Islands. In response to this crisis, the Coronavirus Aid, Relief, and Economic Security (“CARES”) Act was passed by Congress and signed into law on March 27, 2020. The CARES Act provides an estimated $2.2 trillion to fight the COVID-19 pandemic and stimulate the economy by supporting individuals and businesses through loans, grants, tax changes, and other types of relief. Some of the provisions applicable to the Company include, but are not limited to:</w:t>
      </w:r>
    </w:p>
    <w:p>
      <w:pPr>
        <w:spacing w:after="0" w:line="137" w:lineRule="exact"/>
        <w:rPr>
          <w:sz w:val="20"/>
          <w:szCs w:val="20"/>
          <w:color w:val="auto"/>
        </w:rPr>
      </w:pPr>
    </w:p>
    <w:p>
      <w:pPr>
        <w:ind w:left="760" w:hanging="374"/>
        <w:spacing w:after="0" w:line="26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for Loan Modifications </w:t>
      </w:r>
      <w:r>
        <w:rPr>
          <w:rFonts w:ascii="Times New Roman" w:cs="Times New Roman" w:eastAsia="Times New Roman" w:hAnsi="Times New Roman"/>
          <w:sz w:val="18"/>
          <w:szCs w:val="18"/>
          <w:color w:val="auto"/>
        </w:rPr>
        <w:t>– Section 4013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CARES Act provides that a financial institution may elect to suspend (1)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 xml:space="preserve">requirements under GAAP for certain loan modifications that would otherwise be categorized as a TDR and (2) any determination that such loan modifications would be considered a TDR, including the related impairment for accounting purposes. </w:t>
      </w:r>
      <w:r>
        <w:rPr>
          <w:rFonts w:ascii="Times New Roman" w:cs="Times New Roman" w:eastAsia="Times New Roman" w:hAnsi="Times New Roman"/>
          <w:sz w:val="18"/>
          <w:szCs w:val="18"/>
          <w:color w:val="000000"/>
        </w:rPr>
        <w:t>See Note 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Loans and Leases and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 xml:space="preserve">Allowance for Credit Losses </w:t>
      </w:r>
      <w:r>
        <w:rPr>
          <w:rFonts w:ascii="Times New Roman" w:cs="Times New Roman" w:eastAsia="Times New Roman" w:hAnsi="Times New Roman"/>
          <w:sz w:val="18"/>
          <w:szCs w:val="18"/>
          <w:color w:val="000000"/>
        </w:rPr>
        <w:t>for more information.</w:t>
      </w:r>
    </w:p>
    <w:p>
      <w:pPr>
        <w:spacing w:after="0" w:line="139" w:lineRule="exact"/>
        <w:rPr>
          <w:rFonts w:ascii="Times New Roman" w:cs="Times New Roman" w:eastAsia="Times New Roman" w:hAnsi="Times New Roman"/>
          <w:sz w:val="18"/>
          <w:szCs w:val="18"/>
          <w:color w:val="auto"/>
        </w:rPr>
      </w:pPr>
    </w:p>
    <w:p>
      <w:pPr>
        <w:ind w:left="760" w:right="80" w:hanging="374"/>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Paycheck Protection Program </w:t>
      </w:r>
      <w:r>
        <w:rPr>
          <w:rFonts w:ascii="Times New Roman" w:cs="Times New Roman" w:eastAsia="Times New Roman" w:hAnsi="Times New Roman"/>
          <w:sz w:val="18"/>
          <w:szCs w:val="18"/>
          <w:color w:val="auto"/>
        </w:rPr>
        <w:t>- The CARES Act established the Paycheck Protection Program (“PPP”), an expansion of the Small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Administration’s (“SBA”) 7(a) loan program and the Economic Injury Disaster Loan Program (“EIDL”), administered directly by the SBA. On December 27, 2020 the Consolidated Appropriations Act, 2021 (“CAA”) was signed into law. The CAA provides several amendments to the PPP, including additional funding for first and second draws of PPP loans up to March 31, 2021. The Company is a participant in the PPP. See Note 4 </w:t>
      </w:r>
      <w:r>
        <w:rPr>
          <w:rFonts w:ascii="Times New Roman" w:cs="Times New Roman" w:eastAsia="Times New Roman" w:hAnsi="Times New Roman"/>
          <w:sz w:val="18"/>
          <w:szCs w:val="18"/>
          <w:i w:val="1"/>
          <w:iCs w:val="1"/>
          <w:color w:val="auto"/>
        </w:rPr>
        <w:t>Loans and Leases and the Allowance for Credit Losses</w:t>
      </w:r>
      <w:r>
        <w:rPr>
          <w:rFonts w:ascii="Times New Roman" w:cs="Times New Roman" w:eastAsia="Times New Roman" w:hAnsi="Times New Roman"/>
          <w:sz w:val="18"/>
          <w:szCs w:val="18"/>
          <w:color w:val="auto"/>
        </w:rPr>
        <w:t xml:space="preserve"> for more information.</w:t>
      </w:r>
    </w:p>
    <w:p>
      <w:pPr>
        <w:spacing w:after="0" w:line="142" w:lineRule="exact"/>
        <w:rPr>
          <w:rFonts w:ascii="Times New Roman" w:cs="Times New Roman" w:eastAsia="Times New Roman" w:hAnsi="Times New Roman"/>
          <w:sz w:val="18"/>
          <w:szCs w:val="18"/>
          <w:color w:val="auto"/>
        </w:rPr>
      </w:pPr>
    </w:p>
    <w:p>
      <w:pPr>
        <w:ind w:left="760" w:right="220" w:hanging="374"/>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Mortgage Forbearance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Under the CARES Act, through the earlier of December 31, 2020, or the termination date of the COVID-19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emergency, a borrower with a federally backed mortgage loan that is experiencing financial hardship due to COVID-19 may request a forbearance. A multifamily borrower with a federally backed multifamily mortgage loan that was current as of February 1, 2020, and is experiencing financial hardship due to COVID-19 may request forbearance on the loan for up to 30 days, with up to two additional 30-day periods at the borrower’s request.</w:t>
      </w:r>
    </w:p>
    <w:p>
      <w:pPr>
        <w:spacing w:after="0" w:line="1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Also in response to the COVID-19 pandemic, the Board of Governors of the Federal Reserve System (“FRB”), the Federal Deposit Insurance Corporation (“FDIC”), the National Credit Union Administration (“NCUA”), the Office of the Comptroller of the Currency (“OCC”), and the Consumer Financial Protection Bureau (“CFPB”), in consultation with the state financial regulators (collectively, the “agencies”) issued a joint interagency statement (issued March 22, 2020; revised statement issued April 7, 2020). Some of the provisions applicable to the Company include, but are not limited to:</w:t>
      </w:r>
    </w:p>
    <w:p>
      <w:pPr>
        <w:spacing w:after="0" w:line="137" w:lineRule="exact"/>
        <w:rPr>
          <w:sz w:val="20"/>
          <w:szCs w:val="20"/>
          <w:color w:val="auto"/>
        </w:rPr>
      </w:pPr>
    </w:p>
    <w:p>
      <w:pPr>
        <w:ind w:left="760" w:right="100" w:hanging="374"/>
        <w:spacing w:after="0" w:line="25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for Loan Modifications </w:t>
      </w:r>
      <w:r>
        <w:rPr>
          <w:rFonts w:ascii="Times New Roman" w:cs="Times New Roman" w:eastAsia="Times New Roman" w:hAnsi="Times New Roman"/>
          <w:sz w:val="18"/>
          <w:szCs w:val="18"/>
          <w:color w:val="auto"/>
        </w:rPr>
        <w:t>- Loan modifications that do not meet the conditions of the CARES Act may still qualify as a modification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does not need to be accounted for as a TDR. The agencies confirmed with FASB staff that short-term modifications made on a good faith basis in response to COVID-19 to borrowers who were current prior to any relief are not TDRs. This includes short-term modifications such as payment deferrals, fee waivers, extensions of repayment terms, or insignificant delays in payment. See Note 4 </w:t>
      </w:r>
      <w:r>
        <w:rPr>
          <w:rFonts w:ascii="Times New Roman" w:cs="Times New Roman" w:eastAsia="Times New Roman" w:hAnsi="Times New Roman"/>
          <w:sz w:val="18"/>
          <w:szCs w:val="18"/>
          <w:i w:val="1"/>
          <w:iCs w:val="1"/>
          <w:color w:val="auto"/>
        </w:rPr>
        <w:t>Loans and Leases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for more information.</w:t>
      </w:r>
    </w:p>
    <w:p>
      <w:pPr>
        <w:spacing w:after="0" w:line="142" w:lineRule="exact"/>
        <w:rPr>
          <w:rFonts w:ascii="Times New Roman" w:cs="Times New Roman" w:eastAsia="Times New Roman" w:hAnsi="Times New Roman"/>
          <w:sz w:val="18"/>
          <w:szCs w:val="18"/>
          <w:color w:val="auto"/>
        </w:rPr>
      </w:pPr>
    </w:p>
    <w:p>
      <w:pPr>
        <w:ind w:left="760" w:right="280" w:hanging="374"/>
        <w:spacing w:after="0" w:line="26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Past Due Reporting </w:t>
      </w:r>
      <w:r>
        <w:rPr>
          <w:rFonts w:ascii="Times New Roman" w:cs="Times New Roman" w:eastAsia="Times New Roman" w:hAnsi="Times New Roman"/>
          <w:sz w:val="18"/>
          <w:szCs w:val="18"/>
          <w:color w:val="auto"/>
        </w:rPr>
        <w:t>- With regard to loans not otherwise reportable as past due, financial institutions are not expected to designate loans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deferrals granted due to COVID-19 as past due because of the deferrals. A loan’s payment date is governed by the due date stipulated in the legal agreement. If a financial institution agrees to a payment deferral, these loans would not be considered past due during the period of the deferral.</w:t>
      </w:r>
    </w:p>
    <w:p>
      <w:pPr>
        <w:spacing w:after="0" w:line="139" w:lineRule="exact"/>
        <w:rPr>
          <w:rFonts w:ascii="Times New Roman" w:cs="Times New Roman" w:eastAsia="Times New Roman" w:hAnsi="Times New Roman"/>
          <w:sz w:val="18"/>
          <w:szCs w:val="18"/>
          <w:color w:val="auto"/>
        </w:rPr>
      </w:pPr>
    </w:p>
    <w:p>
      <w:pPr>
        <w:ind w:left="760" w:right="60" w:hanging="374"/>
        <w:spacing w:after="0" w:line="284"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Nonaccrual Status and Charge-offs </w:t>
      </w:r>
      <w:r>
        <w:rPr>
          <w:rFonts w:ascii="Times New Roman" w:cs="Times New Roman" w:eastAsia="Times New Roman" w:hAnsi="Times New Roman"/>
          <w:sz w:val="18"/>
          <w:szCs w:val="18"/>
          <w:color w:val="auto"/>
        </w:rPr>
        <w:t>- During short-term COVID-19 modifications, these loans generally should not be reported as nonaccrual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classified.</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Company began offering short-term loan modifications to assist borrowers during the COVID-19 pandemic. These modifications generally involve principal and/or interest payment deferrals for up to six months. These modifications generally meet the criteria of both Section 4013 of the CARES Act and the joint interagency statement, and therefore, the Company does not account for such loan modifications as TDRs. As the COVID-19 pandemic persists in negatively impacting the economy, the Company continues to offer additional loan modifications to borrowers struggling as a result of COVID-</w:t>
      </w:r>
    </w:p>
    <w:p>
      <w:pPr>
        <w:spacing w:after="0" w:line="3" w:lineRule="exact"/>
        <w:rPr>
          <w:sz w:val="20"/>
          <w:szCs w:val="20"/>
          <w:color w:val="auto"/>
        </w:rPr>
      </w:pPr>
    </w:p>
    <w:p>
      <w:pPr>
        <w:ind w:right="40" w:firstLine="8"/>
        <w:spacing w:after="0" w:line="250"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to the initial modifications granted, the additional round of loan modifications are granted specifically under Section 4013 of the CARES Act and generally involve principal and/or interest payment deferrals for up to an additional six months for commercial and consumer loans, and principal-only deferrals for up to an additional 12 months for selected commercial loans. On August 3, 2020, the Federal Financial Institutions Examination Council on behalf of its members (collectively “the FFIEC members”) issued a joint statement on additional loan accommodations related to COVID-19. The joint statement clarifies that for loan modifications in which Section 4013 is being applied, subsequent modifications could also be eligible under Section</w:t>
      </w:r>
    </w:p>
    <w:p>
      <w:pPr>
        <w:spacing w:after="0" w:line="1"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4013. To be eligible, each loan modification must be (1) related to the COVID-19 event; (2) executed on a loan that was not more than 30 days past due as of December 31, 2019; and (3) executed between March 1, 2020, and the earlier of (A) 60 days after the date of termination of the National Emergency or</w:t>
      </w: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December 31, 2020. The December 31, 2020 deadline was subsequently extended to January 1, 2022 by the CAA, 2021, which was signed into law on December 27, 2020. Substantially all of the Company’s additional round of loan modifications granted under Section 4013 of the CARES Act are in compliance with the aforementioned FFIEC requirements. Accordingly, the Company does not account for such loan modifications as TDRs.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April 2020, the FASB staff issued a Q&amp;A document on accounting for lease concessions related to the effects of the COVID-19 pandemic. The FASB staff noted that entities may elect to not evaluate whether certain concessions provided by lessors to mitigate the effects of COVID-19 on lessees are lease modifications. This option is intended to reduce the operational challenges of individually assessing every COVID-19 related lease concession to determine whether it results in having to apply Topic 842 lease modification guidance. </w:t>
      </w:r>
      <w:r>
        <w:rPr>
          <w:rFonts w:ascii="Times New Roman" w:cs="Times New Roman" w:eastAsia="Times New Roman" w:hAnsi="Times New Roman"/>
          <w:sz w:val="18"/>
          <w:szCs w:val="18"/>
          <w:color w:val="231F20"/>
        </w:rPr>
        <w:t>This election is available only for concessions related to the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 the COVID-19 pandemic that do not result in a substantial increase in either the rights of the lessor or the obligations of the lessee. For entities that choose this election, they may account for the concession as if no changes to the lease contract were made. Under that accounting, a lessor would continue to recognize income. The Company has elected to apply the relief provided by the FASB not to evaluate individual contracts. The Company also elected not to apply the lease modification framework for concessions granted.</w:t>
      </w:r>
    </w:p>
    <w:p>
      <w:pPr>
        <w:spacing w:after="0" w:line="1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231F20"/>
        </w:rPr>
        <w:t>The Company, as lessor, granted lease concessions on some of its sales-type finance leases for equipment and automobiles. Equipment lease concessions primarily consists of interest-only payments for a six-month period. Regular lease payments resume after the six-month period and the maturity date is extended by six months. Automobile lease concessions primarily consist of six-month extension programs whereby lease payments currently due are deferred and shifted to the end of the lease term. Interest income continues to accrue during the deferral period. As of December 31, 2020, the Company has not offered a material amount of additional concessions.</w:t>
      </w:r>
    </w:p>
    <w:p>
      <w:pPr>
        <w:spacing w:after="0" w:line="143"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231F20"/>
        </w:rPr>
        <w:t xml:space="preserve">The Company, as lessor, leases and subleases real property to lessee tenants under operating leases. As of December 31, 2020, no material lease concessions have been granted to lessees. The Company, as lessee, also leases </w:t>
      </w:r>
      <w:r>
        <w:rPr>
          <w:rFonts w:ascii="Times New Roman" w:cs="Times New Roman" w:eastAsia="Times New Roman" w:hAnsi="Times New Roman"/>
          <w:sz w:val="18"/>
          <w:szCs w:val="18"/>
          <w:color w:val="000000"/>
        </w:rPr>
        <w:t>real estate property for branch locations, ATM locations, and office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space. As of </w:t>
      </w:r>
      <w:r>
        <w:rPr>
          <w:rFonts w:ascii="Times New Roman" w:cs="Times New Roman" w:eastAsia="Times New Roman" w:hAnsi="Times New Roman"/>
          <w:sz w:val="18"/>
          <w:szCs w:val="18"/>
          <w:color w:val="231F20"/>
        </w:rPr>
        <w:t>December 31, 2020</w:t>
      </w:r>
      <w:r>
        <w:rPr>
          <w:rFonts w:ascii="Times New Roman" w:cs="Times New Roman" w:eastAsia="Times New Roman" w:hAnsi="Times New Roman"/>
          <w:sz w:val="18"/>
          <w:szCs w:val="18"/>
          <w:color w:val="000000"/>
        </w:rPr>
        <w:t>, the Company has not requested any lease concessions.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and due from banks, interest-bearing deposits in other banks, and funds sold. All amounts are readily convertible to cash and have maturities of less than 90 days.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Premises and Equipment</w:t>
      </w:r>
    </w:p>
    <w:p>
      <w:pPr>
        <w:spacing w:after="0" w:line="20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Premises and equipment, including leasehold improvements, are stated at cost, less accumulated depreciation and amortization. Capital leases are included in premises and equipment at the capitalized amount less accumulated amortization.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Premises and equipment are depreciated using the straight-line method over the estimated useful lives of the respective assets. Estimated useful lives generally range up to 30 years for buildings and up to 10 years for equipment. Capitalized leased assets and leasehold improvements are amortized over the shorter of the estimated useful life of the asset or the lease term. Repairs and maintenance are charged to expense as incurred, while improvements which extend the estimated useful life of the asset are capitalized and depreciated over the estimated remaining life of the asset.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Premises and equipment are periodically evaluated for impairment when events or changes in circumstances indicate the carrying amount may not be recoverable. Impairment exists when the expected undiscounted future cash flows of premises and equipment are less than its carrying amount. In that event, the Company records a loss for the difference between the carrying amount and the fair value of the asset based on quoted market prices, if applicable, or a discounted cash flow analysis.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Foreclosed Real Estate</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Foreclosed real estate consists of properties acquired through foreclosure proceedings or acceptance of a deed-in-lieu of foreclosure. These properties are recorded at fair value less estimated costs to sell the property. If the recorded investment in the loan exceeds the property’s fair value at the time of acquisition, a charge-off is recorded against the Allowance. If the fair value of the property at the time of acquisition exceeds the carrying amount of the loan, the excess is recorded either as a recovery to the Allowance if a charge-off had previously been recorded, or as a gain on initial transfer in other noninterest income. Subsequent decreases in the property’s fair value and operating expenses of the property are recognized through charges to other noninterest expense. The fair value of the property acquired is based on third party appraisals, broker price opinions, recent sales activity, or a combination thereof, subject to management judgment.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Servicing Rights</w:t>
      </w:r>
    </w:p>
    <w:p>
      <w:pPr>
        <w:spacing w:after="0" w:line="200"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Mortgage servicing rights are recognized as assets when mortgage loans are sold and the rights to service those loans are retained. Mortgage servicing rights are initially recorded at fair value by using a discounted cash flow model to calculate the present value of estimated future net servicing income.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mortgage servicing rights accounted for under the fair value method are carried on the statements of condition at fair value with changes in fair value recorded in mortgage banking income in the period in which the change occurs. Changes in the fair value of mortgage servicing rights are primarily due to changes in valuation inputs, assumptions, and the collection and realization of expected cash flows.</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mortgage servicing rights accounted for under the amortization method are initially recorded at fair value. However, these mortgage servicing rights are amortized in proportion to and over the period of estimated net servicing income. An impairment analysis is prepared on a quarterly basis by estimating the fair value of the mortgage servicing rights and comparing that value to the carrying amount. A valuation allowance is established when the carrying amount of these mortgage servicing rights exceeds fair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Goodwill is initially recorded as the excess of the purchase price over the fair value of the net assets acquired in a business combination and is subsequently evaluated at least annually for impairment. Goodwill impairment testing is performed at the reporting unit level, equivalent to a business segment or one level below. The Company has goodwill assigned to the following reporting unit: Consumer Banking.</w:t>
      </w:r>
    </w:p>
    <w:p>
      <w:pPr>
        <w:spacing w:after="0" w:line="13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The Company performs its annual evaluation of goodwill impairment in the fourth quarter of each year and on an interim basis if events or changes in circumstances indicate that there may be impairment. The Company performs a qualitative assessment to determine whether it is more likely than not that the fair value of a reporting unit is less than its carrying amount. The qualitative factors considered include, but are not limited to, macroeconomic and State of Hawaii economic conditions, industry and market conditions and trends, the Company’s financial performance, market capitalization, stock price, and any Company-specific events relevant to the assessment. If the assessment of qualitative factors indicates that it is not more likely than not that an impairment exists, no further testing is performed; otherwise an impairment test is performed. Prior to 2017, the goodwill impairment test was a two-step test. The first step compared the estimated fair value of identified reporting units with their carrying amount, including goodwill. If the estimated fair value of a reporting unit was less than the carrying value, the second step was required to determine the implied fair value of the reporting unit’s goodwill and the amount of goodwill impairment, if any. In 2017, the Company elected to early adopt ASU No. 2017-04, </w:t>
      </w:r>
      <w:r>
        <w:rPr>
          <w:rFonts w:ascii="Times New Roman" w:cs="Times New Roman" w:eastAsia="Times New Roman" w:hAnsi="Times New Roman"/>
          <w:sz w:val="18"/>
          <w:szCs w:val="18"/>
          <w:i w:val="1"/>
          <w:iCs w:val="1"/>
          <w:color w:val="auto"/>
        </w:rPr>
        <w:t>“Simplifying the Test for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w:t>
      </w:r>
      <w:r>
        <w:rPr>
          <w:rFonts w:ascii="Times New Roman" w:cs="Times New Roman" w:eastAsia="Times New Roman" w:hAnsi="Times New Roman"/>
          <w:sz w:val="18"/>
          <w:szCs w:val="18"/>
          <w:color w:val="auto"/>
        </w:rPr>
        <w:t>The guidance removed Step 2 of the goodwill impairment test. Goodwill impairment will now be the amount by which a reporting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exceeds its fair value, not to exceed the carrying amount of goodwill. All other goodwill impairment guidance remained largely unchanged. Subsequent reversals of goodwill impairment are prohibited. For the year ended December 31, 2020, the Company’s goodwill impairment evaluation, based on its qualitative assessment, indicated there was no impairment.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Equity Securities</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required to own Federal Home Loan Bank (“FHLB”) of Des Moines and Federal Reserve Bank (“FRB”) stock as a condition of membership. These non-marketable equity securities are accounted for at cost which equals par or redemption value. These securities do not have a readily determinable fair value as their ownership is restricted and there is no market for these securities. These securities can only be redeemed or sold at their par value and only to the respective issuing government supported institution or to another member institution. The Company records these non-marketable equity securities as a component of other assets, which are periodically evaluated for impairment. Management considers these non-marketable equity securities to be long-term investments. Accordingly, when evaluating these securities for impairment, management considers the ultimate recoverability of the par value rather than by recognizing temporary declines in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Bank-Owned Life Insurance</w:t>
      </w:r>
    </w:p>
    <w:p>
      <w:pPr>
        <w:spacing w:after="0" w:line="18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purchases life insurance policies on the lives of certain officers and employees and is the owner and beneficiary of the policies. The Company invests in these Bank-Owned Life Insurance (“BOLI”) policies to provide an efficient form of funding for long-term retirement and other employee benefits costs. The Company records these BOLI policies in the consolidated statements of condition at cash surrender value, with changes recorded in noninterest income in the consolidated statements of income.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securities sold under agreements to repurchase are accounted for as collateralized financing arrangements (i.e., secured borrowings) and not as a sale and subsequent repurchase of securities. The obligation to repurchase the securities is reflected as a liability in the Company’s consolidated statements of condition, while the securities underlying the securities sold under agreements to repurchase remain in the respective asset accounts. See Note 19 </w:t>
      </w:r>
      <w:r>
        <w:rPr>
          <w:rFonts w:ascii="Times New Roman" w:cs="Times New Roman" w:eastAsia="Times New Roman" w:hAnsi="Times New Roman"/>
          <w:sz w:val="18"/>
          <w:szCs w:val="18"/>
          <w:i w:val="1"/>
          <w:iCs w:val="1"/>
          <w:color w:val="auto"/>
        </w:rPr>
        <w:t>Balance Sheet Offsetting</w:t>
      </w:r>
      <w:r>
        <w:rPr>
          <w:rFonts w:ascii="Times New Roman" w:cs="Times New Roman" w:eastAsia="Times New Roman" w:hAnsi="Times New Roman"/>
          <w:sz w:val="18"/>
          <w:szCs w:val="18"/>
          <w:color w:val="auto"/>
        </w:rPr>
        <w:t xml:space="preserve"> for more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Postretirement Benefit Plans</w:t>
      </w:r>
    </w:p>
    <w:p>
      <w:pPr>
        <w:spacing w:after="0" w:line="20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incurs certain employment-related expenses associated with its two frozen pension plans and a postretirement benefit plan (the “Plans”). In order to measure the expense associated with the Plans, various assumptions are made including the discount rate, expected return on plan assets, anticipated mortality rates, and expected future healthcare costs. The assumptions are based on historical experience as well as current facts and circumstances. The Company uses a December 31 measurement date for its Plans. As of the measurement date, plan assets are determined based on fair value, generally representing observable market prices. The projected benefit obligation is primarily determined based on the present value of projected benefit distributions at an assumed discount rate.</w:t>
      </w:r>
    </w:p>
    <w:p>
      <w:pPr>
        <w:spacing w:after="0" w:line="1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periodic pension benefit costs include interest costs based on an assumed discount rate, the expected return on plan assets based on actuarially derived market-related values, and the amortization of net actuarial gains or losses. Net periodic postretirement benefit costs include service costs, interest costs based on an assumed discount rate, and the amortization of prior service credits and net actuarial gains or losses. Differences between expected and actual results in each year are included in the net actuarial gain or loss amount, which is recognized in other comprehensive income. The net actuarial gain or loss in excess of a 10% corridor is amortized in net periodic benefit cost over the average remaining expected lives of the pension plan participants and over the average remaining future service years of the postretirement benefit plan participants. The prior service credit is amortized over the average remaining service period to full eligibility for participating employees expected to receive benefits.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in its consolidated statements of condition an asset for a plan’s overfunded status or a liability for a plan’s underfunded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status. The Company also measures the Plans’ assets and obligations that determine its funded status as of the end of the year and recognizes those changes in other comprehensive income, net of tax.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Parent files a consolidated federal income tax return with the Bank and its subsidiaries. Calculation of the Company’s provision for income taxes requires the interpretation of income tax laws and regulations and the use of estimates and judgments in its determination. The Company is subject to examination by governmental authorities that may give rise to income tax issues due to differing interpretations. Changes to the liability for income taxes also occur due to changes in income tax rates, implementation of new business strategies, resolution of issues with taxing authorities, and newly enacted statutory, judicial, and regulatory guidance.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Deferred income taxes are provided to reflect the tax effect of temporary differences between financial statement carrying amounts and the corresponding tax basis of assets and liabilities. Deferred income taxes are calculated by applying enacted statutory tax rates and tax laws to future years in which temporary differences are expected to reverse. The impact on deferred tax assets and liabilities from a change in tax rates is recognized in income in the period that the tax rate change is enacted. A deferred tax valuation allowance is established if it is more likely than not that a deferred tax asset will not be realized.</w:t>
      </w:r>
    </w:p>
    <w:p>
      <w:pPr>
        <w:spacing w:after="0" w:line="1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tax sharing policy provides for the settlement of income taxes between each relevant subsidiary as if the subsidiary had filed a separate return. Payments are made to the Parent by subsidiaries with tax liabilities and subsidiaries that generate tax benefits receive payments for those benefits as used.</w:t>
      </w:r>
    </w:p>
    <w:p>
      <w:pPr>
        <w:spacing w:after="0" w:line="13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maintains reserves for certain tax positions that arise in the normal course of business. As of December 31, 2020, these positions were evaluated based on an assessment of probabilities as to the likelihood of whether a liability had been incurred. Such assessments are reviewed as events occur and adjustments to the reserves are made as appropriate. In evaluating a tax position for recognition, the Company evaluates whether it is more likely than not that a tax position will be sustained upon examination, including resolution of related appeals or litigation processes, based on the technical merits of the position. If the tax position meets the more likely than not recognition threshold, the tax position is measured and recognized in the Company’s Consolidated Financial Statements as the largest amount of tax benefit that, in management’s judgment, is greater than 50% likely of being realized upon ultimate settlement.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0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Shares of the Parent’s common stock that are repurchased are recorded in treasury stock at cost. On the date of subsequent re-issuance, the treasury stock account is reduced by the cost of such stock on a first-in, first-out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for the period. Diluted earnings per share is computed by dividing net income by the weighted average number of common shares outstanding for the period, assuming conversion of all potentially dilutive common stock equivalents.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derivative financial instruments as an end-user in connection with its risk management activities and to accommodate the needs of its customers. The Company has elected not to qualify for hedge accounting methods addressed under current provisions of GAAP. Derivative financial instruments are stated at fair value on the consolidated statements of condition with changes in fair value reported in current period earnings.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0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Company may grant share-based compensation to employees and non-employee directors in the form of restricted stock, restricted stock units and stock options. The fair value of restricted stock is determined based on the closing price of the Parent’s common stock on the date of grant. The Company recognizes compensation expense related to restricted stock on a straight-line basis over the vesting period for service-based awards, plus additional recognition of costs associated with accelerated vesting based on the projected attainment of Company performance measures. Restricted stock units (“RSUs”) are payable solely in cash which are accounted for as other liabilities in the consolidated statements of condition. The fair value of RSUs is initially valued based on the closing price of the Parent’s common stock on the date of grant and is amortized in the statement of income over the vesting period. The RSUs are subsequently remeasured in the same manner described above at the end of each reporting period until settlement. The fair value of stock options is estimated at the date of grant using the Black-Scholes option pricing model and related assumptions. The Company uses historical data to predict option exercise and employee termination behavior. Expected volatilities are based on the historical volatility of the Parent’s common stock. The expected term of options granted is derived from actual historical exercise activity and represents the period of time that options granted are expected to be outstanding. The risk-free rate is derived from the U.S. Treasury yield curve in effect at the time of grant based on the expected life of the option. The dividend yield is equal to the dividend yield of the Parent’s common stock at the time of grant. The amortization of the expense related to stock options reflects estimated forfeitures, adjusted for actual forfeiture experience. Amortization expense related to stock options is recorded in the statements of income as a component of salaries and benefits for employees and as a component of other noninterest expense for non-employee directors, with a corresponding increase to capital surplus in shareholders’ equity. As the expense related to stock options is recognized, a deferred tax asset is established that represents an estimate of future income tax deductions from the release of restrictions or the exercise of stock options.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the first time that advertising takes place. Advertising costs were $8.3 million, $6.1 million, and $6.0 million for the years ended December 31, 2020, December 31, 2019, and December 31, 2018,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has operations that are conducted in certain Pacific Islands that are denominated in U.S. dollars. These operations are classified as domestic.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Fair value measurements apply whenever GAAP requires or permits assets or liabilities to be measured at fair value either on a recurring or nonrecurring basis. Fair value is defined as the price that would be received to sell an asset or paid to transfer a liability in the principal or most advantageous market for an asset or liability in an orderly transaction between market participants at the measurement date. Fair value is based on the assumptions that management believes market participants would use when pricing an asset or liability. Fair value measurement and disclosure guidance established a three-level fair value hierarchy that prioritizes the use of inputs used in valuation methodologies. Management maximizes the use of observable inputs and minimizes the use of unobservable inputs when determining fair value measurements. Management reviews and updates the fair value hierarchy classifications of the Company’s assets and liabilities on a quarterly basis. The three-level fair value hierarchy is as follows:</w:t>
      </w:r>
    </w:p>
    <w:p>
      <w:pPr>
        <w:spacing w:after="0" w:line="189" w:lineRule="exact"/>
        <w:rPr>
          <w:sz w:val="20"/>
          <w:szCs w:val="20"/>
          <w:color w:val="auto"/>
        </w:rPr>
      </w:pPr>
    </w:p>
    <w:p>
      <w:pPr>
        <w:jc w:val="both"/>
        <w:ind w:left="960" w:right="240" w:hanging="903"/>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quoted prices, unadjusted, for identical assets or liabilities in active markets. A quoted price in an active market provides the most reliable evidence of fair value and shall be used to measure fair value whenever available. A contractually binding sales price also provides reliable evidence of fair value.</w:t>
      </w:r>
    </w:p>
    <w:p>
      <w:pPr>
        <w:spacing w:after="0" w:line="216" w:lineRule="exact"/>
        <w:rPr>
          <w:sz w:val="20"/>
          <w:szCs w:val="20"/>
          <w:color w:val="auto"/>
        </w:rPr>
      </w:pPr>
    </w:p>
    <w:p>
      <w:pPr>
        <w:ind w:left="960" w:right="660" w:hanging="903"/>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70" w:lineRule="exact"/>
        <w:rPr>
          <w:sz w:val="20"/>
          <w:szCs w:val="20"/>
          <w:color w:val="auto"/>
        </w:rPr>
      </w:pPr>
    </w:p>
    <w:p>
      <w:pPr>
        <w:ind w:left="960" w:right="80" w:hanging="903"/>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requires significant management judgment or estimation, some of which may be internally developed.</w:t>
      </w:r>
    </w:p>
    <w:p>
      <w:pPr>
        <w:spacing w:after="0" w:line="200" w:lineRule="exact"/>
        <w:rPr>
          <w:sz w:val="20"/>
          <w:szCs w:val="20"/>
          <w:color w:val="auto"/>
        </w:rPr>
      </w:pPr>
    </w:p>
    <w:p>
      <w:pPr>
        <w:spacing w:after="0" w:line="3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 xml:space="preserve"> and Note 21 </w:t>
      </w:r>
      <w:r>
        <w:rPr>
          <w:rFonts w:ascii="Times New Roman" w:cs="Times New Roman" w:eastAsia="Times New Roman" w:hAnsi="Times New Roman"/>
          <w:sz w:val="18"/>
          <w:szCs w:val="18"/>
          <w:i w:val="1"/>
          <w:iCs w:val="1"/>
          <w:color w:val="auto"/>
        </w:rPr>
        <w:t>Fair Value of Assets and Liabilities</w:t>
      </w:r>
      <w:r>
        <w:rPr>
          <w:rFonts w:ascii="Times New Roman" w:cs="Times New Roman" w:eastAsia="Times New Roman" w:hAnsi="Times New Roman"/>
          <w:sz w:val="18"/>
          <w:szCs w:val="18"/>
          <w:color w:val="auto"/>
        </w:rPr>
        <w:t xml:space="preserve"> for the required fair value measurement disclosures.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2020</w:t>
      </w:r>
    </w:p>
    <w:p>
      <w:pPr>
        <w:spacing w:after="0" w:line="19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This ASU significantly changes how entities measure credit losses for most financial assets and certain other instruments that are not measured at fair value through net income. The standard replaces the “incurred loss” approach with an “expected loss” approach known as current expected credit loss (“CECL”). CECL applies to: (1) financial assets measured at amortized cost, and (2) certain off-balance sheet credit exposures. This includes, but is not limited to, loans, leases, held-to-maturity securities, loan commitments, and financial guarantees. The CECL approach does not apply to AFS debt securities. For AFS debt securities with unrealized losses, entities measure credit losses in a similar manner to legacy GAAP except that the credit losses are now recognized as allowances rather than reductions in the amortized cost of the securities. As a result, entities will recognize improvements to estimated credit losses immediately in earnings rather than as interest income over time. ASU No. 2016-13 also changes the accounting for purchased credit-impaired debt securities and loans. ASU 2016-13 expanded or revised the disclosure requirements related to loans and debt securities. In addition, entities are required to disclose the amortized cost balance for each class of financial asset by credit quality indicator, disaggregated by the year of origination. ASU No. 2016-13 was effective for interim and annual reporting periods beginning after December 15, 2019.</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adopted the standard on January 1, 2020, and applied the standard’s provisions as a cumulative-effect adjustment to retained earnings, as of January 1, 2020 (i.e., modified retrospective approach). Upon adoption of the standard, the Company recorded a $5.1 million decrease to the reserve for credit losses, which resulted in a $3.6 million after-tax increase to retained earnings as of January 1, 2020. The tax effect resulted in an increase to deferred tax liabilities. This “Day 1” impact of CECL adoption is summarized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CECL</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Adoption</w:t>
            </w:r>
          </w:p>
        </w:tc>
        <w:tc>
          <w:tcPr>
            <w:tcW w:w="4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January 1,</w:t>
            </w:r>
          </w:p>
        </w:tc>
      </w:tr>
      <w:tr>
        <w:trPr>
          <w:trHeight w:val="215"/>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w:t>
            </w:r>
          </w:p>
        </w:tc>
        <w:tc>
          <w:tcPr>
            <w:tcW w:w="2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73,801</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(18,789)</w:t>
            </w: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55,012</w:t>
            </w:r>
          </w:p>
        </w:tc>
      </w:tr>
      <w:tr>
        <w:trPr>
          <w:trHeight w:val="216"/>
        </w:trPr>
        <w:tc>
          <w:tcPr>
            <w:tcW w:w="46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2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36,226</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17,052</w:t>
            </w: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53,278</w:t>
            </w: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Allowance for Credit Losses</w:t>
            </w:r>
          </w:p>
        </w:tc>
        <w:tc>
          <w:tcPr>
            <w:tcW w:w="222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110,027</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4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108,290</w:t>
            </w:r>
          </w:p>
        </w:tc>
      </w:tr>
      <w:tr>
        <w:trPr>
          <w:trHeight w:val="215"/>
        </w:trPr>
        <w:tc>
          <w:tcPr>
            <w:tcW w:w="46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Reserve for Unfunded Commitments</w:t>
            </w:r>
          </w:p>
        </w:tc>
        <w:tc>
          <w:tcPr>
            <w:tcW w:w="2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6,822</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3,487</w:t>
            </w:r>
          </w:p>
        </w:tc>
      </w:tr>
      <w:tr>
        <w:trPr>
          <w:trHeight w:val="250"/>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Reserve for Credit Losses</w:t>
            </w:r>
          </w:p>
        </w:tc>
        <w:tc>
          <w:tcPr>
            <w:tcW w:w="2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116,849</w:t>
            </w:r>
          </w:p>
        </w:tc>
        <w:tc>
          <w:tcPr>
            <w:tcW w:w="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(5,072)</w:t>
            </w:r>
          </w:p>
        </w:tc>
        <w:tc>
          <w:tcPr>
            <w:tcW w:w="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111,777</w:t>
            </w:r>
          </w:p>
        </w:tc>
      </w:tr>
      <w:tr>
        <w:trPr>
          <w:trHeight w:val="198"/>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2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3"/>
        </w:trPr>
        <w:tc>
          <w:tcPr>
            <w:tcW w:w="4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Pre-tax Impact</w:t>
            </w: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5,072</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6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Tax Effect</w:t>
            </w:r>
          </w:p>
        </w:tc>
        <w:tc>
          <w:tcPr>
            <w:tcW w:w="2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1"/>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Increase to Retained Earnings</w:t>
            </w:r>
          </w:p>
        </w:tc>
        <w:tc>
          <w:tcPr>
            <w:tcW w:w="2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3,632</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did not record an allowance for AFS or HTM securities on Day 1 as the investment portfolio consists primarily of debt securities explicitly or implicitly backed by the U.S. Government for which credit risk is deemed minimal. The impact going forward will depend on the composition, characteristics, and credit quality of the loan and securities portfolios as well as the economic conditions at future reporting periods. See Note 3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and Note 4</w:t>
      </w:r>
      <w:r>
        <w:rPr>
          <w:rFonts w:ascii="Times New Roman" w:cs="Times New Roman" w:eastAsia="Times New Roman" w:hAnsi="Times New Roman"/>
          <w:sz w:val="18"/>
          <w:szCs w:val="18"/>
          <w:i w:val="1"/>
          <w:iCs w:val="1"/>
          <w:color w:val="auto"/>
        </w:rPr>
        <w:t xml:space="preserve"> Loans and Leases and the Allowance for Credit Losses </w:t>
      </w:r>
      <w:r>
        <w:rPr>
          <w:rFonts w:ascii="Times New Roman" w:cs="Times New Roman" w:eastAsia="Times New Roman" w:hAnsi="Times New Roman"/>
          <w:sz w:val="18"/>
          <w:szCs w:val="18"/>
          <w:color w:val="auto"/>
        </w:rPr>
        <w:t>for more information.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“Disclosure Framework - Changes to the Disclosure Requirements for Fair Value</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This ASU eliminates, adds and modifies certain disclosure requirements for fair value measurements. Among the changes, entities will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be required to disclose the amount of and reasons for transfers between Level 1 and Level 2 of the fair value hierarchy, but will be required to disclose the range and weighted average used to develop significant unobservable inputs for Level 3 fair value measurements. ASU No. 2018-13 was effective for interim and annual reporting periods beginning after December 15, 2019; early adoption is permitted. As ASU No. 2018-13 only revises disclosure requirements, it did not have a material impact on the Company’s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April 2019, the FASB issued ASU No. 2019-04, </w:t>
      </w:r>
      <w:r>
        <w:rPr>
          <w:rFonts w:ascii="Times New Roman" w:cs="Times New Roman" w:eastAsia="Times New Roman" w:hAnsi="Times New Roman"/>
          <w:sz w:val="18"/>
          <w:szCs w:val="18"/>
          <w:i w:val="1"/>
          <w:iCs w:val="1"/>
          <w:color w:val="auto"/>
        </w:rPr>
        <w:t>“Codification Improvements to Topic 326, Financial Instruments - Credit Losses, Topic 815,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and Topic 825, Financial Instruments.” </w:t>
      </w:r>
      <w:r>
        <w:rPr>
          <w:rFonts w:ascii="Times New Roman" w:cs="Times New Roman" w:eastAsia="Times New Roman" w:hAnsi="Times New Roman"/>
          <w:sz w:val="18"/>
          <w:szCs w:val="18"/>
          <w:color w:val="auto"/>
        </w:rPr>
        <w:t>With respect to Topic 326, ASU 2019-04 clarifies the scope of the credit losses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addresses issues related to accrued interest receivable balances, recoveries, variable interest rates and prepayments, among other things. The Company made the accounting policy elections not to measure an allowance for credit losses on accrued interest receivable, to write-off accrued interest amounts by reversing interest income, and to present accrued interest receivable separately from the related financial asset on the statements of financial condition. The amendments to Topic 326 were adopted concurrently with ASU 2016-13 on January 1, 2020. The financial statement impact in regards to the amendments to Topic 326 are incorporated within ASU 2016-13 mentioned above. With respect to Topic 825, on recognizing and measuring financial instruments, ASU 2019-04 addresses the scope of the guidance, the requirement for remeasurement under ASC 820 when using the measurement alternative, certain disclosure requirements and which equity securities have to be remeasured at historical exchange rates. The amendments to Topic 825 were effective for interim and annual reporting periods beginning after December 15, 2019, and did not have a material impact on the Company’s Consolidated Financial Statements. The Company elected to early adopt the amendments to Topic 815 in June 2019. See Note 1 to the Company’s Annual Report on Form 10-K for the year ended December 31, 2019, for more information.</w:t>
      </w:r>
    </w:p>
    <w:p>
      <w:pPr>
        <w:spacing w:after="0" w:line="16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May 2019, the FASB issued ASU No. 2019-05, </w:t>
      </w:r>
      <w:r>
        <w:rPr>
          <w:rFonts w:ascii="Times New Roman" w:cs="Times New Roman" w:eastAsia="Times New Roman" w:hAnsi="Times New Roman"/>
          <w:sz w:val="18"/>
          <w:szCs w:val="18"/>
          <w:i w:val="1"/>
          <w:iCs w:val="1"/>
          <w:color w:val="auto"/>
        </w:rPr>
        <w:t>“Financial Instruments - Credit Losses (Topic 326); Targeted Transition Relief.”</w:t>
      </w:r>
      <w:r>
        <w:rPr>
          <w:rFonts w:ascii="Times New Roman" w:cs="Times New Roman" w:eastAsia="Times New Roman" w:hAnsi="Times New Roman"/>
          <w:sz w:val="18"/>
          <w:szCs w:val="18"/>
          <w:color w:val="auto"/>
        </w:rPr>
        <w:t xml:space="preserve"> This ASU allows entities to irrevocably elect, upon adoption of ASU 2016-13, the fair value option on financial instruments that (1) were previously recorded at amortized cost and (2) are within the scope of ASC 326-20 if the instruments are eligible for the fair value option under ASC 825-10. The fair value option election does not apply to HTM debt securities. Entities are required to make this election on an instrument-by-instrument basis. ASU 2019-05 was adopted concurrently with ASU 2016-13 on January 1, 2020. The Company did not elect the fair value option, and therefore, ASU 2019-05 did not impact the Company’s Consolidated Financial Statements.</w:t>
      </w:r>
    </w:p>
    <w:p>
      <w:pPr>
        <w:spacing w:after="0" w:line="1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2019, the FASB issued ASU No. 2019-11, </w:t>
      </w:r>
      <w:r>
        <w:rPr>
          <w:rFonts w:ascii="Times New Roman" w:cs="Times New Roman" w:eastAsia="Times New Roman" w:hAnsi="Times New Roman"/>
          <w:sz w:val="18"/>
          <w:szCs w:val="18"/>
          <w:i w:val="1"/>
          <w:iCs w:val="1"/>
          <w:color w:val="auto"/>
        </w:rPr>
        <w:t>“Codification Improvements to Topic 326, Financial Instruments - Credit Losses.”</w:t>
      </w:r>
      <w:r>
        <w:rPr>
          <w:rFonts w:ascii="Times New Roman" w:cs="Times New Roman" w:eastAsia="Times New Roman" w:hAnsi="Times New Roman"/>
          <w:sz w:val="18"/>
          <w:szCs w:val="18"/>
          <w:color w:val="auto"/>
        </w:rPr>
        <w:t xml:space="preserve"> This ASU requires entities to include certain expected recoveries of the amortized cost basis previously written off, or expected to be written off, in the allowance for credit losses for purchased credit-deteriorated (“PCD”) financial assets. It also provides transition relief related to TDRs, allows entities to exclude accrued interest amounts from certain required disclosures and clarifies the requirements for applying the collateral maintenance practical expedient. ASU 2019-11 was adopted concurrently with ASU 2016-13 on January 1, 2020, and did not have a material impact to the Company’s Consolidated Financial Statements.</w:t>
      </w:r>
    </w:p>
    <w:p>
      <w:pPr>
        <w:spacing w:after="0" w:line="143"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 xml:space="preserve">In January 2021, the FASB issued ASU No. 2021-01, </w:t>
      </w:r>
      <w:r>
        <w:rPr>
          <w:rFonts w:ascii="Times New Roman" w:cs="Times New Roman" w:eastAsia="Times New Roman" w:hAnsi="Times New Roman"/>
          <w:sz w:val="17"/>
          <w:szCs w:val="17"/>
          <w:i w:val="1"/>
          <w:iCs w:val="1"/>
          <w:color w:val="auto"/>
        </w:rPr>
        <w:t>“Reference Rate Reform (Topic 848): Scope.”</w:t>
      </w:r>
      <w:r>
        <w:rPr>
          <w:rFonts w:ascii="Times New Roman" w:cs="Times New Roman" w:eastAsia="Times New Roman" w:hAnsi="Times New Roman"/>
          <w:sz w:val="17"/>
          <w:szCs w:val="17"/>
          <w:color w:val="auto"/>
        </w:rPr>
        <w:t xml:space="preserve"> This ASU clarifies that all derivative instruments affected by changes to the interest rates used for discounting, margining or contract price alignment due to reference rate reform are in the scope of ASC</w:t>
      </w:r>
    </w:p>
    <w:p>
      <w:pPr>
        <w:spacing w:after="0" w:line="1" w:lineRule="exact"/>
        <w:rPr>
          <w:sz w:val="20"/>
          <w:szCs w:val="20"/>
          <w:color w:val="auto"/>
        </w:rPr>
      </w:pPr>
    </w:p>
    <w:p>
      <w:pPr>
        <w:ind w:right="20" w:firstLine="8"/>
        <w:spacing w:after="0" w:line="251" w:lineRule="auto"/>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may apply certain optional expedients in ASC 848 to derivative instruments that do not reference LIBOR or another rate expected to be discontinued as a result of reference rate reform if there is a change to the interest rate used for discounting, margining or contract price alignment. The ASU also clarifies other aspects of ASC 848 and provides new guidance on how to address the effects of the cash compensation adjustment that is provided as part of the above change on certain aspects of hedge accounting. ASU 2021-01 is intended to reduce diversity in practice related to accounting for (1) modifications to the terms of affected derivatives and (2) existing hedging relationships in which the affected derivatives are designated as hedging instruments. ASU 2021-01 is effective upon issuance and generally can be applied through December 31, 2022, similar to the rest of the relief provided under ASC 848. Entities may elect to apply the guidance on contract modifications either (1) retrospectively as of any date from the beginning of any interim period that includes March 12, 2020 or (2) prospectively to new modifications from any date in an interim period that includes or is after January 7, 2021, up to the date that financial statements are available to be issued. The Company elected to adopt the guidance on contract modifications retrospectively as of October 1, 2020, and it did not have a material impact on the Company’s Consolidated Financial Statements. Entities may elect to apply the guidance on hedge accounting to eligible hedging relationships that existed as of the beginning of an interim period that includes March 12, 2020 and to those entered into after the beginning of the interim period that includes that date. As the Company currently does not utilize hedge accounting, the guidance on hedge accounting is currently not applicable.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Restrictions on Cash and Cash and Cash Equivalents</w:t>
      </w:r>
    </w:p>
    <w:p>
      <w:pPr>
        <w:spacing w:after="0" w:line="20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is required to maintain cash on hand or on deposit with the Federal Reserve Bank based on the amount of certain customer deposits, mainly checking accounts. There was no required reserve balance as of December 31, 2020. The Bank’s average required reserve balances was $68.4 million as of December 31, 2019.</w:t>
      </w:r>
    </w:p>
    <w:p>
      <w:pPr>
        <w:spacing w:after="0" w:line="135"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Deposits in Other Banks</w:t>
            </w:r>
          </w:p>
        </w:tc>
        <w:tc>
          <w:tcPr>
            <w:tcW w:w="278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1,646</w:t>
            </w:r>
          </w:p>
        </w:tc>
        <w:tc>
          <w:tcPr>
            <w:tcW w:w="58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4,979</w:t>
            </w:r>
          </w:p>
        </w:tc>
      </w:tr>
      <w:tr>
        <w:trPr>
          <w:trHeight w:val="21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Funds Sold</w:t>
            </w:r>
          </w:p>
        </w:tc>
        <w:tc>
          <w:tcPr>
            <w:tcW w:w="278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333,022</w:t>
            </w:r>
          </w:p>
        </w:tc>
        <w:tc>
          <w:tcPr>
            <w:tcW w:w="58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254,574</w:t>
            </w:r>
          </w:p>
        </w:tc>
      </w:tr>
      <w:tr>
        <w:trPr>
          <w:trHeight w:val="216"/>
        </w:trPr>
        <w:tc>
          <w:tcPr>
            <w:tcW w:w="50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Due From Banks</w:t>
            </w:r>
          </w:p>
        </w:tc>
        <w:tc>
          <w:tcPr>
            <w:tcW w:w="27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279,420</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299,105</w:t>
            </w:r>
          </w:p>
        </w:tc>
      </w:tr>
      <w:tr>
        <w:trPr>
          <w:trHeight w:val="21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Cash and Cash Equivalents</w:t>
            </w:r>
          </w:p>
        </w:tc>
        <w:tc>
          <w:tcPr>
            <w:tcW w:w="2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614,088</w:t>
            </w:r>
          </w:p>
        </w:tc>
        <w:tc>
          <w:tcPr>
            <w:tcW w:w="5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558,658</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and fair value of the Company’s investment securities as of December 31, 2020, December 31, 2019, and December 31, 2018,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440" w:type="dxa"/>
            <w:vAlign w:val="bottom"/>
          </w:tcPr>
          <w:p>
            <w:pPr>
              <w:spacing w:after="0"/>
              <w:rPr>
                <w:sz w:val="12"/>
                <w:szCs w:val="12"/>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47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4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40" w:type="dxa"/>
            <w:vAlign w:val="bottom"/>
          </w:tcPr>
          <w:p>
            <w:pPr>
              <w:spacing w:after="0"/>
              <w:rPr>
                <w:sz w:val="11"/>
                <w:szCs w:val="11"/>
                <w:color w:val="auto"/>
              </w:rPr>
            </w:pPr>
          </w:p>
        </w:tc>
        <w:tc>
          <w:tcPr>
            <w:tcW w:w="9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6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55"/>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Cost</w:t>
            </w: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Gains</w:t>
            </w: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42"/>
        </w:trPr>
        <w:tc>
          <w:tcPr>
            <w:tcW w:w="4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2020</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Available-for-Sale:</w:t>
            </w: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Securities Issued by the U.S. Treasury and Government Agencies</w:t>
            </w:r>
          </w:p>
        </w:tc>
        <w:tc>
          <w:tcPr>
            <w:tcW w:w="142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174,409</w:t>
            </w:r>
          </w:p>
        </w:tc>
        <w:tc>
          <w:tcPr>
            <w:tcW w:w="4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427</w:t>
            </w:r>
          </w:p>
        </w:tc>
        <w:tc>
          <w:tcPr>
            <w:tcW w:w="4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(591)</w:t>
            </w:r>
          </w:p>
        </w:tc>
        <w:tc>
          <w:tcPr>
            <w:tcW w:w="46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174,245</w:t>
            </w: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States and Political Subdivisions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23,540</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1,301</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24,840</w:t>
            </w: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Securities Issued by U.S. Government-Sponsored Enterprises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985</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77</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1,062</w:t>
            </w: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220,717</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4,844</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(956)</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224,605</w:t>
            </w:r>
          </w:p>
        </w:tc>
      </w:tr>
      <w:tr>
        <w:trPr>
          <w:trHeight w:val="14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r>
      <w:tr>
        <w:trPr>
          <w:trHeight w:val="148"/>
        </w:trPr>
        <w:tc>
          <w:tcPr>
            <w:tcW w:w="4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Residential - Government Agencies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1,561,603</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33,657</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(445)</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1,594,815</w:t>
            </w:r>
          </w:p>
        </w:tc>
      </w:tr>
      <w:tr>
        <w:trPr>
          <w:trHeight w:val="148"/>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Residential - U.S. Government-Sponsored Enterprises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1,497,353</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21,254</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(324)</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1,518,283</w:t>
            </w:r>
          </w:p>
        </w:tc>
      </w:tr>
      <w:tr>
        <w:trPr>
          <w:trHeight w:val="148"/>
        </w:trPr>
        <w:tc>
          <w:tcPr>
            <w:tcW w:w="4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Commercial - Government Agencies</w:t>
            </w:r>
          </w:p>
        </w:tc>
        <w:tc>
          <w:tcPr>
            <w:tcW w:w="1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243,029</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10,868</w:t>
            </w: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(58)</w:t>
            </w: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253,839</w:t>
            </w:r>
          </w:p>
        </w:tc>
      </w:tr>
      <w:tr>
        <w:trPr>
          <w:trHeight w:val="142"/>
        </w:trPr>
        <w:tc>
          <w:tcPr>
            <w:tcW w:w="472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Mortgage-Backed Securities</w:t>
            </w:r>
          </w:p>
        </w:tc>
        <w:tc>
          <w:tcPr>
            <w:tcW w:w="14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3,301,985</w:t>
            </w:r>
          </w:p>
        </w:tc>
        <w:tc>
          <w:tcPr>
            <w:tcW w:w="4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65,779</w:t>
            </w:r>
          </w:p>
        </w:tc>
        <w:tc>
          <w:tcPr>
            <w:tcW w:w="4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(827)</w:t>
            </w:r>
          </w:p>
        </w:tc>
        <w:tc>
          <w:tcPr>
            <w:tcW w:w="4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3,366,937</w:t>
            </w:r>
          </w:p>
        </w:tc>
      </w:tr>
      <w:tr>
        <w:trPr>
          <w:trHeight w:val="182"/>
        </w:trPr>
        <w:tc>
          <w:tcPr>
            <w:tcW w:w="47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4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3,721,636</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72,428</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(2,375)</w:t>
            </w:r>
          </w:p>
        </w:tc>
        <w:tc>
          <w:tcPr>
            <w:tcW w:w="4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3,791,689</w:t>
            </w:r>
          </w:p>
        </w:tc>
      </w:tr>
      <w:tr>
        <w:trPr>
          <w:trHeight w:val="129"/>
        </w:trPr>
        <w:tc>
          <w:tcPr>
            <w:tcW w:w="4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Held-to-Maturity:</w:t>
            </w:r>
          </w:p>
        </w:tc>
        <w:tc>
          <w:tcPr>
            <w:tcW w:w="14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the U.S. Treasury and Government Agencies</w:t>
            </w: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7,500</w:t>
            </w:r>
          </w:p>
        </w:tc>
        <w:tc>
          <w:tcPr>
            <w:tcW w:w="4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4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w:t>
            </w:r>
          </w:p>
        </w:tc>
        <w:tc>
          <w:tcPr>
            <w:tcW w:w="4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7,500</w:t>
            </w: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Securities Issued by States and Political Subdivisions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33,763</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741</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34,504</w:t>
            </w: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12,031</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251</w:t>
            </w:r>
          </w:p>
        </w:tc>
        <w:tc>
          <w:tcPr>
            <w:tcW w:w="440" w:type="dxa"/>
            <w:vAlign w:val="bottom"/>
          </w:tcPr>
          <w:p>
            <w:pPr>
              <w:spacing w:after="0"/>
              <w:rPr>
                <w:sz w:val="12"/>
                <w:szCs w:val="12"/>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12,282</w:t>
            </w:r>
          </w:p>
        </w:tc>
      </w:tr>
      <w:tr>
        <w:trPr>
          <w:trHeight w:val="14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r>
      <w:tr>
        <w:trPr>
          <w:trHeight w:val="148"/>
        </w:trPr>
        <w:tc>
          <w:tcPr>
            <w:tcW w:w="4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Residential - Government Agencies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917,459</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30,580</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(29)</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948,010</w:t>
            </w:r>
          </w:p>
        </w:tc>
      </w:tr>
      <w:tr>
        <w:trPr>
          <w:trHeight w:val="148"/>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Residential - U.S. Government-Sponsored Enterprises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2,099,053</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51,735</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(291)</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2,150,497</w:t>
            </w:r>
          </w:p>
        </w:tc>
      </w:tr>
      <w:tr>
        <w:trPr>
          <w:trHeight w:val="148"/>
        </w:trPr>
        <w:tc>
          <w:tcPr>
            <w:tcW w:w="4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Commercial - Government Agencies</w:t>
            </w:r>
          </w:p>
        </w:tc>
        <w:tc>
          <w:tcPr>
            <w:tcW w:w="1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192,921</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3,179</w:t>
            </w: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(200)</w:t>
            </w: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195,900</w:t>
            </w:r>
          </w:p>
        </w:tc>
      </w:tr>
      <w:tr>
        <w:trPr>
          <w:trHeight w:val="142"/>
        </w:trPr>
        <w:tc>
          <w:tcPr>
            <w:tcW w:w="472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Mortgage-Backed Securities</w:t>
            </w:r>
          </w:p>
        </w:tc>
        <w:tc>
          <w:tcPr>
            <w:tcW w:w="14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3,209,433</w:t>
            </w:r>
          </w:p>
        </w:tc>
        <w:tc>
          <w:tcPr>
            <w:tcW w:w="4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85,494</w:t>
            </w:r>
          </w:p>
        </w:tc>
        <w:tc>
          <w:tcPr>
            <w:tcW w:w="4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(520)</w:t>
            </w:r>
          </w:p>
        </w:tc>
        <w:tc>
          <w:tcPr>
            <w:tcW w:w="4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3,294,407</w:t>
            </w:r>
          </w:p>
        </w:tc>
      </w:tr>
      <w:tr>
        <w:trPr>
          <w:trHeight w:val="182"/>
        </w:trPr>
        <w:tc>
          <w:tcPr>
            <w:tcW w:w="47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4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3,262,727</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86,494</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(528)</w:t>
            </w:r>
          </w:p>
        </w:tc>
        <w:tc>
          <w:tcPr>
            <w:tcW w:w="4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3,348,693</w:t>
            </w:r>
          </w:p>
        </w:tc>
      </w:tr>
      <w:tr>
        <w:trPr>
          <w:trHeight w:val="129"/>
        </w:trPr>
        <w:tc>
          <w:tcPr>
            <w:tcW w:w="4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December 31, 2019</w:t>
            </w:r>
          </w:p>
        </w:tc>
        <w:tc>
          <w:tcPr>
            <w:tcW w:w="14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Available-for-Sale:</w:t>
            </w: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Securities Issued by the U.S. Treasury and Government Agencies</w:t>
            </w:r>
          </w:p>
        </w:tc>
        <w:tc>
          <w:tcPr>
            <w:tcW w:w="142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222,365</w:t>
            </w:r>
          </w:p>
        </w:tc>
        <w:tc>
          <w:tcPr>
            <w:tcW w:w="4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213</w:t>
            </w:r>
          </w:p>
        </w:tc>
        <w:tc>
          <w:tcPr>
            <w:tcW w:w="4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(1,447)</w:t>
            </w:r>
          </w:p>
        </w:tc>
        <w:tc>
          <w:tcPr>
            <w:tcW w:w="46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221,131</w:t>
            </w: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States and Political Subdivisions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54,480</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631</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55,097</w:t>
            </w: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Securities Issued by U.S. Government-Sponsored Enterprises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22,128</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22,147</w:t>
            </w:r>
          </w:p>
        </w:tc>
      </w:tr>
      <w:tr>
        <w:trPr>
          <w:trHeight w:val="149"/>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335,553</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1,401</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(633)</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336,321</w:t>
            </w: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r>
      <w:tr>
        <w:trPr>
          <w:trHeight w:val="149"/>
        </w:trPr>
        <w:tc>
          <w:tcPr>
            <w:tcW w:w="4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Residential - Government Agencies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1,164,466</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11,627</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(3,267)</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1,172,826</w:t>
            </w:r>
          </w:p>
        </w:tc>
      </w:tr>
      <w:tr>
        <w:trPr>
          <w:trHeight w:val="148"/>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Residential - U.S. Government-Sponsored Enterprises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584,272</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4,363</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(1,874)</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586,761</w:t>
            </w:r>
          </w:p>
        </w:tc>
      </w:tr>
      <w:tr>
        <w:trPr>
          <w:trHeight w:val="149"/>
        </w:trPr>
        <w:tc>
          <w:tcPr>
            <w:tcW w:w="4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Commercial - Government Agencies</w:t>
            </w:r>
          </w:p>
        </w:tc>
        <w:tc>
          <w:tcPr>
            <w:tcW w:w="1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224,372</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2,889</w:t>
            </w: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(2,541)</w:t>
            </w: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224,720</w:t>
            </w:r>
          </w:p>
        </w:tc>
      </w:tr>
      <w:tr>
        <w:trPr>
          <w:trHeight w:val="142"/>
        </w:trPr>
        <w:tc>
          <w:tcPr>
            <w:tcW w:w="472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Mortgage-Backed Securities</w:t>
            </w:r>
          </w:p>
        </w:tc>
        <w:tc>
          <w:tcPr>
            <w:tcW w:w="14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1,973,110</w:t>
            </w:r>
          </w:p>
        </w:tc>
        <w:tc>
          <w:tcPr>
            <w:tcW w:w="4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18,879</w:t>
            </w:r>
          </w:p>
        </w:tc>
        <w:tc>
          <w:tcPr>
            <w:tcW w:w="4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(7,682)</w:t>
            </w:r>
          </w:p>
        </w:tc>
        <w:tc>
          <w:tcPr>
            <w:tcW w:w="4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1,984,307</w:t>
            </w:r>
          </w:p>
        </w:tc>
      </w:tr>
      <w:tr>
        <w:trPr>
          <w:trHeight w:val="182"/>
        </w:trPr>
        <w:tc>
          <w:tcPr>
            <w:tcW w:w="47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4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2,607,636</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21,143</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(9,776)</w:t>
            </w:r>
          </w:p>
        </w:tc>
        <w:tc>
          <w:tcPr>
            <w:tcW w:w="4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2,619,003</w:t>
            </w:r>
          </w:p>
        </w:tc>
      </w:tr>
      <w:tr>
        <w:trPr>
          <w:trHeight w:val="129"/>
        </w:trPr>
        <w:tc>
          <w:tcPr>
            <w:tcW w:w="4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Held-to-Maturity:</w:t>
            </w:r>
          </w:p>
        </w:tc>
        <w:tc>
          <w:tcPr>
            <w:tcW w:w="14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the U.S. Treasury and Government Agencies</w:t>
            </w: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274,375</w:t>
            </w:r>
          </w:p>
        </w:tc>
        <w:tc>
          <w:tcPr>
            <w:tcW w:w="4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1,319</w:t>
            </w:r>
          </w:p>
        </w:tc>
        <w:tc>
          <w:tcPr>
            <w:tcW w:w="4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(31)</w:t>
            </w:r>
          </w:p>
        </w:tc>
        <w:tc>
          <w:tcPr>
            <w:tcW w:w="4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275,663</w:t>
            </w: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Securities Issued by States and Political Subdivisions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54,811</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1,236</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56,047</w:t>
            </w:r>
          </w:p>
        </w:tc>
      </w:tr>
      <w:tr>
        <w:trPr>
          <w:trHeight w:val="149"/>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14,975</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(138)</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14,837</w:t>
            </w: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r>
      <w:tr>
        <w:trPr>
          <w:trHeight w:val="149"/>
        </w:trPr>
        <w:tc>
          <w:tcPr>
            <w:tcW w:w="4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Residential - Government Agencies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1,067,416</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13,247</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(5,348)</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1,075,315</w:t>
            </w:r>
          </w:p>
        </w:tc>
      </w:tr>
      <w:tr>
        <w:trPr>
          <w:trHeight w:val="148"/>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Residential - U.S. Government-Sponsored Enterprises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1,546,479</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13,871</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(2,478)</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1,557,872</w:t>
            </w:r>
          </w:p>
        </w:tc>
      </w:tr>
      <w:tr>
        <w:trPr>
          <w:trHeight w:val="148"/>
        </w:trPr>
        <w:tc>
          <w:tcPr>
            <w:tcW w:w="4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Commercial - Government Agencies</w:t>
            </w:r>
          </w:p>
        </w:tc>
        <w:tc>
          <w:tcPr>
            <w:tcW w:w="1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84,238</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317</w:t>
            </w: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(1,407)</w:t>
            </w: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83,148</w:t>
            </w:r>
          </w:p>
        </w:tc>
      </w:tr>
      <w:tr>
        <w:trPr>
          <w:trHeight w:val="142"/>
        </w:trPr>
        <w:tc>
          <w:tcPr>
            <w:tcW w:w="472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Mortgage-Backed Securities</w:t>
            </w:r>
          </w:p>
        </w:tc>
        <w:tc>
          <w:tcPr>
            <w:tcW w:w="14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2,698,133</w:t>
            </w:r>
          </w:p>
        </w:tc>
        <w:tc>
          <w:tcPr>
            <w:tcW w:w="4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27,435</w:t>
            </w:r>
          </w:p>
        </w:tc>
        <w:tc>
          <w:tcPr>
            <w:tcW w:w="4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(9,233)</w:t>
            </w:r>
          </w:p>
        </w:tc>
        <w:tc>
          <w:tcPr>
            <w:tcW w:w="4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2,716,335</w:t>
            </w:r>
          </w:p>
        </w:tc>
      </w:tr>
      <w:tr>
        <w:trPr>
          <w:trHeight w:val="182"/>
        </w:trPr>
        <w:tc>
          <w:tcPr>
            <w:tcW w:w="47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4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3,042,294</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29,990</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(9,402)</w:t>
            </w:r>
          </w:p>
        </w:tc>
        <w:tc>
          <w:tcPr>
            <w:tcW w:w="4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3,062,882</w:t>
            </w:r>
          </w:p>
        </w:tc>
      </w:tr>
      <w:tr>
        <w:trPr>
          <w:trHeight w:val="129"/>
        </w:trPr>
        <w:tc>
          <w:tcPr>
            <w:tcW w:w="4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December 31, 2018</w:t>
            </w:r>
          </w:p>
        </w:tc>
        <w:tc>
          <w:tcPr>
            <w:tcW w:w="14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r>
      <w:tr>
        <w:trPr>
          <w:trHeight w:val="149"/>
        </w:trPr>
        <w:tc>
          <w:tcPr>
            <w:tcW w:w="4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Available-for-Sale:</w:t>
            </w: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Securities Issued by the U.S. Treasury and Government Agencies</w:t>
            </w:r>
          </w:p>
        </w:tc>
        <w:tc>
          <w:tcPr>
            <w:tcW w:w="142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394,485</w:t>
            </w:r>
          </w:p>
        </w:tc>
        <w:tc>
          <w:tcPr>
            <w:tcW w:w="4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493</w:t>
            </w:r>
          </w:p>
        </w:tc>
        <w:tc>
          <w:tcPr>
            <w:tcW w:w="44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(2,577)</w:t>
            </w:r>
          </w:p>
        </w:tc>
        <w:tc>
          <w:tcPr>
            <w:tcW w:w="46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392,401</w:t>
            </w:r>
          </w:p>
        </w:tc>
      </w:tr>
      <w:tr>
        <w:trPr>
          <w:trHeight w:val="149"/>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States and Political Subdivisions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559,800</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5,227</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(1,031)</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563,996</w:t>
            </w: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Securities Issued by U.S. Government-Sponsored Enterprises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56</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56</w:t>
            </w: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224,997</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(1,857)</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223,140</w:t>
            </w:r>
          </w:p>
        </w:tc>
      </w:tr>
      <w:tr>
        <w:trPr>
          <w:trHeight w:val="14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r>
      <w:tr>
        <w:trPr>
          <w:trHeight w:val="148"/>
        </w:trPr>
        <w:tc>
          <w:tcPr>
            <w:tcW w:w="4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Residential - Government Agencies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189,645</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1,726</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(929)</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190,442</w:t>
            </w:r>
          </w:p>
        </w:tc>
      </w:tr>
      <w:tr>
        <w:trPr>
          <w:trHeight w:val="148"/>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Residential - U.S. Government-Sponsored Enterprises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589,311</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1,779</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(12,563)</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578,527</w:t>
            </w:r>
          </w:p>
        </w:tc>
      </w:tr>
      <w:tr>
        <w:trPr>
          <w:trHeight w:val="149"/>
        </w:trPr>
        <w:tc>
          <w:tcPr>
            <w:tcW w:w="4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Commercial - Government Agencies</w:t>
            </w:r>
          </w:p>
        </w:tc>
        <w:tc>
          <w:tcPr>
            <w:tcW w:w="1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63,864</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(4,484)</w:t>
            </w: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59,380</w:t>
            </w:r>
          </w:p>
        </w:tc>
      </w:tr>
      <w:tr>
        <w:trPr>
          <w:trHeight w:val="142"/>
        </w:trPr>
        <w:tc>
          <w:tcPr>
            <w:tcW w:w="472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Mortgage-Backed Securities</w:t>
            </w:r>
          </w:p>
        </w:tc>
        <w:tc>
          <w:tcPr>
            <w:tcW w:w="14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842,820</w:t>
            </w:r>
          </w:p>
        </w:tc>
        <w:tc>
          <w:tcPr>
            <w:tcW w:w="4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3,505</w:t>
            </w:r>
          </w:p>
        </w:tc>
        <w:tc>
          <w:tcPr>
            <w:tcW w:w="4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(17,976)</w:t>
            </w:r>
          </w:p>
        </w:tc>
        <w:tc>
          <w:tcPr>
            <w:tcW w:w="4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828,349</w:t>
            </w:r>
          </w:p>
        </w:tc>
      </w:tr>
      <w:tr>
        <w:trPr>
          <w:trHeight w:val="182"/>
        </w:trPr>
        <w:tc>
          <w:tcPr>
            <w:tcW w:w="47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4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2,022,158</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9,225</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(23,441)</w:t>
            </w:r>
          </w:p>
        </w:tc>
        <w:tc>
          <w:tcPr>
            <w:tcW w:w="4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2,007,942</w:t>
            </w:r>
          </w:p>
        </w:tc>
      </w:tr>
      <w:tr>
        <w:trPr>
          <w:trHeight w:val="129"/>
        </w:trPr>
        <w:tc>
          <w:tcPr>
            <w:tcW w:w="4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Held-to-Maturity:</w:t>
            </w:r>
          </w:p>
        </w:tc>
        <w:tc>
          <w:tcPr>
            <w:tcW w:w="14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the U.S. Treasury and Government Agencies</w:t>
            </w: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353,122</w:t>
            </w:r>
          </w:p>
        </w:tc>
        <w:tc>
          <w:tcPr>
            <w:tcW w:w="4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186</w:t>
            </w:r>
          </w:p>
        </w:tc>
        <w:tc>
          <w:tcPr>
            <w:tcW w:w="4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(1,093)</w:t>
            </w:r>
          </w:p>
        </w:tc>
        <w:tc>
          <w:tcPr>
            <w:tcW w:w="4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352,215</w:t>
            </w:r>
          </w:p>
        </w:tc>
      </w:tr>
      <w:tr>
        <w:trPr>
          <w:trHeight w:val="14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Securities Issued by States and Political Subdivisions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234,602</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6,150</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240,752</w:t>
            </w:r>
          </w:p>
        </w:tc>
      </w:tr>
      <w:tr>
        <w:trPr>
          <w:trHeight w:val="148"/>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97,266</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(1,755)</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95,511</w:t>
            </w:r>
          </w:p>
        </w:tc>
      </w:tr>
      <w:tr>
        <w:trPr>
          <w:trHeight w:val="14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r>
      <w:tr>
        <w:trPr>
          <w:trHeight w:val="149"/>
        </w:trPr>
        <w:tc>
          <w:tcPr>
            <w:tcW w:w="4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Residential - Government Agencies</w:t>
            </w:r>
          </w:p>
        </w:tc>
        <w:tc>
          <w:tcPr>
            <w:tcW w:w="14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1,861,874</w:t>
            </w:r>
          </w:p>
        </w:tc>
        <w:tc>
          <w:tcPr>
            <w:tcW w:w="44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3,886</w:t>
            </w:r>
          </w:p>
        </w:tc>
        <w:tc>
          <w:tcPr>
            <w:tcW w:w="44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(51,773)</w:t>
            </w:r>
          </w:p>
        </w:tc>
        <w:tc>
          <w:tcPr>
            <w:tcW w:w="4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1,813,987</w:t>
            </w:r>
          </w:p>
        </w:tc>
      </w:tr>
      <w:tr>
        <w:trPr>
          <w:trHeight w:val="149"/>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Residential - U.S. Government-Sponsored Enterprises</w:t>
            </w:r>
          </w:p>
        </w:tc>
        <w:tc>
          <w:tcPr>
            <w:tcW w:w="14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758,835</w:t>
            </w:r>
          </w:p>
        </w:tc>
        <w:tc>
          <w:tcPr>
            <w:tcW w:w="4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1,590</w:t>
            </w:r>
          </w:p>
        </w:tc>
        <w:tc>
          <w:tcPr>
            <w:tcW w:w="4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(20,259)</w:t>
            </w:r>
          </w:p>
        </w:tc>
        <w:tc>
          <w:tcPr>
            <w:tcW w:w="4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740,166</w:t>
            </w:r>
          </w:p>
        </w:tc>
      </w:tr>
      <w:tr>
        <w:trPr>
          <w:trHeight w:val="149"/>
        </w:trPr>
        <w:tc>
          <w:tcPr>
            <w:tcW w:w="4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Commercial - Government Agencies</w:t>
            </w:r>
          </w:p>
        </w:tc>
        <w:tc>
          <w:tcPr>
            <w:tcW w:w="1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176,393</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147</w:t>
            </w: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(5,177)</w:t>
            </w: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171,363</w:t>
            </w:r>
          </w:p>
        </w:tc>
      </w:tr>
      <w:tr>
        <w:trPr>
          <w:trHeight w:val="142"/>
        </w:trPr>
        <w:tc>
          <w:tcPr>
            <w:tcW w:w="472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Mortgage-Backed Securities</w:t>
            </w:r>
          </w:p>
        </w:tc>
        <w:tc>
          <w:tcPr>
            <w:tcW w:w="14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2,797,102</w:t>
            </w:r>
          </w:p>
        </w:tc>
        <w:tc>
          <w:tcPr>
            <w:tcW w:w="44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5,623</w:t>
            </w:r>
          </w:p>
        </w:tc>
        <w:tc>
          <w:tcPr>
            <w:tcW w:w="4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(77,209)</w:t>
            </w:r>
          </w:p>
        </w:tc>
        <w:tc>
          <w:tcPr>
            <w:tcW w:w="4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2,725,516</w:t>
            </w:r>
          </w:p>
        </w:tc>
      </w:tr>
      <w:tr>
        <w:trPr>
          <w:trHeight w:val="142"/>
        </w:trPr>
        <w:tc>
          <w:tcPr>
            <w:tcW w:w="47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4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3,482,092</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11,959</w:t>
            </w:r>
          </w:p>
        </w:tc>
        <w:tc>
          <w:tcPr>
            <w:tcW w:w="4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(80,057)</w:t>
            </w:r>
          </w:p>
        </w:tc>
        <w:tc>
          <w:tcPr>
            <w:tcW w:w="4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3,413,994</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elected to exclude accrued interest receivable (“AIR”) from the amortized cost basis of debt securities disclosed throughout this footnote. For available-for-sale (“AFS”) debt securities, AIR totaled $6.6 million and $7.5 million as of December 31, 2020, and December 31, 2019, respectively. For held-to-maturity (“HTM”) debt securities, AIR totaled $6.8 million and $8.1 million as of December 31, 2020, and December 31, 2019, respectively. AIR is included in the “accrued interest receivable” line item on the Company’s consolidated statements of condition.</w:t>
      </w:r>
    </w:p>
    <w:p>
      <w:pPr>
        <w:spacing w:after="0" w:line="1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table below presents an analysis of the contractual maturities of the Company’s investment securities as of December 31, 2020.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64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5"/>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2"/>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2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Due in One Year or Less</w:t>
            </w:r>
          </w:p>
        </w:tc>
        <w:tc>
          <w:tcPr>
            <w:tcW w:w="2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52,461</w:t>
            </w:r>
          </w:p>
        </w:tc>
        <w:tc>
          <w:tcPr>
            <w:tcW w:w="6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52,378</w:t>
            </w:r>
          </w:p>
        </w:tc>
      </w:tr>
      <w:tr>
        <w:trPr>
          <w:trHeight w:val="21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46,727</w:t>
            </w:r>
          </w:p>
        </w:tc>
        <w:tc>
          <w:tcPr>
            <w:tcW w:w="6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47,767</w:t>
            </w:r>
          </w:p>
        </w:tc>
      </w:tr>
      <w:tr>
        <w:trPr>
          <w:trHeight w:val="213"/>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146,958</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151,282</w:t>
            </w:r>
          </w:p>
        </w:tc>
      </w:tr>
      <w:tr>
        <w:trPr>
          <w:trHeight w:val="212"/>
        </w:trPr>
        <w:tc>
          <w:tcPr>
            <w:tcW w:w="57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246,146</w:t>
            </w: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251,427</w:t>
            </w:r>
          </w:p>
        </w:tc>
      </w:tr>
      <w:tr>
        <w:trPr>
          <w:trHeight w:val="21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Government Agencies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173,505</w:t>
            </w:r>
          </w:p>
        </w:tc>
        <w:tc>
          <w:tcPr>
            <w:tcW w:w="64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173,325</w:t>
            </w:r>
          </w:p>
        </w:tc>
      </w:tr>
      <w:tr>
        <w:trPr>
          <w:trHeight w:val="21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3"/>
        </w:trPr>
        <w:tc>
          <w:tcPr>
            <w:tcW w:w="5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1,561,603</w:t>
            </w:r>
          </w:p>
        </w:tc>
        <w:tc>
          <w:tcPr>
            <w:tcW w:w="64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1,594,815</w:t>
            </w:r>
          </w:p>
        </w:tc>
      </w:tr>
      <w:tr>
        <w:trPr>
          <w:trHeight w:val="21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1,497,353</w:t>
            </w:r>
          </w:p>
        </w:tc>
        <w:tc>
          <w:tcPr>
            <w:tcW w:w="6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1,518,283</w:t>
            </w:r>
          </w:p>
        </w:tc>
      </w:tr>
      <w:tr>
        <w:trPr>
          <w:trHeight w:val="213"/>
        </w:trPr>
        <w:tc>
          <w:tcPr>
            <w:tcW w:w="5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243,029</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253,839</w:t>
            </w:r>
          </w:p>
        </w:tc>
      </w:tr>
      <w:tr>
        <w:trPr>
          <w:trHeight w:val="210"/>
        </w:trPr>
        <w:tc>
          <w:tcPr>
            <w:tcW w:w="5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3,301,985</w:t>
            </w:r>
          </w:p>
        </w:tc>
        <w:tc>
          <w:tcPr>
            <w:tcW w:w="6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3,366,937</w:t>
            </w:r>
          </w:p>
        </w:tc>
      </w:tr>
      <w:tr>
        <w:trPr>
          <w:trHeight w:val="250"/>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3,721,636</w:t>
            </w:r>
          </w:p>
        </w:tc>
        <w:tc>
          <w:tcPr>
            <w:tcW w:w="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3,791,689</w:t>
            </w:r>
          </w:p>
        </w:tc>
      </w:tr>
      <w:tr>
        <w:trPr>
          <w:trHeight w:val="198"/>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2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Due in One Year or Less</w:t>
            </w:r>
          </w:p>
        </w:tc>
        <w:tc>
          <w:tcPr>
            <w:tcW w:w="2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33,763</w:t>
            </w:r>
          </w:p>
        </w:tc>
        <w:tc>
          <w:tcPr>
            <w:tcW w:w="6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34,504</w:t>
            </w:r>
          </w:p>
        </w:tc>
      </w:tr>
      <w:tr>
        <w:trPr>
          <w:trHeight w:val="216"/>
        </w:trPr>
        <w:tc>
          <w:tcPr>
            <w:tcW w:w="5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19,531</w:t>
            </w:r>
          </w:p>
        </w:tc>
        <w:tc>
          <w:tcPr>
            <w:tcW w:w="6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19,782</w:t>
            </w:r>
          </w:p>
        </w:tc>
      </w:tr>
      <w:tr>
        <w:trPr>
          <w:trHeight w:val="209"/>
        </w:trPr>
        <w:tc>
          <w:tcPr>
            <w:tcW w:w="57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53,294</w:t>
            </w:r>
          </w:p>
        </w:tc>
        <w:tc>
          <w:tcPr>
            <w:tcW w:w="64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54,286</w:t>
            </w:r>
          </w:p>
        </w:tc>
      </w:tr>
      <w:tr>
        <w:trPr>
          <w:trHeight w:val="21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3"/>
        </w:trPr>
        <w:tc>
          <w:tcPr>
            <w:tcW w:w="5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917,459</w:t>
            </w:r>
          </w:p>
        </w:tc>
        <w:tc>
          <w:tcPr>
            <w:tcW w:w="64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948,010</w:t>
            </w:r>
          </w:p>
        </w:tc>
      </w:tr>
      <w:tr>
        <w:trPr>
          <w:trHeight w:val="21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2,099,053</w:t>
            </w:r>
          </w:p>
        </w:tc>
        <w:tc>
          <w:tcPr>
            <w:tcW w:w="6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2,150,497</w:t>
            </w:r>
          </w:p>
        </w:tc>
      </w:tr>
      <w:tr>
        <w:trPr>
          <w:trHeight w:val="213"/>
        </w:trPr>
        <w:tc>
          <w:tcPr>
            <w:tcW w:w="5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192,921</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195,900</w:t>
            </w:r>
          </w:p>
        </w:tc>
      </w:tr>
      <w:tr>
        <w:trPr>
          <w:trHeight w:val="209"/>
        </w:trPr>
        <w:tc>
          <w:tcPr>
            <w:tcW w:w="5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3,209,433</w:t>
            </w:r>
          </w:p>
        </w:tc>
        <w:tc>
          <w:tcPr>
            <w:tcW w:w="6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3,294,407</w:t>
            </w:r>
          </w:p>
        </w:tc>
      </w:tr>
      <w:tr>
        <w:trPr>
          <w:trHeight w:val="211"/>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3,262,727</w:t>
            </w:r>
          </w:p>
        </w:tc>
        <w:tc>
          <w:tcPr>
            <w:tcW w:w="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3,348,693</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Investment securities with carrying values of $3.6 billion, $2.6 billion, $2.3 billion as of December 31, 2020, December 31, 2019, and December 31, 2018, respectively, were pledged to secure deposits of governmental entities and securities sold under agreements to repurchase.</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presents the gains and losses from the sales of investment securities for the years ended December 31, 2020, December 31, 2019, and December 31,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Gains on Sales of Investment Securities</w:t>
            </w:r>
          </w:p>
        </w:tc>
        <w:tc>
          <w:tcPr>
            <w:tcW w:w="19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14,257</w:t>
            </w:r>
          </w:p>
        </w:tc>
        <w:tc>
          <w:tcPr>
            <w:tcW w:w="5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7,810</w:t>
            </w:r>
          </w:p>
        </w:tc>
        <w:tc>
          <w:tcPr>
            <w:tcW w:w="6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Gross Losses on Sales of Investment Securities</w:t>
            </w:r>
          </w:p>
        </w:tc>
        <w:tc>
          <w:tcPr>
            <w:tcW w:w="19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(4,325)</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(11,796)</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(3,938)</w:t>
            </w:r>
          </w:p>
        </w:tc>
      </w:tr>
      <w:tr>
        <w:trPr>
          <w:trHeight w:val="210"/>
        </w:trPr>
        <w:tc>
          <w:tcPr>
            <w:tcW w:w="5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Gains (Losses) on Sales of Investment Securities</w:t>
            </w:r>
          </w:p>
        </w:tc>
        <w:tc>
          <w:tcPr>
            <w:tcW w:w="19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9,932</w:t>
            </w:r>
          </w:p>
        </w:tc>
        <w:tc>
          <w:tcPr>
            <w:tcW w:w="56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(3,986)</w:t>
            </w:r>
          </w:p>
        </w:tc>
        <w:tc>
          <w:tcPr>
            <w:tcW w:w="6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losses on sales of investment securities during the years ended December 31, 2020, December 31, 2019, and December 31, 2018, were due to fees paid to the counterparties of the Company’s prior Visa Class B share sale transactions, which are expensed as incurred. The gross gains and losses on sales of investment securities during the year ended December 31, 2019, included sales of AFS municipal debt securities, mortgage-backed securities, and corporate debt securities as part of a portfolio repositioning. In addition, losses during the years ended December 31, 2019, and December 31, 2018, included $0.5 million and $1.0 million, respectively, related to a reduction in the Visa Class B conversion ratio.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AFS debt securities in an unrealized loss position for which an allowance for credit losses has not been recorded, aggregated by major security type and length of time in a continuous unrealized loss position: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4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8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396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56"/>
        </w:trPr>
        <w:tc>
          <w:tcPr>
            <w:tcW w:w="39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Available-for-Sales: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Debt Securities Issued by the U.S. Treasury</w:t>
            </w:r>
          </w:p>
        </w:tc>
        <w:tc>
          <w:tcPr>
            <w:tcW w:w="8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87,070</w:t>
            </w:r>
          </w:p>
        </w:tc>
        <w:tc>
          <w:tcPr>
            <w:tcW w:w="2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(549)</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21,338</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108,408</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71"/>
        </w:trPr>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and Government Agencies</w:t>
            </w:r>
          </w:p>
        </w:tc>
        <w:tc>
          <w:tcPr>
            <w:tcW w:w="86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Debt Securities Issued by States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Political Subdivisions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Debt Securities Issued by Corporations</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65,000</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115,000</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Residential - Government Agencies</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28,063</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113,538</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141,601</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62"/>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 U.S. Government-Sponsored Enterprises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94,002</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94,002</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62"/>
        </w:trPr>
        <w:tc>
          <w:tcPr>
            <w:tcW w:w="39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Commercial - Government Agencies</w:t>
            </w:r>
          </w:p>
        </w:tc>
        <w:tc>
          <w:tcPr>
            <w:tcW w:w="7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25,075</w:t>
            </w: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25,075</w:t>
            </w: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56"/>
        </w:trPr>
        <w:tc>
          <w:tcPr>
            <w:tcW w:w="39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Total Mortgage-Backed Securities</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28,063</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(223)</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232,615</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(604)</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260,678</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156"/>
        </w:trPr>
        <w:tc>
          <w:tcPr>
            <w:tcW w:w="396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bottom w:val="single" w:sz="8" w:color="auto"/>
            </w:tcBorders>
            <w:gridSpan w:val="2"/>
            <w:shd w:val="clear" w:color="auto" w:fill="CFF0FC"/>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165,159</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(876)</w:t>
            </w:r>
          </w:p>
        </w:tc>
        <w:tc>
          <w:tcPr>
            <w:tcW w:w="280" w:type="dxa"/>
            <w:vAlign w:val="bottom"/>
            <w:tcBorders>
              <w:bottom w:val="single" w:sz="8" w:color="auto"/>
            </w:tcBorders>
            <w:gridSpan w:val="2"/>
            <w:shd w:val="clear" w:color="auto" w:fill="CFF0FC"/>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318,953</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(1,499)</w:t>
            </w:r>
          </w:p>
        </w:tc>
        <w:tc>
          <w:tcPr>
            <w:tcW w:w="1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484,112</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(2,375)</w:t>
            </w:r>
          </w:p>
        </w:tc>
        <w:tc>
          <w:tcPr>
            <w:tcW w:w="0" w:type="dxa"/>
            <w:vAlign w:val="bottom"/>
          </w:tcPr>
          <w:p>
            <w:pPr>
              <w:spacing w:after="0"/>
              <w:rPr>
                <w:sz w:val="1"/>
                <w:szCs w:val="1"/>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Available-for-Sales:</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Debt Securities Issued by the U.S. Treasury</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65,479</w:t>
            </w:r>
          </w:p>
        </w:tc>
        <w:tc>
          <w:tcPr>
            <w:tcW w:w="2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(188)</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101,761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167,240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71"/>
        </w:trPr>
        <w:tc>
          <w:tcPr>
            <w:tcW w:w="3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Government Agencies</w:t>
            </w:r>
          </w:p>
        </w:tc>
        <w:tc>
          <w:tcPr>
            <w:tcW w:w="8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Debt Securities Issued by States</w:t>
            </w: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6,788</w:t>
            </w:r>
          </w:p>
        </w:tc>
        <w:tc>
          <w:tcPr>
            <w:tcW w:w="2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440</w:t>
            </w:r>
          </w:p>
        </w:tc>
        <w:tc>
          <w:tcPr>
            <w:tcW w:w="2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7,228</w:t>
            </w:r>
          </w:p>
        </w:tc>
        <w:tc>
          <w:tcPr>
            <w:tcW w:w="2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and Political Subdivisions</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Issued by Corporations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25,892</w:t>
            </w:r>
          </w:p>
        </w:tc>
        <w:tc>
          <w:tcPr>
            <w:tcW w:w="2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74,693</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100,585</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 Government Agencies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119,271</w:t>
            </w:r>
          </w:p>
        </w:tc>
        <w:tc>
          <w:tcPr>
            <w:tcW w:w="2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170,805</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290,076</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Residential - U.S. Government-Sponsored Enterprises</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187,861</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(816)</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73,720</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261,581</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162"/>
        </w:trPr>
        <w:tc>
          <w:tcPr>
            <w:tcW w:w="3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Commercial - Government Agencies</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59,826</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52,965</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112,791</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0" w:type="dxa"/>
            <w:vAlign w:val="bottom"/>
          </w:tcPr>
          <w:p>
            <w:pPr>
              <w:spacing w:after="0"/>
              <w:rPr>
                <w:sz w:val="1"/>
                <w:szCs w:val="1"/>
                <w:color w:val="auto"/>
              </w:rPr>
            </w:pPr>
          </w:p>
        </w:tc>
      </w:tr>
      <w:tr>
        <w:trPr>
          <w:trHeight w:val="156"/>
        </w:trPr>
        <w:tc>
          <w:tcPr>
            <w:tcW w:w="396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Mortgage-Backed Securities</w:t>
            </w:r>
          </w:p>
        </w:tc>
        <w:tc>
          <w:tcPr>
            <w:tcW w:w="70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366,958</w:t>
            </w:r>
          </w:p>
        </w:tc>
        <w:tc>
          <w:tcPr>
            <w:tcW w:w="2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(1,661)</w:t>
            </w:r>
          </w:p>
        </w:tc>
        <w:tc>
          <w:tcPr>
            <w:tcW w:w="1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297,490</w:t>
            </w:r>
          </w:p>
        </w:tc>
        <w:tc>
          <w:tcPr>
            <w:tcW w:w="2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(6,021)</w:t>
            </w:r>
          </w:p>
        </w:tc>
        <w:tc>
          <w:tcPr>
            <w:tcW w:w="1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664,448</w:t>
            </w:r>
          </w:p>
        </w:tc>
        <w:tc>
          <w:tcPr>
            <w:tcW w:w="2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(7,682)</w:t>
            </w:r>
          </w:p>
        </w:tc>
        <w:tc>
          <w:tcPr>
            <w:tcW w:w="0" w:type="dxa"/>
            <w:vAlign w:val="bottom"/>
          </w:tcPr>
          <w:p>
            <w:pPr>
              <w:spacing w:after="0"/>
              <w:rPr>
                <w:sz w:val="1"/>
                <w:szCs w:val="1"/>
                <w:color w:val="auto"/>
              </w:rPr>
            </w:pPr>
          </w:p>
        </w:tc>
      </w:tr>
      <w:tr>
        <w:trPr>
          <w:trHeight w:val="155"/>
        </w:trPr>
        <w:tc>
          <w:tcPr>
            <w:tcW w:w="39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bottom w:val="single" w:sz="8" w:color="auto"/>
            </w:tcBorders>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465,117</w:t>
            </w:r>
          </w:p>
        </w:tc>
        <w:tc>
          <w:tcPr>
            <w:tcW w:w="2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(2,189)</w:t>
            </w:r>
          </w:p>
        </w:tc>
        <w:tc>
          <w:tcPr>
            <w:tcW w:w="280" w:type="dxa"/>
            <w:vAlign w:val="bottom"/>
            <w:tcBorders>
              <w:bottom w:val="single" w:sz="8" w:color="auto"/>
            </w:tcBorders>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474,384</w:t>
            </w:r>
          </w:p>
        </w:tc>
        <w:tc>
          <w:tcPr>
            <w:tcW w:w="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(7,587)</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939,501</w:t>
            </w:r>
          </w:p>
        </w:tc>
        <w:tc>
          <w:tcPr>
            <w:tcW w:w="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(9,776)</w:t>
            </w:r>
          </w:p>
        </w:tc>
        <w:tc>
          <w:tcPr>
            <w:tcW w:w="0" w:type="dxa"/>
            <w:vAlign w:val="bottom"/>
          </w:tcPr>
          <w:p>
            <w:pPr>
              <w:spacing w:after="0"/>
              <w:rPr>
                <w:sz w:val="1"/>
                <w:szCs w:val="1"/>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does not believe that the AFS debt securities that were in an unrealized loss position as of December 31, 2020, which were comprised of 74 individual securities, represent a credit loss impairment. The gross unrealized losses in the Company’s corporate bond portfolio were related to debt securities issued by large multinational banks. The unrealized losses primarily resulted from an increase in credit spreads due to the economic uncertainty related to COVID-19. However, as of December 31, 2020, such credit spreads have tightened significantly from their widest levels experienced in the first quarter of 2020. In addition, banks have built up substantial capital buffers since the financial crisis of 2008 which helps to mitigate the likelihood of credit losses. As of December 31, 2020, there have been no payment defaults nor do we currently expect any future payment defaults. Furthermore, the Company does not intend to sell these securities, and it is not more likely than not that the Company will be required to sell the investment securities before recovery of their amortized cost basis, which may be at maturity.</w:t>
      </w:r>
    </w:p>
    <w:p>
      <w:pPr>
        <w:spacing w:after="0" w:line="1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remainder of the AFS debt securities in an unrealized loss position as of December 31, 2020, consisted of debt securities issued by U.S. government agencies or U.S. government-sponsored enterprises. These securities carry the explicit and/or implicit guarantee of the U.S. government, are widely recognized as “risk free,” and have a long history of zero credit loss. Total gross unrealized losses were primarily attributable to changes in interest rates, relative to when the investment securities were purchased, and not due to the credit quality of the investment securities.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the Company did not record an allowance for credit losses for these securities as of December 31,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income from taxable and non-taxable investment securities for the years ended December 31, 2020, December 31, 2019, and December 31, 2018,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Taxable</w:t>
            </w:r>
          </w:p>
        </w:tc>
        <w:tc>
          <w:tcPr>
            <w:tcW w:w="2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125,291</w:t>
            </w:r>
          </w:p>
        </w:tc>
        <w:tc>
          <w:tcPr>
            <w:tcW w:w="68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137,204</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115,947</w:t>
            </w:r>
          </w:p>
        </w:tc>
      </w:tr>
      <w:tr>
        <w:trPr>
          <w:trHeight w:val="213"/>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Non-Taxable</w:t>
            </w:r>
          </w:p>
        </w:tc>
        <w:tc>
          <w:tcPr>
            <w:tcW w:w="1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6,586</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18,515</w:t>
            </w:r>
          </w:p>
        </w:tc>
      </w:tr>
      <w:tr>
        <w:trPr>
          <w:trHeight w:val="211"/>
        </w:trPr>
        <w:tc>
          <w:tcPr>
            <w:tcW w:w="50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Interest Income from Investment Securities</w:t>
            </w:r>
          </w:p>
        </w:tc>
        <w:tc>
          <w:tcPr>
            <w:tcW w:w="2040" w:type="dxa"/>
            <w:vAlign w:val="bottom"/>
            <w:tcBorders>
              <w:bottom w:val="single" w:sz="8" w:color="auto"/>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127,349</w:t>
            </w:r>
          </w:p>
        </w:tc>
        <w:tc>
          <w:tcPr>
            <w:tcW w:w="68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143,790</w:t>
            </w: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134,462</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and December 31, 2019, the carrying value of the Company’s Federal Home Loan Bank of Des Moines (“FHLB Des Moines”)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and Federal Reserve Bank stock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Home Loan Bank Stock</w:t>
            </w:r>
          </w:p>
        </w:tc>
        <w:tc>
          <w:tcPr>
            <w:tcW w:w="34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12,000</w:t>
            </w:r>
          </w:p>
        </w:tc>
        <w:tc>
          <w:tcPr>
            <w:tcW w:w="88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13,000</w:t>
            </w:r>
          </w:p>
        </w:tc>
      </w:tr>
      <w:tr>
        <w:trPr>
          <w:trHeight w:val="21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Federal Reserve Bank Stock</w:t>
            </w:r>
          </w:p>
        </w:tc>
        <w:tc>
          <w:tcPr>
            <w:tcW w:w="2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21,340</w:t>
            </w:r>
          </w:p>
        </w:tc>
        <w:tc>
          <w:tcPr>
            <w:tcW w:w="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21,093</w:t>
            </w:r>
          </w:p>
        </w:tc>
      </w:tr>
      <w:tr>
        <w:trPr>
          <w:trHeight w:val="211"/>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0" w:type="dxa"/>
            <w:vAlign w:val="bottom"/>
            <w:tcBorders>
              <w:bottom w:val="single" w:sz="8" w:color="auto"/>
            </w:tcBorders>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33,340</w:t>
            </w:r>
          </w:p>
        </w:tc>
        <w:tc>
          <w:tcPr>
            <w:tcW w:w="88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34,093</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securities can only be redeemed or sold at their par value and only to the respective issuing government-supported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Class B Restricted Shares</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is indemnified by Visa members, including the Company. Visa funded an escrow account from its initial public offering to settle these litigation claims. Should this escrow account not be sufficient to cover these litigation claims, Visa is entitled to fund additional amounts to the escrow account by reducing each member bank’s Class B conversion ratio to unrestricted Class A shares. As of December 31, 2020, the conversion ratio was 1.6228. See Note 17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2020, the Company recorded a $14.2 million gain on sale of its remaining 80,214 Visa Class B Shares. As a result of this sale, the Company no longer owns any Visa Class B shares. Concurrent with certain sales the Company enters into an agreement with the buyer that requires payment to the buyer in the event Visa further reduces the conversion ratio.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Loans and Leases and the Allowance for Credit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loan and lease portfolio was comprised of the following as of December 31, 2020, and December 31, 2019:</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r>
      <w:tr>
        <w:trPr>
          <w:trHeight w:val="214"/>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2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4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1,875,293</w:t>
            </w:r>
          </w:p>
        </w:tc>
        <w:tc>
          <w:tcPr>
            <w:tcW w:w="7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1,379,152</w:t>
            </w:r>
          </w:p>
        </w:tc>
      </w:tr>
      <w:tr>
        <w:trPr>
          <w:trHeight w:val="219"/>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Mortgage</w:t>
            </w:r>
          </w:p>
        </w:tc>
        <w:tc>
          <w:tcPr>
            <w:tcW w:w="2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2,854,829</w:t>
            </w:r>
          </w:p>
        </w:tc>
        <w:tc>
          <w:tcPr>
            <w:tcW w:w="7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2,518,051</w:t>
            </w:r>
          </w:p>
        </w:tc>
      </w:tr>
      <w:tr>
        <w:trPr>
          <w:trHeight w:val="213"/>
        </w:trPr>
        <w:tc>
          <w:tcPr>
            <w:tcW w:w="4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Construction</w:t>
            </w: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259,798</w:t>
            </w:r>
          </w:p>
        </w:tc>
        <w:tc>
          <w:tcPr>
            <w:tcW w:w="7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194,170</w:t>
            </w:r>
          </w:p>
        </w:tc>
      </w:tr>
      <w:tr>
        <w:trPr>
          <w:trHeight w:val="216"/>
        </w:trPr>
        <w:tc>
          <w:tcPr>
            <w:tcW w:w="48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Lease Financing</w:t>
            </w:r>
          </w:p>
        </w:tc>
        <w:tc>
          <w:tcPr>
            <w:tcW w:w="28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110,766</w:t>
            </w:r>
          </w:p>
        </w:tc>
        <w:tc>
          <w:tcPr>
            <w:tcW w:w="7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122,454</w:t>
            </w:r>
          </w:p>
        </w:tc>
      </w:tr>
      <w:tr>
        <w:trPr>
          <w:trHeight w:val="209"/>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2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5,100,686</w:t>
            </w: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4,213,827</w:t>
            </w:r>
          </w:p>
        </w:tc>
      </w:tr>
      <w:tr>
        <w:trPr>
          <w:trHeight w:val="212"/>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2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4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Residential Mortgage</w:t>
            </w: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4,130,513</w:t>
            </w:r>
          </w:p>
        </w:tc>
        <w:tc>
          <w:tcPr>
            <w:tcW w:w="7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3,891,100</w:t>
            </w:r>
          </w:p>
        </w:tc>
      </w:tr>
      <w:tr>
        <w:trPr>
          <w:trHeight w:val="219"/>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Home Equity</w:t>
            </w:r>
          </w:p>
        </w:tc>
        <w:tc>
          <w:tcPr>
            <w:tcW w:w="2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1,604,538</w:t>
            </w:r>
          </w:p>
        </w:tc>
        <w:tc>
          <w:tcPr>
            <w:tcW w:w="7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1,676,073</w:t>
            </w:r>
          </w:p>
        </w:tc>
      </w:tr>
      <w:tr>
        <w:trPr>
          <w:trHeight w:val="213"/>
        </w:trPr>
        <w:tc>
          <w:tcPr>
            <w:tcW w:w="4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Automobile</w:t>
            </w: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708,800</w:t>
            </w:r>
          </w:p>
        </w:tc>
        <w:tc>
          <w:tcPr>
            <w:tcW w:w="7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720,286</w:t>
            </w:r>
          </w:p>
        </w:tc>
      </w:tr>
      <w:tr>
        <w:trPr>
          <w:trHeight w:val="219"/>
        </w:trPr>
        <w:tc>
          <w:tcPr>
            <w:tcW w:w="4860" w:type="dxa"/>
            <w:vAlign w:val="bottom"/>
            <w:tcBorders>
              <w:bottom w:val="single" w:sz="8" w:color="auto"/>
            </w:tcBorders>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1</w:t>
            </w:r>
          </w:p>
        </w:tc>
        <w:tc>
          <w:tcPr>
            <w:tcW w:w="28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395,483</w:t>
            </w:r>
          </w:p>
        </w:tc>
        <w:tc>
          <w:tcPr>
            <w:tcW w:w="7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489,606</w:t>
            </w:r>
          </w:p>
        </w:tc>
      </w:tr>
      <w:tr>
        <w:trPr>
          <w:trHeight w:val="207"/>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2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6,839,334</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6,777,065</w:t>
            </w:r>
          </w:p>
        </w:tc>
      </w:tr>
      <w:tr>
        <w:trPr>
          <w:trHeight w:val="211"/>
        </w:trPr>
        <w:tc>
          <w:tcPr>
            <w:tcW w:w="4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3300" w:type="dxa"/>
            <w:vAlign w:val="bottom"/>
            <w:tcBorders>
              <w:bottom w:val="single" w:sz="8" w:color="auto"/>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11,940,020</w:t>
            </w:r>
          </w:p>
        </w:tc>
        <w:tc>
          <w:tcPr>
            <w:tcW w:w="72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10,990,892</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Comprised of other revolving credit, installment, and lease financing.</w:t>
      </w:r>
    </w:p>
    <w:p>
      <w:pPr>
        <w:spacing w:after="0" w:line="16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Total loans and leases were reported net of unearned fee of $4.1 million and income of $1.3 million as of December 31, 2020 and December 31, 2019, respectively.</w:t>
      </w:r>
    </w:p>
    <w:p>
      <w:pPr>
        <w:spacing w:after="0" w:line="13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Commercial loans and residential mortgage loans of $805.4 million and $1.0 billion were pledged to secure an undrawn FRB line of credit as of December 31, 2020, and December 31, 2019.</w:t>
      </w:r>
    </w:p>
    <w:p>
      <w:pPr>
        <w:spacing w:after="0" w:line="121"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2020, residential mortgage loans of $3.0 billion and home equity loans of $596.0 million, were pledged under a blanket pledge arrangement to secure FHLB advances. As of December 31, 2019, $3.1 billion, were pledged under a blanket pledge arrangement to secure FHLB advances. See Note 10 </w:t>
      </w:r>
      <w:r>
        <w:rPr>
          <w:rFonts w:ascii="Times New Roman" w:cs="Times New Roman" w:eastAsia="Times New Roman" w:hAnsi="Times New Roman"/>
          <w:sz w:val="18"/>
          <w:szCs w:val="18"/>
          <w:i w:val="1"/>
          <w:iCs w:val="1"/>
          <w:color w:val="auto"/>
        </w:rPr>
        <w:t>Other Debt</w:t>
      </w:r>
      <w:r>
        <w:rPr>
          <w:rFonts w:ascii="Times New Roman" w:cs="Times New Roman" w:eastAsia="Times New Roman" w:hAnsi="Times New Roman"/>
          <w:sz w:val="18"/>
          <w:szCs w:val="18"/>
          <w:color w:val="auto"/>
        </w:rPr>
        <w:t xml:space="preserve"> for FHLB advances outstanding as of December 31, 2020, and December 31, 2019.</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Net gains related to sales of residential mortgage loans, recorded as a component of mortgage banking income, were $15.4 million, $5.3 million, and $1.5 million for the years ended December 31, 2020, December 31, 2019, and December 31, 2018, respectively. Net gains on sales of commercial loans were not material for the years ended December 31, 2020, December 31, 2019, and December 31, 2018.</w:t>
      </w:r>
    </w:p>
    <w:p>
      <w:pPr>
        <w:spacing w:after="0" w:line="14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lending activity is with customers located in Hawaii. A substantial portion of the Company’s real estate loans are secured by real estate in Hawaii.</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elected to exclude AIR from the amortized cost basis of loans disclosed throughout this footnote. As of December 31, 2020, and December 31, 2019, accrued interest receivable for loans totaled $35.9 million and $30.7 million, respectively, and is included in the “accrued interest receivable” line item on the Company’s consolidated statements of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As previously mentioned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CARES Act established the PPP, administered directly by the SBA. The PPP provides loans of up to $10 million to small businesses who were affected by economic conditions as a result of COVID-19 to provide cash-flow assistance to employers who maintain their payroll (including healthcare and certain related expenses), mortgage interest, rent, leases, utilities and interest on existing debt during the COVID-19 pandemic. PPP loans carry an interest rate of one percent, and a maturity of two or five years. These loans are fully guaranteed by the SBA and may be eligible for forgiveness by the SBA to the extent that the proceeds are used to cover eligible payroll costs, interest costs, rent, and utility costs over a period of up to 24 weeks after the loan is made as long as certain conditions are met regarding employee retention and compensation levels. PPP loans deemed eligible for forgiveness by the SBA will be repaid by the SBA to the Company. The SBA pays the Company fees for processing PPP loans in the following amounts: (1) five percent for loans of not more than $350,000; (2) three percent for loans of more than $350,000 and less than $2,000,000; and (3) one percent for loans of at least $2,000,000. These processing fees are accounted for as loan origination fees and recognized over the contractual loan term as a yield adjustment on the loans. PPP loans are included in the Commercial and Industrial loan class. As of December 31, 2020, the Company had 4,435 PPP loans outstanding, with an outstanding principal balance of $528.1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18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As previously mentioned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the Company’s January 1, 2020, adoption of ASU No. 2016-13,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resulted in a significant change to our methodology for estimating the Allowance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As a result of this adoption, the Company recorded a $1.7 million decrease to the Allowance as a cumulative-effect adjustment on January 1, 2020.</w:t>
      </w:r>
    </w:p>
    <w:p>
      <w:pPr>
        <w:spacing w:after="0" w:line="14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presents by portfolio segment, the activity in the Allowance for the years ended December 31, 2020, December 31, 2019, and December 31,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 2020</w:t>
            </w:r>
          </w:p>
        </w:tc>
        <w:tc>
          <w:tcPr>
            <w:tcW w:w="1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4"/>
        </w:trPr>
        <w:tc>
          <w:tcPr>
            <w:tcW w:w="55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5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Balance at Beginning of Period (December 31, 2019)</w:t>
            </w:r>
          </w:p>
        </w:tc>
        <w:tc>
          <w:tcPr>
            <w:tcW w:w="1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73,801</w:t>
            </w:r>
          </w:p>
        </w:tc>
        <w:tc>
          <w:tcPr>
            <w:tcW w:w="4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36,226</w:t>
            </w:r>
          </w:p>
        </w:tc>
        <w:tc>
          <w:tcPr>
            <w:tcW w:w="5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110,027</w:t>
            </w:r>
          </w:p>
        </w:tc>
      </w:tr>
      <w:tr>
        <w:trPr>
          <w:trHeight w:val="213"/>
        </w:trPr>
        <w:tc>
          <w:tcPr>
            <w:tcW w:w="5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CECL Adoption (Day 1) Impact</w:t>
            </w:r>
          </w:p>
        </w:tc>
        <w:tc>
          <w:tcPr>
            <w:tcW w:w="1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(18,789)</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17,052</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12"/>
        </w:trPr>
        <w:tc>
          <w:tcPr>
            <w:tcW w:w="5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Balance at Beginning of Period (January 1, 2020)</w:t>
            </w:r>
          </w:p>
        </w:tc>
        <w:tc>
          <w:tcPr>
            <w:tcW w:w="1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55,012</w:t>
            </w: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53,278</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108,290</w:t>
            </w:r>
          </w:p>
        </w:tc>
      </w:tr>
      <w:tr>
        <w:trPr>
          <w:trHeight w:val="213"/>
        </w:trPr>
        <w:tc>
          <w:tcPr>
            <w:tcW w:w="55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(1,697)</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(19,341)</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(21,038)</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2,328</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11,572</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13,900</w:t>
            </w:r>
          </w:p>
        </w:tc>
      </w:tr>
      <w:tr>
        <w:trPr>
          <w:trHeight w:val="210"/>
        </w:trPr>
        <w:tc>
          <w:tcPr>
            <w:tcW w:w="55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631</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(7,769)</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(7,138)</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29,204</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85,896</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115,100</w:t>
            </w:r>
          </w:p>
        </w:tc>
      </w:tr>
      <w:tr>
        <w:trPr>
          <w:trHeight w:val="249"/>
        </w:trPr>
        <w:tc>
          <w:tcPr>
            <w:tcW w:w="55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84,847</w:t>
            </w:r>
          </w:p>
        </w:tc>
        <w:tc>
          <w:tcPr>
            <w:tcW w:w="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131,405</w:t>
            </w:r>
          </w:p>
        </w:tc>
        <w:tc>
          <w:tcPr>
            <w:tcW w:w="5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216,252</w:t>
            </w:r>
          </w:p>
        </w:tc>
      </w:tr>
      <w:tr>
        <w:trPr>
          <w:trHeight w:val="199"/>
        </w:trPr>
        <w:tc>
          <w:tcPr>
            <w:tcW w:w="55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4"/>
        </w:trPr>
        <w:tc>
          <w:tcPr>
            <w:tcW w:w="5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 2019</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5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3"/>
        </w:trPr>
        <w:tc>
          <w:tcPr>
            <w:tcW w:w="55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66,874</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39,819</w:t>
            </w:r>
          </w:p>
        </w:tc>
        <w:tc>
          <w:tcPr>
            <w:tcW w:w="5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106,693</w:t>
            </w:r>
          </w:p>
        </w:tc>
      </w:tr>
      <w:tr>
        <w:trPr>
          <w:trHeight w:val="219"/>
        </w:trPr>
        <w:tc>
          <w:tcPr>
            <w:tcW w:w="55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(2,738)</w:t>
            </w: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(21,217)</w:t>
            </w: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(23,955)</w:t>
            </w:r>
          </w:p>
        </w:tc>
      </w:tr>
      <w:tr>
        <w:trPr>
          <w:trHeight w:val="213"/>
        </w:trPr>
        <w:tc>
          <w:tcPr>
            <w:tcW w:w="5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1,513</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9,776</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11,289</w:t>
            </w:r>
          </w:p>
        </w:tc>
      </w:tr>
      <w:tr>
        <w:trPr>
          <w:trHeight w:val="212"/>
        </w:trPr>
        <w:tc>
          <w:tcPr>
            <w:tcW w:w="55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Loans and Leases Recovered (Charged-Off)</w:t>
            </w:r>
          </w:p>
        </w:tc>
        <w:tc>
          <w:tcPr>
            <w:tcW w:w="1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(1,225)</w:t>
            </w: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(11,441)</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(12,666)</w:t>
            </w:r>
          </w:p>
        </w:tc>
      </w:tr>
      <w:tr>
        <w:trPr>
          <w:trHeight w:val="213"/>
        </w:trPr>
        <w:tc>
          <w:tcPr>
            <w:tcW w:w="5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8,152</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7,848</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16,000</w:t>
            </w:r>
          </w:p>
        </w:tc>
      </w:tr>
      <w:tr>
        <w:trPr>
          <w:trHeight w:val="210"/>
        </w:trPr>
        <w:tc>
          <w:tcPr>
            <w:tcW w:w="556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3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73,801</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36,226</w:t>
            </w:r>
          </w:p>
        </w:tc>
        <w:tc>
          <w:tcPr>
            <w:tcW w:w="5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110,027</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9"/>
        </w:trPr>
        <w:tc>
          <w:tcPr>
            <w:tcW w:w="5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 2018</w:t>
            </w:r>
          </w:p>
        </w:tc>
        <w:tc>
          <w:tcPr>
            <w:tcW w:w="1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4"/>
        </w:trPr>
        <w:tc>
          <w:tcPr>
            <w:tcW w:w="55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55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65,822</w:t>
            </w:r>
          </w:p>
        </w:tc>
        <w:tc>
          <w:tcPr>
            <w:tcW w:w="4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41,524</w:t>
            </w:r>
          </w:p>
        </w:tc>
        <w:tc>
          <w:tcPr>
            <w:tcW w:w="5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107,346</w:t>
            </w:r>
          </w:p>
        </w:tc>
      </w:tr>
      <w:tr>
        <w:trPr>
          <w:trHeight w:val="213"/>
        </w:trPr>
        <w:tc>
          <w:tcPr>
            <w:tcW w:w="55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(1,505)</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(23,059)</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(24,564)</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2,039</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8,447</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10,486</w:t>
            </w:r>
          </w:p>
        </w:tc>
      </w:tr>
      <w:tr>
        <w:trPr>
          <w:trHeight w:val="210"/>
        </w:trPr>
        <w:tc>
          <w:tcPr>
            <w:tcW w:w="55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534</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(14,612)</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(14,078)</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518</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12,907</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13,425</w:t>
            </w:r>
          </w:p>
        </w:tc>
      </w:tr>
      <w:tr>
        <w:trPr>
          <w:trHeight w:val="210"/>
        </w:trPr>
        <w:tc>
          <w:tcPr>
            <w:tcW w:w="55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66,874</w:t>
            </w:r>
          </w:p>
        </w:tc>
        <w:tc>
          <w:tcPr>
            <w:tcW w:w="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39,819</w:t>
            </w:r>
          </w:p>
        </w:tc>
        <w:tc>
          <w:tcPr>
            <w:tcW w:w="5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106,693</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definitions of the Company’s credit quality indicators: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Pass:</w:t>
            </w: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and leases in all classes within the commercial and consumer portfolio segments that are not adversely rated, are</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contractually current as to principal and interest, and are otherwise in compliance with the contractual terms of the loan or</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agreement. Management believes that there is a low likelihood of loss related to those loans and leases that are</w:t>
            </w:r>
          </w:p>
        </w:tc>
      </w:tr>
      <w:tr>
        <w:trPr>
          <w:trHeight w:val="234"/>
        </w:trPr>
        <w:tc>
          <w:tcPr>
            <w:tcW w:w="1880" w:type="dxa"/>
            <w:vAlign w:val="bottom"/>
          </w:tcPr>
          <w:p>
            <w:pPr>
              <w:spacing w:after="0"/>
              <w:rPr>
                <w:sz w:val="20"/>
                <w:szCs w:val="20"/>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considered Pass.</w:t>
            </w:r>
          </w:p>
        </w:tc>
      </w:tr>
      <w:tr>
        <w:trPr>
          <w:trHeight w:val="373"/>
        </w:trPr>
        <w:tc>
          <w:tcPr>
            <w:tcW w:w="1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 Mention:</w:t>
            </w: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and leases in all classes within the commercial portfolio segment that have potential weaknesses that deserve</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management’s close attention. If not addressed, these potential weaknesses may result in deterioration of the repayment</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prospects for the loan or lease. Management believes that there is a moderate likelihood of some loss related to those loans</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leases that are considered Special Mention. The Special Mention credit quality indicator is not used for the consumer</w:t>
            </w:r>
          </w:p>
        </w:tc>
      </w:tr>
      <w:tr>
        <w:trPr>
          <w:trHeight w:val="234"/>
        </w:trPr>
        <w:tc>
          <w:tcPr>
            <w:tcW w:w="1880" w:type="dxa"/>
            <w:vAlign w:val="bottom"/>
          </w:tcPr>
          <w:p>
            <w:pPr>
              <w:spacing w:after="0"/>
              <w:rPr>
                <w:sz w:val="20"/>
                <w:szCs w:val="20"/>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portfolio segment.</w:t>
            </w:r>
          </w:p>
        </w:tc>
      </w:tr>
      <w:tr>
        <w:trPr>
          <w:trHeight w:val="373"/>
        </w:trPr>
        <w:tc>
          <w:tcPr>
            <w:tcW w:w="1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Classified:</w:t>
            </w: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are inadequately protected by the sound worth</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paying capacity of the borrower or of the collateral pledged, if any. Classified loans and leases are also those in the</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classes within the consumer portfolio segment that are past due 90 days or more as to principal or interest. Residential</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mortgage loans that are past due 90 days or more as to principal or interest may be considered Pass if the current loan-to-value</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ratio is 60% or less. Home equity loans that are past due 90 days or more as to principal or interest may be considered Pass if</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first mortgage is with the Company and the current combined loan-to-value ratio is 60% or less. Residential mortgage and</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home equity loans may be current as to principal and interest, but may be considered Classified for a period of generally up to</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six months following a loan modification. Following a period of demonstrated performance in accordance with the modified</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contractual terms, the loan may be removed from Classified status. Management believes that there is a distinct possibility</w:t>
            </w:r>
          </w:p>
        </w:tc>
      </w:tr>
      <w:tr>
        <w:trPr>
          <w:trHeight w:val="216"/>
        </w:trPr>
        <w:tc>
          <w:tcPr>
            <w:tcW w:w="1880" w:type="dxa"/>
            <w:vAlign w:val="bottom"/>
          </w:tcPr>
          <w:p>
            <w:pPr>
              <w:spacing w:after="0"/>
              <w:rPr>
                <w:sz w:val="18"/>
                <w:szCs w:val="18"/>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that the Company will sustain some loss if the deficiencies related to Classified loans and leases are not corrected in a timely</w:t>
            </w:r>
          </w:p>
        </w:tc>
      </w:tr>
      <w:tr>
        <w:trPr>
          <w:trHeight w:val="234"/>
        </w:trPr>
        <w:tc>
          <w:tcPr>
            <w:tcW w:w="1880" w:type="dxa"/>
            <w:vAlign w:val="bottom"/>
          </w:tcPr>
          <w:p>
            <w:pPr>
              <w:spacing w:after="0"/>
              <w:rPr>
                <w:sz w:val="20"/>
                <w:szCs w:val="20"/>
                <w:color w:val="auto"/>
              </w:rPr>
            </w:pPr>
          </w:p>
        </w:tc>
        <w:tc>
          <w:tcPr>
            <w:tcW w:w="9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manner.</w:t>
            </w:r>
          </w:p>
        </w:tc>
      </w:tr>
      <w:tr>
        <w:trPr>
          <w:trHeight w:val="823"/>
        </w:trPr>
        <w:tc>
          <w:tcPr>
            <w:tcW w:w="1880" w:type="dxa"/>
            <w:vAlign w:val="bottom"/>
          </w:tcPr>
          <w:p>
            <w:pPr>
              <w:spacing w:after="0"/>
              <w:rPr>
                <w:sz w:val="24"/>
                <w:szCs w:val="24"/>
                <w:color w:val="auto"/>
              </w:rPr>
            </w:pPr>
          </w:p>
        </w:tc>
        <w:tc>
          <w:tcPr>
            <w:tcW w:w="93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86</w:t>
            </w:r>
          </w:p>
        </w:tc>
      </w:tr>
      <w:tr>
        <w:trPr>
          <w:trHeight w:val="115"/>
        </w:trPr>
        <w:tc>
          <w:tcPr>
            <w:tcW w:w="1880" w:type="dxa"/>
            <w:vAlign w:val="bottom"/>
            <w:tcBorders>
              <w:bottom w:val="single" w:sz="8" w:color="9A9A9A"/>
            </w:tcBorders>
          </w:tcPr>
          <w:p>
            <w:pPr>
              <w:spacing w:after="0"/>
              <w:rPr>
                <w:sz w:val="10"/>
                <w:szCs w:val="10"/>
                <w:color w:val="auto"/>
              </w:rPr>
            </w:pPr>
          </w:p>
        </w:tc>
        <w:tc>
          <w:tcPr>
            <w:tcW w:w="9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Pass rated credits, risk ratings are certified at a minimum annually. For Special Mention or Classified Credits, risk ratings are reviewed for appropriateness on an ongoing basis, monthly, or at a minimum, quarterly. The following presents by credit quality indicator, loan class, and year of origination, the amortized cost basis of the Company’s loans and leases as of December 31, 2020.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Term Loans by Origination Year</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220" w:type="dxa"/>
            <w:vAlign w:val="bottom"/>
          </w:tcPr>
          <w:p>
            <w:pPr>
              <w:spacing w:after="0"/>
              <w:rPr>
                <w:sz w:val="12"/>
                <w:szCs w:val="12"/>
                <w:color w:val="auto"/>
              </w:rPr>
            </w:pP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2"/>
                <w:szCs w:val="12"/>
                <w:color w:val="auto"/>
              </w:rPr>
            </w:pP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2"/>
                <w:szCs w:val="12"/>
                <w:color w:val="auto"/>
              </w:rPr>
            </w:pPr>
          </w:p>
        </w:tc>
        <w:tc>
          <w:tcPr>
            <w:tcW w:w="66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2"/>
                <w:szCs w:val="12"/>
                <w:color w:val="auto"/>
              </w:rPr>
            </w:pPr>
          </w:p>
        </w:tc>
        <w:tc>
          <w:tcPr>
            <w:tcW w:w="7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to Term</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and Leases</w:t>
            </w:r>
          </w:p>
        </w:tc>
        <w:tc>
          <w:tcPr>
            <w:tcW w:w="0" w:type="dxa"/>
            <w:vAlign w:val="bottom"/>
          </w:tcPr>
          <w:p>
            <w:pPr>
              <w:spacing w:after="0"/>
              <w:rPr>
                <w:sz w:val="1"/>
                <w:szCs w:val="1"/>
                <w:color w:val="auto"/>
              </w:rPr>
            </w:pPr>
          </w:p>
        </w:tc>
      </w:tr>
      <w:tr>
        <w:trPr>
          <w:trHeight w:val="18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Pass</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944,463</w:t>
            </w:r>
          </w:p>
        </w:tc>
        <w:tc>
          <w:tcPr>
            <w:tcW w:w="2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149,024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149,468</w:t>
            </w:r>
          </w:p>
        </w:tc>
        <w:tc>
          <w:tcPr>
            <w:tcW w:w="3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3"/>
                <w:szCs w:val="13"/>
                <w:color w:val="auto"/>
              </w:rPr>
              <w:t>49,385</w:t>
            </w:r>
          </w:p>
        </w:tc>
        <w:tc>
          <w:tcPr>
            <w:tcW w:w="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52,354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68,269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342,339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847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1,756,149</w:t>
            </w:r>
          </w:p>
        </w:tc>
        <w:tc>
          <w:tcPr>
            <w:tcW w:w="0" w:type="dxa"/>
            <w:vAlign w:val="bottom"/>
          </w:tcPr>
          <w:p>
            <w:pPr>
              <w:spacing w:after="0"/>
              <w:rPr>
                <w:sz w:val="1"/>
                <w:szCs w:val="1"/>
                <w:color w:val="auto"/>
              </w:rPr>
            </w:pPr>
          </w:p>
        </w:tc>
      </w:tr>
      <w:tr>
        <w:trPr>
          <w:trHeight w:val="162"/>
        </w:trPr>
        <w:tc>
          <w:tcPr>
            <w:tcW w:w="2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Special Mention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11,702</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32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110</w:t>
            </w:r>
          </w:p>
        </w:tc>
        <w:tc>
          <w:tcPr>
            <w:tcW w:w="260" w:type="dxa"/>
            <w:vAlign w:val="bottom"/>
          </w:tcPr>
          <w:p>
            <w:pPr>
              <w:spacing w:after="0"/>
              <w:rPr>
                <w:sz w:val="14"/>
                <w:szCs w:val="14"/>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95</w:t>
            </w:r>
          </w:p>
        </w:tc>
        <w:tc>
          <w:tcPr>
            <w:tcW w:w="22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32,319</w:t>
            </w:r>
          </w:p>
        </w:tc>
        <w:tc>
          <w:tcPr>
            <w:tcW w:w="20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52</w:t>
            </w:r>
          </w:p>
        </w:tc>
        <w:tc>
          <w:tcPr>
            <w:tcW w:w="22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44,320</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Classified</w:t>
            </w:r>
          </w:p>
        </w:tc>
        <w:tc>
          <w:tcPr>
            <w:tcW w:w="3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32,208</w:t>
            </w:r>
          </w:p>
        </w:tc>
        <w:tc>
          <w:tcPr>
            <w:tcW w:w="2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1,734</w:t>
            </w:r>
          </w:p>
        </w:tc>
        <w:tc>
          <w:tcPr>
            <w:tcW w:w="3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2,266</w:t>
            </w:r>
          </w:p>
        </w:tc>
        <w:tc>
          <w:tcPr>
            <w:tcW w:w="3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3"/>
                <w:szCs w:val="13"/>
                <w:color w:val="auto"/>
              </w:rPr>
              <w:t>777</w:t>
            </w: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19</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19,166</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18,529</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125</w:t>
            </w: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74,824</w:t>
            </w:r>
          </w:p>
        </w:tc>
        <w:tc>
          <w:tcPr>
            <w:tcW w:w="0" w:type="dxa"/>
            <w:vAlign w:val="bottom"/>
          </w:tcPr>
          <w:p>
            <w:pPr>
              <w:spacing w:after="0"/>
              <w:rPr>
                <w:sz w:val="1"/>
                <w:szCs w:val="1"/>
                <w:color w:val="auto"/>
              </w:rPr>
            </w:pPr>
          </w:p>
        </w:tc>
      </w:tr>
      <w:tr>
        <w:trPr>
          <w:trHeight w:val="143"/>
        </w:trPr>
        <w:tc>
          <w:tcPr>
            <w:tcW w:w="206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auto"/>
              </w:rPr>
              <w:t>Total Commercial and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Industrial</w:t>
            </w: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988,373</w:t>
            </w:r>
          </w:p>
        </w:tc>
        <w:tc>
          <w:tcPr>
            <w:tcW w:w="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150,800</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151,734</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color w:val="auto"/>
              </w:rPr>
              <w:t>50,162</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52,483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87,530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393,187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1,024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1,875,293</w:t>
            </w:r>
          </w:p>
        </w:tc>
        <w:tc>
          <w:tcPr>
            <w:tcW w:w="0" w:type="dxa"/>
            <w:vAlign w:val="bottom"/>
          </w:tcPr>
          <w:p>
            <w:pPr>
              <w:spacing w:after="0"/>
              <w:rPr>
                <w:sz w:val="1"/>
                <w:szCs w:val="1"/>
                <w:color w:val="auto"/>
              </w:rPr>
            </w:pPr>
          </w:p>
        </w:tc>
      </w:tr>
      <w:tr>
        <w:trPr>
          <w:trHeight w:val="143"/>
        </w:trPr>
        <w:tc>
          <w:tcPr>
            <w:tcW w:w="206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3"/>
                <w:szCs w:val="13"/>
                <w:color w:val="auto"/>
              </w:rPr>
              <w:t>Commercial Mortgage</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Pass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847,676</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458,472</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350,363</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auto"/>
              </w:rPr>
              <w:t>245,157</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267,860</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425,157</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76,869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2,671,554</w:t>
            </w:r>
          </w:p>
        </w:tc>
        <w:tc>
          <w:tcPr>
            <w:tcW w:w="0" w:type="dxa"/>
            <w:vAlign w:val="bottom"/>
          </w:tcPr>
          <w:p>
            <w:pPr>
              <w:spacing w:after="0"/>
              <w:rPr>
                <w:sz w:val="1"/>
                <w:szCs w:val="1"/>
                <w:color w:val="auto"/>
              </w:rPr>
            </w:pPr>
          </w:p>
        </w:tc>
      </w:tr>
      <w:tr>
        <w:trPr>
          <w:trHeight w:val="162"/>
        </w:trPr>
        <w:tc>
          <w:tcPr>
            <w:tcW w:w="2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Special Mention</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66,523</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28,418</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291</w:t>
            </w: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3"/>
                <w:szCs w:val="13"/>
                <w:color w:val="auto"/>
              </w:rPr>
              <w:t>7,117</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8,665</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5,035</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116,049</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Classified</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49,640</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2,783</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color w:val="auto"/>
              </w:rPr>
              <w:t>274</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4,742</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9,132</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67,226</w:t>
            </w:r>
          </w:p>
        </w:tc>
        <w:tc>
          <w:tcPr>
            <w:tcW w:w="0" w:type="dxa"/>
            <w:vAlign w:val="bottom"/>
          </w:tcPr>
          <w:p>
            <w:pPr>
              <w:spacing w:after="0"/>
              <w:rPr>
                <w:sz w:val="1"/>
                <w:szCs w:val="1"/>
                <w:color w:val="auto"/>
              </w:rPr>
            </w:pPr>
          </w:p>
        </w:tc>
      </w:tr>
      <w:tr>
        <w:trPr>
          <w:trHeight w:val="143"/>
        </w:trPr>
        <w:tc>
          <w:tcPr>
            <w:tcW w:w="206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3"/>
                <w:szCs w:val="13"/>
                <w:color w:val="auto"/>
              </w:rPr>
              <w:t>Total Commercial</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Mortgage</w:t>
            </w:r>
          </w:p>
        </w:tc>
        <w:tc>
          <w:tcPr>
            <w:tcW w:w="50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963,839</w:t>
            </w:r>
          </w:p>
        </w:tc>
        <w:tc>
          <w:tcPr>
            <w:tcW w:w="2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487,545</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353,437</w:t>
            </w:r>
          </w:p>
        </w:tc>
        <w:tc>
          <w:tcPr>
            <w:tcW w:w="3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3"/>
                <w:szCs w:val="13"/>
                <w:color w:val="auto"/>
              </w:rPr>
              <w:t>252,548</w:t>
            </w:r>
          </w:p>
        </w:tc>
        <w:tc>
          <w:tcPr>
            <w:tcW w:w="2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281,267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439,324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76,869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2,854,829</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6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auto"/>
              </w:rPr>
              <w:t>Construction</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Pass</w:t>
            </w:r>
          </w:p>
        </w:tc>
        <w:tc>
          <w:tcPr>
            <w:tcW w:w="50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106,508</w:t>
            </w:r>
          </w:p>
        </w:tc>
        <w:tc>
          <w:tcPr>
            <w:tcW w:w="2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105,731</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11,275</w:t>
            </w:r>
          </w:p>
        </w:tc>
        <w:tc>
          <w:tcPr>
            <w:tcW w:w="3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3"/>
                <w:szCs w:val="13"/>
                <w:color w:val="auto"/>
              </w:rPr>
              <w:t>8,133</w:t>
            </w:r>
          </w:p>
        </w:tc>
        <w:tc>
          <w:tcPr>
            <w:tcW w:w="2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28,151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259,798</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Total Construction</w:t>
            </w: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106,508</w:t>
            </w:r>
          </w:p>
        </w:tc>
        <w:tc>
          <w:tcPr>
            <w:tcW w:w="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105,731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11,275</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color w:val="auto"/>
              </w:rPr>
              <w:t>8,133</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28,151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259,798</w:t>
            </w:r>
          </w:p>
        </w:tc>
        <w:tc>
          <w:tcPr>
            <w:tcW w:w="0" w:type="dxa"/>
            <w:vAlign w:val="bottom"/>
          </w:tcPr>
          <w:p>
            <w:pPr>
              <w:spacing w:after="0"/>
              <w:rPr>
                <w:sz w:val="1"/>
                <w:szCs w:val="1"/>
                <w:color w:val="auto"/>
              </w:rPr>
            </w:pPr>
          </w:p>
        </w:tc>
      </w:tr>
      <w:tr>
        <w:trPr>
          <w:trHeight w:val="143"/>
        </w:trPr>
        <w:tc>
          <w:tcPr>
            <w:tcW w:w="206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3"/>
                <w:szCs w:val="13"/>
                <w:color w:val="auto"/>
              </w:rPr>
              <w:t>Lease Financing</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Pass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19,906</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20,132</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13,785</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auto"/>
              </w:rPr>
              <w:t>4,202</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9,657</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41,755</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109,437</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Classified</w:t>
            </w:r>
          </w:p>
        </w:tc>
        <w:tc>
          <w:tcPr>
            <w:tcW w:w="3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33</w:t>
            </w:r>
          </w:p>
        </w:tc>
        <w:tc>
          <w:tcPr>
            <w:tcW w:w="2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3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1,092</w:t>
            </w:r>
          </w:p>
        </w:tc>
        <w:tc>
          <w:tcPr>
            <w:tcW w:w="3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95</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1,329</w:t>
            </w:r>
          </w:p>
        </w:tc>
        <w:tc>
          <w:tcPr>
            <w:tcW w:w="0" w:type="dxa"/>
            <w:vAlign w:val="bottom"/>
          </w:tcPr>
          <w:p>
            <w:pPr>
              <w:spacing w:after="0"/>
              <w:rPr>
                <w:sz w:val="1"/>
                <w:szCs w:val="1"/>
                <w:color w:val="auto"/>
              </w:rPr>
            </w:pPr>
          </w:p>
        </w:tc>
      </w:tr>
      <w:tr>
        <w:trPr>
          <w:trHeight w:val="143"/>
        </w:trPr>
        <w:tc>
          <w:tcPr>
            <w:tcW w:w="206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auto"/>
              </w:rPr>
              <w:t>Total Lease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Financing</w:t>
            </w: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19,939</w:t>
            </w:r>
          </w:p>
        </w:tc>
        <w:tc>
          <w:tcPr>
            <w:tcW w:w="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20,199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14,877</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color w:val="auto"/>
              </w:rPr>
              <w:t>4,244</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9,752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41,755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110,766</w:t>
            </w:r>
          </w:p>
        </w:tc>
        <w:tc>
          <w:tcPr>
            <w:tcW w:w="0" w:type="dxa"/>
            <w:vAlign w:val="bottom"/>
          </w:tcPr>
          <w:p>
            <w:pPr>
              <w:spacing w:after="0"/>
              <w:rPr>
                <w:sz w:val="1"/>
                <w:szCs w:val="1"/>
                <w:color w:val="auto"/>
              </w:rPr>
            </w:pPr>
          </w:p>
        </w:tc>
      </w:tr>
      <w:tr>
        <w:trPr>
          <w:trHeight w:val="143"/>
        </w:trPr>
        <w:tc>
          <w:tcPr>
            <w:tcW w:w="2060" w:type="dxa"/>
            <w:vAlign w:val="bottom"/>
            <w:tcBorders>
              <w:bottom w:val="single" w:sz="8" w:color="auto"/>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Total Commercial</w:t>
            </w:r>
          </w:p>
        </w:tc>
        <w:tc>
          <w:tcPr>
            <w:tcW w:w="500" w:type="dxa"/>
            <w:vAlign w:val="bottom"/>
            <w:tcBorders>
              <w:bottom w:val="single" w:sz="8" w:color="auto"/>
            </w:tcBorders>
            <w:gridSpan w:val="2"/>
            <w:shd w:val="clear" w:color="auto" w:fill="CFF0FC"/>
          </w:tcPr>
          <w:p>
            <w:pPr>
              <w:jc w:val="right"/>
              <w:ind w:right="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2"/>
              <w:spacing w:after="0" w:line="143" w:lineRule="exact"/>
              <w:rPr>
                <w:sz w:val="20"/>
                <w:szCs w:val="20"/>
                <w:color w:val="auto"/>
              </w:rPr>
            </w:pPr>
            <w:r>
              <w:rPr>
                <w:rFonts w:ascii="Times New Roman" w:cs="Times New Roman" w:eastAsia="Times New Roman" w:hAnsi="Times New Roman"/>
                <w:sz w:val="13"/>
                <w:szCs w:val="13"/>
                <w:color w:val="auto"/>
              </w:rPr>
              <w:t>2,078,659</w:t>
            </w:r>
          </w:p>
        </w:tc>
        <w:tc>
          <w:tcPr>
            <w:tcW w:w="260" w:type="dxa"/>
            <w:vAlign w:val="bottom"/>
            <w:tcBorders>
              <w:bottom w:val="single" w:sz="8" w:color="auto"/>
            </w:tcBorders>
            <w:shd w:val="clear" w:color="auto" w:fill="CFF0FC"/>
          </w:tcPr>
          <w:p>
            <w:pPr>
              <w:jc w:val="right"/>
              <w:ind w:right="13"/>
              <w:spacing w:after="0" w:line="14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764,275</w:t>
            </w:r>
          </w:p>
        </w:tc>
        <w:tc>
          <w:tcPr>
            <w:tcW w:w="3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32"/>
              <w:spacing w:after="0" w:line="143" w:lineRule="exact"/>
              <w:rPr>
                <w:sz w:val="20"/>
                <w:szCs w:val="20"/>
                <w:color w:val="auto"/>
              </w:rPr>
            </w:pPr>
            <w:r>
              <w:rPr>
                <w:rFonts w:ascii="Times New Roman" w:cs="Times New Roman" w:eastAsia="Times New Roman" w:hAnsi="Times New Roman"/>
                <w:sz w:val="13"/>
                <w:szCs w:val="13"/>
                <w:color w:val="auto"/>
              </w:rPr>
              <w:t>531,323</w:t>
            </w:r>
          </w:p>
        </w:tc>
        <w:tc>
          <w:tcPr>
            <w:tcW w:w="300" w:type="dxa"/>
            <w:vAlign w:val="bottom"/>
            <w:tcBorders>
              <w:bottom w:val="single" w:sz="8" w:color="auto"/>
            </w:tcBorders>
            <w:shd w:val="clear" w:color="auto" w:fill="CFF0FC"/>
          </w:tcPr>
          <w:p>
            <w:pPr>
              <w:jc w:val="right"/>
              <w:ind w:right="53"/>
              <w:spacing w:after="0" w:line="14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132"/>
              <w:spacing w:after="0" w:line="143" w:lineRule="exact"/>
              <w:rPr>
                <w:sz w:val="20"/>
                <w:szCs w:val="20"/>
                <w:color w:val="auto"/>
              </w:rPr>
            </w:pPr>
            <w:r>
              <w:rPr>
                <w:rFonts w:ascii="Times New Roman" w:cs="Times New Roman" w:eastAsia="Times New Roman" w:hAnsi="Times New Roman"/>
                <w:sz w:val="13"/>
                <w:szCs w:val="13"/>
                <w:color w:val="auto"/>
              </w:rPr>
              <w:t>315,087</w:t>
            </w:r>
          </w:p>
        </w:tc>
        <w:tc>
          <w:tcPr>
            <w:tcW w:w="220" w:type="dxa"/>
            <w:vAlign w:val="bottom"/>
            <w:tcBorders>
              <w:bottom w:val="single" w:sz="8" w:color="auto"/>
            </w:tcBorders>
            <w:shd w:val="clear" w:color="auto" w:fill="CFF0FC"/>
          </w:tcPr>
          <w:p>
            <w:pPr>
              <w:jc w:val="right"/>
              <w:ind w:right="53"/>
              <w:spacing w:after="0" w:line="14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FF0FC"/>
          </w:tcPr>
          <w:p>
            <w:pPr>
              <w:jc w:val="right"/>
              <w:ind w:right="32"/>
              <w:spacing w:after="0" w:line="143" w:lineRule="exact"/>
              <w:rPr>
                <w:sz w:val="20"/>
                <w:szCs w:val="20"/>
                <w:color w:val="auto"/>
              </w:rPr>
            </w:pPr>
            <w:r>
              <w:rPr>
                <w:rFonts w:ascii="Times New Roman" w:cs="Times New Roman" w:eastAsia="Times New Roman" w:hAnsi="Times New Roman"/>
                <w:sz w:val="13"/>
                <w:szCs w:val="13"/>
                <w:color w:val="auto"/>
              </w:rPr>
              <w:t>343,502</w:t>
            </w:r>
          </w:p>
        </w:tc>
        <w:tc>
          <w:tcPr>
            <w:tcW w:w="2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2"/>
              <w:spacing w:after="0" w:line="143" w:lineRule="exact"/>
              <w:rPr>
                <w:sz w:val="20"/>
                <w:szCs w:val="20"/>
                <w:color w:val="auto"/>
              </w:rPr>
            </w:pPr>
            <w:r>
              <w:rPr>
                <w:rFonts w:ascii="Times New Roman" w:cs="Times New Roman" w:eastAsia="Times New Roman" w:hAnsi="Times New Roman"/>
                <w:sz w:val="13"/>
                <w:szCs w:val="13"/>
                <w:color w:val="auto"/>
              </w:rPr>
              <w:t>568,609</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52"/>
              <w:spacing w:after="0" w:line="143" w:lineRule="exact"/>
              <w:rPr>
                <w:sz w:val="20"/>
                <w:szCs w:val="20"/>
                <w:color w:val="auto"/>
              </w:rPr>
            </w:pPr>
            <w:r>
              <w:rPr>
                <w:rFonts w:ascii="Times New Roman" w:cs="Times New Roman" w:eastAsia="Times New Roman" w:hAnsi="Times New Roman"/>
                <w:sz w:val="13"/>
                <w:szCs w:val="13"/>
                <w:color w:val="auto"/>
              </w:rPr>
              <w:t>498,207</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32"/>
              <w:spacing w:after="0" w:line="143" w:lineRule="exact"/>
              <w:rPr>
                <w:sz w:val="20"/>
                <w:szCs w:val="20"/>
                <w:color w:val="auto"/>
              </w:rPr>
            </w:pPr>
            <w:r>
              <w:rPr>
                <w:rFonts w:ascii="Times New Roman" w:cs="Times New Roman" w:eastAsia="Times New Roman" w:hAnsi="Times New Roman"/>
                <w:sz w:val="13"/>
                <w:szCs w:val="13"/>
                <w:color w:val="auto"/>
              </w:rPr>
              <w:t>1,024</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2"/>
              <w:spacing w:after="0" w:line="143" w:lineRule="exact"/>
              <w:rPr>
                <w:sz w:val="20"/>
                <w:szCs w:val="20"/>
                <w:color w:val="auto"/>
              </w:rPr>
            </w:pPr>
            <w:r>
              <w:rPr>
                <w:rFonts w:ascii="Times New Roman" w:cs="Times New Roman" w:eastAsia="Times New Roman" w:hAnsi="Times New Roman"/>
                <w:sz w:val="13"/>
                <w:szCs w:val="13"/>
                <w:color w:val="auto"/>
              </w:rPr>
              <w:t>5,100,686</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Consumer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Residential Mortgage</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Pass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1,300,831</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576,452</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295,522</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auto"/>
              </w:rPr>
              <w:t>454,165</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545,798</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954,120</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4,126,888</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Classified</w:t>
            </w:r>
          </w:p>
        </w:tc>
        <w:tc>
          <w:tcPr>
            <w:tcW w:w="3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3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3"/>
                <w:szCs w:val="13"/>
                <w:color w:val="auto"/>
              </w:rPr>
              <w:t>1,032</w:t>
            </w: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2,299</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3,625</w:t>
            </w:r>
          </w:p>
        </w:tc>
        <w:tc>
          <w:tcPr>
            <w:tcW w:w="0" w:type="dxa"/>
            <w:vAlign w:val="bottom"/>
          </w:tcPr>
          <w:p>
            <w:pPr>
              <w:spacing w:after="0"/>
              <w:rPr>
                <w:sz w:val="1"/>
                <w:szCs w:val="1"/>
                <w:color w:val="auto"/>
              </w:rPr>
            </w:pPr>
          </w:p>
        </w:tc>
      </w:tr>
      <w:tr>
        <w:trPr>
          <w:trHeight w:val="143"/>
        </w:trPr>
        <w:tc>
          <w:tcPr>
            <w:tcW w:w="206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auto"/>
              </w:rPr>
              <w:t>Total Residential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Mortgage</w:t>
            </w: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1,300,831</w:t>
            </w:r>
          </w:p>
        </w:tc>
        <w:tc>
          <w:tcPr>
            <w:tcW w:w="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576,746</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295,522</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color w:val="auto"/>
              </w:rPr>
              <w:t>455,197</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545,798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956,419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4,130,513</w:t>
            </w:r>
          </w:p>
        </w:tc>
        <w:tc>
          <w:tcPr>
            <w:tcW w:w="0" w:type="dxa"/>
            <w:vAlign w:val="bottom"/>
          </w:tcPr>
          <w:p>
            <w:pPr>
              <w:spacing w:after="0"/>
              <w:rPr>
                <w:sz w:val="1"/>
                <w:szCs w:val="1"/>
                <w:color w:val="auto"/>
              </w:rPr>
            </w:pPr>
          </w:p>
        </w:tc>
      </w:tr>
      <w:tr>
        <w:trPr>
          <w:trHeight w:val="143"/>
        </w:trPr>
        <w:tc>
          <w:tcPr>
            <w:tcW w:w="206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3"/>
                <w:szCs w:val="13"/>
                <w:color w:val="auto"/>
              </w:rPr>
              <w:t>Home Equity</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Pass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4,449</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1,556,671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37,559</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1,598,679</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Classified</w:t>
            </w:r>
          </w:p>
        </w:tc>
        <w:tc>
          <w:tcPr>
            <w:tcW w:w="3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88</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4,693</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1,078</w:t>
            </w: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5,859</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Total Home Equity</w:t>
            </w: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4,537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1,561,364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38,637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1,604,538</w:t>
            </w:r>
          </w:p>
        </w:tc>
        <w:tc>
          <w:tcPr>
            <w:tcW w:w="0" w:type="dxa"/>
            <w:vAlign w:val="bottom"/>
          </w:tcPr>
          <w:p>
            <w:pPr>
              <w:spacing w:after="0"/>
              <w:rPr>
                <w:sz w:val="1"/>
                <w:szCs w:val="1"/>
                <w:color w:val="auto"/>
              </w:rPr>
            </w:pPr>
          </w:p>
        </w:tc>
      </w:tr>
      <w:tr>
        <w:trPr>
          <w:trHeight w:val="143"/>
        </w:trPr>
        <w:tc>
          <w:tcPr>
            <w:tcW w:w="206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3"/>
                <w:szCs w:val="13"/>
                <w:color w:val="auto"/>
              </w:rPr>
              <w:t>Automobile</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Pass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219,218</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213,914</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158,216</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auto"/>
              </w:rPr>
              <w:t>68,776</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33,899</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13,850</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707,873</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Classified</w:t>
            </w:r>
          </w:p>
        </w:tc>
        <w:tc>
          <w:tcPr>
            <w:tcW w:w="3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101</w:t>
            </w:r>
          </w:p>
        </w:tc>
        <w:tc>
          <w:tcPr>
            <w:tcW w:w="2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3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171</w:t>
            </w:r>
          </w:p>
        </w:tc>
        <w:tc>
          <w:tcPr>
            <w:tcW w:w="3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3"/>
                <w:szCs w:val="13"/>
                <w:color w:val="auto"/>
              </w:rPr>
              <w:t>113</w:t>
            </w: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161</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136</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927</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Total Automobile</w:t>
            </w: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219,319</w:t>
            </w:r>
          </w:p>
        </w:tc>
        <w:tc>
          <w:tcPr>
            <w:tcW w:w="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214,159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158,387</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color w:val="auto"/>
              </w:rPr>
              <w:t>68,889</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34,060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13,986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708,800</w:t>
            </w:r>
          </w:p>
        </w:tc>
        <w:tc>
          <w:tcPr>
            <w:tcW w:w="0" w:type="dxa"/>
            <w:vAlign w:val="bottom"/>
          </w:tcPr>
          <w:p>
            <w:pPr>
              <w:spacing w:after="0"/>
              <w:rPr>
                <w:sz w:val="1"/>
                <w:szCs w:val="1"/>
                <w:color w:val="auto"/>
              </w:rPr>
            </w:pPr>
          </w:p>
        </w:tc>
      </w:tr>
      <w:tr>
        <w:trPr>
          <w:trHeight w:val="143"/>
        </w:trPr>
        <w:tc>
          <w:tcPr>
            <w:tcW w:w="2060" w:type="dxa"/>
            <w:vAlign w:val="bottom"/>
            <w:shd w:val="clear" w:color="auto" w:fill="CFF0FC"/>
          </w:tcPr>
          <w:p>
            <w:pPr>
              <w:ind w:left="260"/>
              <w:spacing w:after="0" w:line="143"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1"/>
                <w:szCs w:val="11"/>
                <w:color w:val="auto"/>
              </w:rPr>
              <w:t>1</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Pass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71,042</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145,549</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92,993</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auto"/>
              </w:rPr>
              <w:t>39,770</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9,225</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2,189</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32,070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1,485</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394,323</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Classified</w:t>
            </w:r>
          </w:p>
        </w:tc>
        <w:tc>
          <w:tcPr>
            <w:tcW w:w="3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51</w:t>
            </w:r>
          </w:p>
        </w:tc>
        <w:tc>
          <w:tcPr>
            <w:tcW w:w="2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3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375</w:t>
            </w:r>
          </w:p>
        </w:tc>
        <w:tc>
          <w:tcPr>
            <w:tcW w:w="3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3"/>
                <w:szCs w:val="13"/>
                <w:color w:val="auto"/>
              </w:rPr>
              <w:t>167</w:t>
            </w: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42</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21</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85</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1,160</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Total Other</w:t>
            </w: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71,093</w:t>
            </w:r>
          </w:p>
        </w:tc>
        <w:tc>
          <w:tcPr>
            <w:tcW w:w="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145,968</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93,368</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color w:val="auto"/>
              </w:rPr>
              <w:t>39,937</w:t>
            </w: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9,267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2,210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32,155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color w:val="auto"/>
              </w:rPr>
              <w:t>1,485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395,483</w:t>
            </w:r>
          </w:p>
        </w:tc>
        <w:tc>
          <w:tcPr>
            <w:tcW w:w="0" w:type="dxa"/>
            <w:vAlign w:val="bottom"/>
          </w:tcPr>
          <w:p>
            <w:pPr>
              <w:spacing w:after="0"/>
              <w:rPr>
                <w:sz w:val="1"/>
                <w:szCs w:val="1"/>
                <w:color w:val="auto"/>
              </w:rPr>
            </w:pPr>
          </w:p>
        </w:tc>
      </w:tr>
      <w:tr>
        <w:trPr>
          <w:trHeight w:val="143"/>
        </w:trPr>
        <w:tc>
          <w:tcPr>
            <w:tcW w:w="2060" w:type="dxa"/>
            <w:vAlign w:val="bottom"/>
            <w:tcBorders>
              <w:bottom w:val="single" w:sz="8" w:color="auto"/>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Total Consumer</w:t>
            </w:r>
          </w:p>
        </w:tc>
        <w:tc>
          <w:tcPr>
            <w:tcW w:w="500" w:type="dxa"/>
            <w:vAlign w:val="bottom"/>
            <w:tcBorders>
              <w:bottom w:val="single" w:sz="8" w:color="auto"/>
            </w:tcBorders>
            <w:gridSpan w:val="2"/>
            <w:shd w:val="clear" w:color="auto" w:fill="CFF0FC"/>
          </w:tcPr>
          <w:p>
            <w:pPr>
              <w:jc w:val="right"/>
              <w:ind w:right="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52"/>
              <w:spacing w:after="0" w:line="143" w:lineRule="exact"/>
              <w:rPr>
                <w:sz w:val="20"/>
                <w:szCs w:val="20"/>
                <w:color w:val="auto"/>
              </w:rPr>
            </w:pPr>
            <w:r>
              <w:rPr>
                <w:rFonts w:ascii="Times New Roman" w:cs="Times New Roman" w:eastAsia="Times New Roman" w:hAnsi="Times New Roman"/>
                <w:sz w:val="13"/>
                <w:szCs w:val="13"/>
                <w:color w:val="auto"/>
              </w:rPr>
              <w:t>1,591,243</w:t>
            </w:r>
          </w:p>
        </w:tc>
        <w:tc>
          <w:tcPr>
            <w:tcW w:w="260" w:type="dxa"/>
            <w:vAlign w:val="bottom"/>
            <w:tcBorders>
              <w:bottom w:val="single" w:sz="8" w:color="auto"/>
            </w:tcBorders>
            <w:shd w:val="clear" w:color="auto" w:fill="CFF0FC"/>
          </w:tcPr>
          <w:p>
            <w:pPr>
              <w:jc w:val="right"/>
              <w:ind w:right="13"/>
              <w:spacing w:after="0" w:line="14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936,873</w:t>
            </w:r>
          </w:p>
        </w:tc>
        <w:tc>
          <w:tcPr>
            <w:tcW w:w="3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ind w:right="32"/>
              <w:spacing w:after="0" w:line="143" w:lineRule="exact"/>
              <w:rPr>
                <w:sz w:val="20"/>
                <w:szCs w:val="20"/>
                <w:color w:val="auto"/>
              </w:rPr>
            </w:pPr>
            <w:r>
              <w:rPr>
                <w:rFonts w:ascii="Times New Roman" w:cs="Times New Roman" w:eastAsia="Times New Roman" w:hAnsi="Times New Roman"/>
                <w:sz w:val="13"/>
                <w:szCs w:val="13"/>
                <w:color w:val="auto"/>
              </w:rPr>
              <w:t>547,277</w:t>
            </w:r>
          </w:p>
        </w:tc>
        <w:tc>
          <w:tcPr>
            <w:tcW w:w="300" w:type="dxa"/>
            <w:vAlign w:val="bottom"/>
            <w:tcBorders>
              <w:bottom w:val="single" w:sz="8" w:color="auto"/>
            </w:tcBorders>
            <w:shd w:val="clear" w:color="auto" w:fill="CFF0FC"/>
          </w:tcPr>
          <w:p>
            <w:pPr>
              <w:jc w:val="right"/>
              <w:ind w:right="53"/>
              <w:spacing w:after="0" w:line="14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132"/>
              <w:spacing w:after="0" w:line="143" w:lineRule="exact"/>
              <w:rPr>
                <w:sz w:val="20"/>
                <w:szCs w:val="20"/>
                <w:color w:val="auto"/>
              </w:rPr>
            </w:pPr>
            <w:r>
              <w:rPr>
                <w:rFonts w:ascii="Times New Roman" w:cs="Times New Roman" w:eastAsia="Times New Roman" w:hAnsi="Times New Roman"/>
                <w:sz w:val="13"/>
                <w:szCs w:val="13"/>
                <w:color w:val="auto"/>
              </w:rPr>
              <w:t>564,023</w:t>
            </w:r>
          </w:p>
        </w:tc>
        <w:tc>
          <w:tcPr>
            <w:tcW w:w="220" w:type="dxa"/>
            <w:vAlign w:val="bottom"/>
            <w:tcBorders>
              <w:bottom w:val="single" w:sz="8" w:color="auto"/>
            </w:tcBorders>
            <w:shd w:val="clear" w:color="auto" w:fill="CFF0FC"/>
          </w:tcPr>
          <w:p>
            <w:pPr>
              <w:jc w:val="right"/>
              <w:ind w:right="53"/>
              <w:spacing w:after="0" w:line="14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FF0FC"/>
          </w:tcPr>
          <w:p>
            <w:pPr>
              <w:jc w:val="right"/>
              <w:ind w:right="32"/>
              <w:spacing w:after="0" w:line="143" w:lineRule="exact"/>
              <w:rPr>
                <w:sz w:val="20"/>
                <w:szCs w:val="20"/>
                <w:color w:val="auto"/>
              </w:rPr>
            </w:pPr>
            <w:r>
              <w:rPr>
                <w:rFonts w:ascii="Times New Roman" w:cs="Times New Roman" w:eastAsia="Times New Roman" w:hAnsi="Times New Roman"/>
                <w:sz w:val="13"/>
                <w:szCs w:val="13"/>
                <w:color w:val="auto"/>
              </w:rPr>
              <w:t>589,125</w:t>
            </w:r>
          </w:p>
        </w:tc>
        <w:tc>
          <w:tcPr>
            <w:tcW w:w="2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52"/>
              <w:spacing w:after="0" w:line="143" w:lineRule="exact"/>
              <w:rPr>
                <w:sz w:val="20"/>
                <w:szCs w:val="20"/>
                <w:color w:val="auto"/>
              </w:rPr>
            </w:pPr>
            <w:r>
              <w:rPr>
                <w:rFonts w:ascii="Times New Roman" w:cs="Times New Roman" w:eastAsia="Times New Roman" w:hAnsi="Times New Roman"/>
                <w:sz w:val="13"/>
                <w:szCs w:val="13"/>
                <w:color w:val="auto"/>
              </w:rPr>
              <w:t>977,152</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52"/>
              <w:spacing w:after="0" w:line="143" w:lineRule="exact"/>
              <w:rPr>
                <w:sz w:val="20"/>
                <w:szCs w:val="20"/>
                <w:color w:val="auto"/>
              </w:rPr>
            </w:pPr>
            <w:r>
              <w:rPr>
                <w:rFonts w:ascii="Times New Roman" w:cs="Times New Roman" w:eastAsia="Times New Roman" w:hAnsi="Times New Roman"/>
                <w:sz w:val="13"/>
                <w:szCs w:val="13"/>
                <w:color w:val="auto"/>
              </w:rPr>
              <w:t>1,593,519</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32"/>
              <w:spacing w:after="0" w:line="143" w:lineRule="exact"/>
              <w:rPr>
                <w:sz w:val="20"/>
                <w:szCs w:val="20"/>
                <w:color w:val="auto"/>
              </w:rPr>
            </w:pPr>
            <w:r>
              <w:rPr>
                <w:rFonts w:ascii="Times New Roman" w:cs="Times New Roman" w:eastAsia="Times New Roman" w:hAnsi="Times New Roman"/>
                <w:sz w:val="13"/>
                <w:szCs w:val="13"/>
                <w:color w:val="auto"/>
              </w:rPr>
              <w:t>40,122</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FF0FC"/>
          </w:tcPr>
          <w:p>
            <w:pPr>
              <w:jc w:val="right"/>
              <w:ind w:right="72"/>
              <w:spacing w:after="0" w:line="143" w:lineRule="exact"/>
              <w:rPr>
                <w:sz w:val="20"/>
                <w:szCs w:val="20"/>
                <w:color w:val="auto"/>
              </w:rPr>
            </w:pPr>
            <w:r>
              <w:rPr>
                <w:rFonts w:ascii="Times New Roman" w:cs="Times New Roman" w:eastAsia="Times New Roman" w:hAnsi="Times New Roman"/>
                <w:sz w:val="13"/>
                <w:szCs w:val="13"/>
                <w:color w:val="auto"/>
              </w:rPr>
              <w:t>6,839,334</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6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rPr>
              <w:t>Total Loans and Leases</w:t>
            </w:r>
          </w:p>
        </w:tc>
        <w:tc>
          <w:tcPr>
            <w:tcW w:w="500" w:type="dxa"/>
            <w:vAlign w:val="bottom"/>
            <w:tcBorders>
              <w:bottom w:val="single" w:sz="8" w:color="auto"/>
            </w:tcBorders>
            <w:gridSpan w:val="2"/>
          </w:tcPr>
          <w:p>
            <w:pPr>
              <w:jc w:val="right"/>
              <w:ind w:right="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52"/>
              <w:spacing w:after="0" w:line="143" w:lineRule="exact"/>
              <w:rPr>
                <w:sz w:val="20"/>
                <w:szCs w:val="20"/>
                <w:color w:val="auto"/>
              </w:rPr>
            </w:pPr>
            <w:r>
              <w:rPr>
                <w:rFonts w:ascii="Times New Roman" w:cs="Times New Roman" w:eastAsia="Times New Roman" w:hAnsi="Times New Roman"/>
                <w:sz w:val="13"/>
                <w:szCs w:val="13"/>
                <w:color w:val="auto"/>
              </w:rPr>
              <w:t>3,669,902</w:t>
            </w:r>
          </w:p>
        </w:tc>
        <w:tc>
          <w:tcPr>
            <w:tcW w:w="260" w:type="dxa"/>
            <w:vAlign w:val="bottom"/>
            <w:tcBorders>
              <w:bottom w:val="single" w:sz="8" w:color="auto"/>
            </w:tcBorders>
          </w:tcPr>
          <w:p>
            <w:pPr>
              <w:jc w:val="right"/>
              <w:ind w:right="13"/>
              <w:spacing w:after="0" w:line="143"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1,701,148</w:t>
            </w:r>
          </w:p>
        </w:tc>
        <w:tc>
          <w:tcPr>
            <w:tcW w:w="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32"/>
              <w:spacing w:after="0" w:line="143" w:lineRule="exact"/>
              <w:rPr>
                <w:sz w:val="20"/>
                <w:szCs w:val="20"/>
                <w:color w:val="auto"/>
              </w:rPr>
            </w:pPr>
            <w:r>
              <w:rPr>
                <w:rFonts w:ascii="Times New Roman" w:cs="Times New Roman" w:eastAsia="Times New Roman" w:hAnsi="Times New Roman"/>
                <w:sz w:val="13"/>
                <w:szCs w:val="13"/>
                <w:color w:val="auto"/>
              </w:rPr>
              <w:t>1,078,600</w:t>
            </w:r>
          </w:p>
        </w:tc>
        <w:tc>
          <w:tcPr>
            <w:tcW w:w="300" w:type="dxa"/>
            <w:vAlign w:val="bottom"/>
            <w:tcBorders>
              <w:bottom w:val="single" w:sz="8" w:color="auto"/>
            </w:tcBorders>
          </w:tcPr>
          <w:p>
            <w:pPr>
              <w:jc w:val="right"/>
              <w:ind w:right="53"/>
              <w:spacing w:after="0" w:line="14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32"/>
              <w:spacing w:after="0" w:line="143" w:lineRule="exact"/>
              <w:rPr>
                <w:sz w:val="20"/>
                <w:szCs w:val="20"/>
                <w:color w:val="auto"/>
              </w:rPr>
            </w:pPr>
            <w:r>
              <w:rPr>
                <w:rFonts w:ascii="Times New Roman" w:cs="Times New Roman" w:eastAsia="Times New Roman" w:hAnsi="Times New Roman"/>
                <w:sz w:val="13"/>
                <w:szCs w:val="13"/>
                <w:color w:val="auto"/>
              </w:rPr>
              <w:t>879,110</w:t>
            </w:r>
          </w:p>
        </w:tc>
        <w:tc>
          <w:tcPr>
            <w:tcW w:w="220" w:type="dxa"/>
            <w:vAlign w:val="bottom"/>
            <w:tcBorders>
              <w:bottom w:val="single" w:sz="8" w:color="auto"/>
            </w:tcBorders>
          </w:tcPr>
          <w:p>
            <w:pPr>
              <w:jc w:val="right"/>
              <w:ind w:right="53"/>
              <w:spacing w:after="0" w:line="14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2"/>
              <w:spacing w:after="0" w:line="143" w:lineRule="exact"/>
              <w:rPr>
                <w:sz w:val="20"/>
                <w:szCs w:val="20"/>
                <w:color w:val="auto"/>
              </w:rPr>
            </w:pPr>
            <w:r>
              <w:rPr>
                <w:rFonts w:ascii="Times New Roman" w:cs="Times New Roman" w:eastAsia="Times New Roman" w:hAnsi="Times New Roman"/>
                <w:sz w:val="13"/>
                <w:szCs w:val="13"/>
                <w:color w:val="auto"/>
              </w:rPr>
              <w:t>932,627</w:t>
            </w:r>
          </w:p>
        </w:tc>
        <w:tc>
          <w:tcPr>
            <w:tcW w:w="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52"/>
              <w:spacing w:after="0" w:line="143" w:lineRule="exact"/>
              <w:rPr>
                <w:sz w:val="20"/>
                <w:szCs w:val="20"/>
                <w:color w:val="auto"/>
              </w:rPr>
            </w:pPr>
            <w:r>
              <w:rPr>
                <w:rFonts w:ascii="Times New Roman" w:cs="Times New Roman" w:eastAsia="Times New Roman" w:hAnsi="Times New Roman"/>
                <w:sz w:val="13"/>
                <w:szCs w:val="13"/>
                <w:color w:val="auto"/>
              </w:rPr>
              <w:t>1,545,761</w:t>
            </w:r>
          </w:p>
        </w:tc>
        <w:tc>
          <w:tcPr>
            <w:tcW w:w="2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2"/>
              <w:spacing w:after="0" w:line="143" w:lineRule="exact"/>
              <w:rPr>
                <w:sz w:val="20"/>
                <w:szCs w:val="20"/>
                <w:color w:val="auto"/>
              </w:rPr>
            </w:pPr>
            <w:r>
              <w:rPr>
                <w:rFonts w:ascii="Times New Roman" w:cs="Times New Roman" w:eastAsia="Times New Roman" w:hAnsi="Times New Roman"/>
                <w:sz w:val="13"/>
                <w:szCs w:val="13"/>
                <w:color w:val="auto"/>
              </w:rPr>
              <w:t>2,091,726</w:t>
            </w:r>
          </w:p>
        </w:tc>
        <w:tc>
          <w:tcPr>
            <w:tcW w:w="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2"/>
              <w:spacing w:after="0" w:line="143" w:lineRule="exact"/>
              <w:rPr>
                <w:sz w:val="20"/>
                <w:szCs w:val="20"/>
                <w:color w:val="auto"/>
              </w:rPr>
            </w:pPr>
            <w:r>
              <w:rPr>
                <w:rFonts w:ascii="Times New Roman" w:cs="Times New Roman" w:eastAsia="Times New Roman" w:hAnsi="Times New Roman"/>
                <w:sz w:val="13"/>
                <w:szCs w:val="13"/>
                <w:color w:val="auto"/>
              </w:rPr>
              <w:t>41,146</w:t>
            </w:r>
          </w:p>
        </w:tc>
        <w:tc>
          <w:tcPr>
            <w:tcW w:w="2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72"/>
              <w:spacing w:after="0" w:line="143" w:lineRule="exact"/>
              <w:rPr>
                <w:sz w:val="20"/>
                <w:szCs w:val="20"/>
                <w:color w:val="auto"/>
              </w:rPr>
            </w:pPr>
            <w:r>
              <w:rPr>
                <w:rFonts w:ascii="Times New Roman" w:cs="Times New Roman" w:eastAsia="Times New Roman" w:hAnsi="Times New Roman"/>
                <w:sz w:val="13"/>
                <w:szCs w:val="13"/>
                <w:color w:val="auto"/>
              </w:rPr>
              <w:t>11,940,020</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Comprised of other revolving credit, installment, and lease financing.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2020, $2.9 million revolving loans were converted to term loans.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by loan class and credit quality indicator, the recorded investment in the Company’s loans and leases as of December 31, 2019.</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and</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Lease</w:t>
            </w:r>
          </w:p>
        </w:tc>
        <w:tc>
          <w:tcPr>
            <w:tcW w:w="32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Industrial</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0" w:type="dxa"/>
            <w:vAlign w:val="bottom"/>
          </w:tcPr>
          <w:p>
            <w:pPr>
              <w:spacing w:after="0"/>
              <w:rPr>
                <w:sz w:val="1"/>
                <w:szCs w:val="1"/>
                <w:color w:val="auto"/>
              </w:rPr>
            </w:pPr>
          </w:p>
        </w:tc>
      </w:tr>
      <w:tr>
        <w:trPr>
          <w:trHeight w:val="212"/>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Pass</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1,306,040</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2,463,858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188,832</w:t>
            </w:r>
          </w:p>
        </w:tc>
        <w:tc>
          <w:tcPr>
            <w:tcW w:w="3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120,933</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4,079,663</w:t>
            </w: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Special Mention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37,722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16,453</w:t>
            </w:r>
          </w:p>
        </w:tc>
        <w:tc>
          <w:tcPr>
            <w:tcW w:w="30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4,148</w:t>
            </w:r>
          </w:p>
        </w:tc>
        <w:tc>
          <w:tcPr>
            <w:tcW w:w="3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58,323</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Classified</w:t>
            </w:r>
          </w:p>
        </w:tc>
        <w:tc>
          <w:tcPr>
            <w:tcW w:w="7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35,390</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37,740</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1,190</w:t>
            </w: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1,521</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75,841</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1,379,152</w:t>
            </w: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2,518,051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194,170</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122,454</w:t>
            </w: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4,213,827</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Home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7"/>
                <w:szCs w:val="27"/>
                <w:b w:val="1"/>
                <w:bCs w:val="1"/>
                <w:color w:val="auto"/>
                <w:vertAlign w:val="superscript"/>
              </w:rPr>
              <w:t>1</w:t>
            </w:r>
          </w:p>
        </w:tc>
        <w:tc>
          <w:tcPr>
            <w:tcW w:w="32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8"/>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Automobile</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Pass</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3,886,389</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1,671,468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719,337</w:t>
            </w:r>
          </w:p>
        </w:tc>
        <w:tc>
          <w:tcPr>
            <w:tcW w:w="3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488,113</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6,765,307</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Classified</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4,711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949</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1,493</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11,758</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3,891,100</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1,676,073</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720,286</w:t>
            </w:r>
          </w:p>
        </w:tc>
        <w:tc>
          <w:tcPr>
            <w:tcW w:w="3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489,606</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6,777,065</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Recorded Investment in Loans and Leases</w:t>
            </w: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10,990,892</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Comprised of other revolving credit, installment, and lease financing.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Aging Analysis</w:t>
      </w:r>
    </w:p>
    <w:p>
      <w:pPr>
        <w:spacing w:after="0" w:line="20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Loans and leases are considered to be past due once becoming 30 days delinquent. For the consumer portfolio, this generally represents two missed monthly payments. The following presents by class, an aging analysis of the Company’s loan and lease portfolio as of December 31, 2020, and December 31,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03"/>
        </w:trPr>
        <w:tc>
          <w:tcPr>
            <w:tcW w:w="2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Accrual</w:t>
            </w:r>
          </w:p>
        </w:tc>
      </w:tr>
      <w:tr>
        <w:trPr>
          <w:trHeight w:val="203"/>
        </w:trPr>
        <w:tc>
          <w:tcPr>
            <w:tcW w:w="2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203"/>
        </w:trPr>
        <w:tc>
          <w:tcPr>
            <w:tcW w:w="2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Past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and</w:t>
            </w:r>
          </w:p>
        </w:tc>
      </w:tr>
      <w:tr>
        <w:trPr>
          <w:trHeight w:val="203"/>
        </w:trPr>
        <w:tc>
          <w:tcPr>
            <w:tcW w:w="2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30-59</w:t>
            </w:r>
          </w:p>
        </w:tc>
        <w:tc>
          <w:tcPr>
            <w:tcW w:w="36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60-89</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03"/>
        </w:trPr>
        <w:tc>
          <w:tcPr>
            <w:tcW w:w="2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Days</w:t>
            </w:r>
          </w:p>
        </w:tc>
        <w:tc>
          <w:tcPr>
            <w:tcW w:w="36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and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that</w:t>
            </w:r>
          </w:p>
        </w:tc>
      </w:tr>
      <w:tr>
        <w:trPr>
          <w:trHeight w:val="199"/>
        </w:trPr>
        <w:tc>
          <w:tcPr>
            <w:tcW w:w="2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Past</w:t>
            </w:r>
          </w:p>
        </w:tc>
        <w:tc>
          <w:tcPr>
            <w:tcW w:w="36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Past</w:t>
            </w:r>
          </w:p>
        </w:tc>
        <w:tc>
          <w:tcPr>
            <w:tcW w:w="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Non-</w:t>
            </w:r>
          </w:p>
        </w:tc>
        <w:tc>
          <w:tcPr>
            <w:tcW w:w="2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and</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are</w:t>
            </w:r>
          </w:p>
        </w:tc>
      </w:tr>
      <w:tr>
        <w:trPr>
          <w:trHeight w:val="222"/>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Due</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Due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or More</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Current </w:t>
            </w:r>
            <w:r>
              <w:rPr>
                <w:rFonts w:ascii="Times New Roman" w:cs="Times New Roman" w:eastAsia="Times New Roman" w:hAnsi="Times New Roman"/>
                <w:sz w:val="25"/>
                <w:szCs w:val="25"/>
                <w:b w:val="1"/>
                <w:bCs w:val="1"/>
                <w:color w:val="auto"/>
                <w:vertAlign w:val="superscript"/>
              </w:rPr>
              <w:t>2</w:t>
            </w:r>
          </w:p>
        </w:tc>
      </w:tr>
      <w:tr>
        <w:trPr>
          <w:trHeight w:val="20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Commercial</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191</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1,874,602</w:t>
            </w:r>
          </w:p>
        </w:tc>
        <w:tc>
          <w:tcPr>
            <w:tcW w:w="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1,875,293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 Mortgage</w:t>
            </w:r>
          </w:p>
        </w:tc>
        <w:tc>
          <w:tcPr>
            <w:tcW w:w="6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8,527</w:t>
            </w:r>
          </w:p>
        </w:tc>
        <w:tc>
          <w:tcPr>
            <w:tcW w:w="2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8,527</w:t>
            </w:r>
          </w:p>
        </w:tc>
        <w:tc>
          <w:tcPr>
            <w:tcW w:w="2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2,846,302</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2,854,829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w:t>
            </w: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Construction</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259,798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259,798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Lease Financing</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110,766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110,766</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6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191</w:t>
            </w: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8,968</w:t>
            </w: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9,218</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5,091,468</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5,100,686</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5,268</w:t>
            </w:r>
          </w:p>
        </w:tc>
      </w:tr>
      <w:tr>
        <w:trPr>
          <w:trHeight w:val="20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Residential Mortgage</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4,049</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2,083</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5,274</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3,223</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14,629</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4,115,884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4,130,513</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w:t>
            </w: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Home Equity</w:t>
            </w:r>
          </w:p>
        </w:tc>
        <w:tc>
          <w:tcPr>
            <w:tcW w:w="6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3,423</w:t>
            </w:r>
          </w:p>
        </w:tc>
        <w:tc>
          <w:tcPr>
            <w:tcW w:w="36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3,378</w:t>
            </w:r>
          </w:p>
        </w:tc>
        <w:tc>
          <w:tcPr>
            <w:tcW w:w="2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3,187</w:t>
            </w:r>
          </w:p>
        </w:tc>
        <w:tc>
          <w:tcPr>
            <w:tcW w:w="2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3,958</w:t>
            </w:r>
          </w:p>
        </w:tc>
        <w:tc>
          <w:tcPr>
            <w:tcW w:w="2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13,946</w:t>
            </w:r>
          </w:p>
        </w:tc>
        <w:tc>
          <w:tcPr>
            <w:tcW w:w="2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1,590,592</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1,604,538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Automobile</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6,358</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2,215</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925</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9,498</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699,302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708,800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440" w:type="dxa"/>
            <w:vAlign w:val="bottom"/>
            <w:tcBorders>
              <w:bottom w:val="single" w:sz="8" w:color="auto"/>
            </w:tcBorders>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1</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2,556</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1,612</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1,160</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5,328</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390,155</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395,483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6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16,386</w:t>
            </w:r>
          </w:p>
        </w:tc>
        <w:tc>
          <w:tcPr>
            <w:tcW w:w="3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9,288</w:t>
            </w:r>
          </w:p>
        </w:tc>
        <w:tc>
          <w:tcPr>
            <w:tcW w:w="2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10,546</w:t>
            </w:r>
          </w:p>
        </w:tc>
        <w:tc>
          <w:tcPr>
            <w:tcW w:w="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7,181</w:t>
            </w:r>
          </w:p>
        </w:tc>
        <w:tc>
          <w:tcPr>
            <w:tcW w:w="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43,401</w:t>
            </w: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6,795,933</w:t>
            </w: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6,839,334</w:t>
            </w: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3,087</w:t>
            </w:r>
          </w:p>
        </w:tc>
      </w:tr>
      <w:tr>
        <w:trPr>
          <w:trHeight w:val="250"/>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16,577</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9,347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10,546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16,149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52,619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11,887,401</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11,940,020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8,355</w:t>
            </w:r>
          </w:p>
        </w:tc>
      </w:tr>
      <w:tr>
        <w:trPr>
          <w:trHeight w:val="198"/>
        </w:trPr>
        <w:tc>
          <w:tcPr>
            <w:tcW w:w="2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12,534</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13,512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1,365,640</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1,379,152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Mortgage</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2,998</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9,244</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12,242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2,505,809</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2,518,051</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9,244</w:t>
            </w: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Construction</w:t>
            </w:r>
          </w:p>
        </w:tc>
        <w:tc>
          <w:tcPr>
            <w:tcW w:w="6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36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194,018</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194,170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4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Lease Financing</w:t>
            </w:r>
          </w:p>
        </w:tc>
        <w:tc>
          <w:tcPr>
            <w:tcW w:w="6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720</w:t>
            </w: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720</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121,734</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122,454</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16,353</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199</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10,074</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26,626</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4,187,201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4,213,827</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9,665</w:t>
            </w:r>
          </w:p>
        </w:tc>
      </w:tr>
      <w:tr>
        <w:trPr>
          <w:trHeight w:val="212"/>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Residential Mortgage</w:t>
            </w:r>
          </w:p>
        </w:tc>
        <w:tc>
          <w:tcPr>
            <w:tcW w:w="6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6,097</w:t>
            </w:r>
          </w:p>
        </w:tc>
        <w:tc>
          <w:tcPr>
            <w:tcW w:w="36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2,070</w:t>
            </w:r>
          </w:p>
        </w:tc>
        <w:tc>
          <w:tcPr>
            <w:tcW w:w="2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1,839</w:t>
            </w:r>
          </w:p>
        </w:tc>
        <w:tc>
          <w:tcPr>
            <w:tcW w:w="2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4,125</w:t>
            </w:r>
          </w:p>
        </w:tc>
        <w:tc>
          <w:tcPr>
            <w:tcW w:w="2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14,131</w:t>
            </w:r>
          </w:p>
        </w:tc>
        <w:tc>
          <w:tcPr>
            <w:tcW w:w="2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3,876,969</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3,891,100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r>
      <w:tr>
        <w:trPr>
          <w:trHeight w:val="219"/>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Home Equity</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3,949</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2,280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4,125</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3,181</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13,535</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1,662,538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1,676,073</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3"/>
        </w:trPr>
        <w:tc>
          <w:tcPr>
            <w:tcW w:w="2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Automobile</w:t>
            </w:r>
          </w:p>
        </w:tc>
        <w:tc>
          <w:tcPr>
            <w:tcW w:w="6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16,067</w:t>
            </w:r>
          </w:p>
        </w:tc>
        <w:tc>
          <w:tcPr>
            <w:tcW w:w="36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4,154</w:t>
            </w:r>
          </w:p>
        </w:tc>
        <w:tc>
          <w:tcPr>
            <w:tcW w:w="2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949</w:t>
            </w:r>
          </w:p>
        </w:tc>
        <w:tc>
          <w:tcPr>
            <w:tcW w:w="2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21,170</w:t>
            </w:r>
          </w:p>
        </w:tc>
        <w:tc>
          <w:tcPr>
            <w:tcW w:w="2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699,116</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720,286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440" w:type="dxa"/>
            <w:vAlign w:val="bottom"/>
            <w:tcBorders>
              <w:bottom w:val="single" w:sz="8" w:color="auto"/>
            </w:tcBorders>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1</w:t>
            </w:r>
          </w:p>
        </w:tc>
        <w:tc>
          <w:tcPr>
            <w:tcW w:w="6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3,498</w:t>
            </w: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2,074</w:t>
            </w: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1,493</w:t>
            </w: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7,065</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482,541</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489,606</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6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29,611</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10,578</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8,406</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7,306</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55,901</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6,721,164</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6,777,065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w:t>
            </w:r>
          </w:p>
        </w:tc>
      </w:tr>
      <w:tr>
        <w:trPr>
          <w:trHeight w:val="211"/>
        </w:trPr>
        <w:tc>
          <w:tcPr>
            <w:tcW w:w="2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45,964</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10,777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8,406</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17,380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82,527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10,908,365</w:t>
            </w:r>
          </w:p>
        </w:tc>
        <w:tc>
          <w:tcPr>
            <w:tcW w:w="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10,990,892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11,506</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Comprised of other revolving credit, installment, and lease financing.</w:t>
      </w:r>
    </w:p>
    <w:p>
      <w:pPr>
        <w:spacing w:after="0" w:line="4"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non-accrual loans that are not past due 30 days or more; however, full payment of principal and interest is still not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 and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non-accrual loans and leases as of December 31, 2020, and December 31,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197"/>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34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loans with a</w:t>
            </w:r>
          </w:p>
        </w:tc>
        <w:tc>
          <w:tcPr>
            <w:tcW w:w="14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loans without a</w:t>
            </w:r>
          </w:p>
        </w:tc>
        <w:tc>
          <w:tcPr>
            <w:tcW w:w="2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 Non-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 Non-</w:t>
            </w:r>
          </w:p>
        </w:tc>
      </w:tr>
      <w:tr>
        <w:trPr>
          <w:trHeight w:val="21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related ACL</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related ACL</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accrual loans</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accrual loans</w:t>
            </w:r>
          </w:p>
        </w:tc>
      </w:tr>
      <w:tr>
        <w:trPr>
          <w:trHeight w:val="213"/>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Impaired Loans with No Related Allowance Recorded:</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830</w:t>
            </w:r>
          </w:p>
        </w:tc>
      </w:tr>
      <w:tr>
        <w:trPr>
          <w:trHeight w:val="213"/>
        </w:trPr>
        <w:tc>
          <w:tcPr>
            <w:tcW w:w="5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Commercial Mortgage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8,527</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8,527</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9,244</w:t>
            </w:r>
          </w:p>
        </w:tc>
      </w:tr>
      <w:tr>
        <w:trPr>
          <w:trHeight w:val="209"/>
        </w:trPr>
        <w:tc>
          <w:tcPr>
            <w:tcW w:w="5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Commercial</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8,968</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8,968</w:t>
            </w: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10,074</w:t>
            </w:r>
          </w:p>
        </w:tc>
      </w:tr>
      <w:tr>
        <w:trPr>
          <w:trHeight w:val="210"/>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Residential Mortgage</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127</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3,223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4,125</w:t>
            </w:r>
          </w:p>
        </w:tc>
      </w:tr>
      <w:tr>
        <w:trPr>
          <w:trHeight w:val="213"/>
        </w:trPr>
        <w:tc>
          <w:tcPr>
            <w:tcW w:w="5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Home Equity</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3,958</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3,181</w:t>
            </w:r>
          </w:p>
        </w:tc>
      </w:tr>
      <w:tr>
        <w:trPr>
          <w:trHeight w:val="210"/>
        </w:trPr>
        <w:tc>
          <w:tcPr>
            <w:tcW w:w="5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Consumer</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7,054</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127</w:t>
            </w: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7,181</w:t>
            </w: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7,306</w:t>
            </w:r>
          </w:p>
        </w:tc>
      </w:tr>
      <w:tr>
        <w:trPr>
          <w:trHeight w:val="210"/>
        </w:trPr>
        <w:tc>
          <w:tcPr>
            <w:tcW w:w="5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16,149</w:t>
            </w: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17,380</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payments received while on non-accrual status are applied against the principal balance of the loan or lease. The Company does not recognize interest income while loans or leases are on non-accrual status.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$72.5 million and $69.1 million as of December 31, 2020, and December 31, 2019, respectively. As of December 31, 2020, there were $0.5 million commitments to lend additional funds on loans modified in a TDR. As of December 31, 2019, there were $0.3 million commitments to lend additional funds on loans modified in a TDR.</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15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The following presents by class, information related to loans modified in a TDR during the years ended December 31, 2020, and December 31,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6"/>
          <w:szCs w:val="16"/>
          <w:b w:val="1"/>
          <w:bCs w:val="1"/>
          <w:color w:val="auto"/>
        </w:rPr>
        <w:t>Loans Modified as a TDR for the</w:t>
      </w:r>
    </w:p>
    <w:p>
      <w:pPr>
        <w:spacing w:after="0" w:line="28"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Loans Modified as a TDR for the</w:t>
      </w:r>
    </w:p>
    <w:p>
      <w:pPr>
        <w:spacing w:after="0" w:line="2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Year Ended December 31, 2019</w:t>
      </w:r>
    </w:p>
    <w:p>
      <w:pPr>
        <w:spacing w:after="0" w:line="19" w:lineRule="exact"/>
        <w:rPr>
          <w:sz w:val="20"/>
          <w:szCs w:val="20"/>
          <w:color w:val="auto"/>
        </w:rPr>
      </w:pPr>
    </w:p>
    <w:p>
      <w:pPr>
        <w:sectPr>
          <w:pgSz w:w="11900" w:h="16838" w:orient="portrait"/>
          <w:cols w:equalWidth="0" w:num="2">
            <w:col w:w="7420" w:space="720"/>
            <w:col w:w="31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35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Increase in</w:t>
            </w: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Increase in</w:t>
            </w:r>
          </w:p>
        </w:tc>
      </w:tr>
      <w:tr>
        <w:trPr>
          <w:trHeight w:val="203"/>
        </w:trPr>
        <w:tc>
          <w:tcPr>
            <w:tcW w:w="3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199"/>
        </w:trPr>
        <w:tc>
          <w:tcPr>
            <w:tcW w:w="3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Troubled Debt Restructurings</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 period</w:t>
            </w:r>
          </w:p>
        </w:tc>
        <w:tc>
          <w:tcPr>
            <w:tcW w:w="2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(as of period</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6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period</w:t>
            </w:r>
          </w:p>
        </w:tc>
        <w:tc>
          <w:tcPr>
            <w:tcW w:w="2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 period</w:t>
            </w:r>
          </w:p>
        </w:tc>
      </w:tr>
      <w:tr>
        <w:trPr>
          <w:trHeight w:val="222"/>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end) </w:t>
            </w:r>
            <w:r>
              <w:rPr>
                <w:rFonts w:ascii="Times New Roman" w:cs="Times New Roman" w:eastAsia="Times New Roman" w:hAnsi="Times New Roman"/>
                <w:sz w:val="25"/>
                <w:szCs w:val="25"/>
                <w:b w:val="1"/>
                <w:b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end)</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end) </w:t>
            </w:r>
            <w:r>
              <w:rPr>
                <w:rFonts w:ascii="Times New Roman" w:cs="Times New Roman" w:eastAsia="Times New Roman" w:hAnsi="Times New Roman"/>
                <w:sz w:val="25"/>
                <w:szCs w:val="25"/>
                <w:b w:val="1"/>
                <w:b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end)</w:t>
            </w: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3"/>
        </w:trPr>
        <w:tc>
          <w:tcPr>
            <w:tcW w:w="3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17,585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2,465</w:t>
            </w:r>
          </w:p>
        </w:tc>
      </w:tr>
      <w:tr>
        <w:trPr>
          <w:trHeight w:val="216"/>
        </w:trPr>
        <w:tc>
          <w:tcPr>
            <w:tcW w:w="35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Commercial Mortgage</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1,046</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3,623</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1,249</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21,208</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2,465</w:t>
            </w:r>
          </w:p>
        </w:tc>
      </w:tr>
      <w:tr>
        <w:trPr>
          <w:trHeight w:val="212"/>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3"/>
        </w:trPr>
        <w:tc>
          <w:tcPr>
            <w:tcW w:w="3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Residential Mortgage</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Home Equity</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1,246</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368</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3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Automobile</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352</w:t>
            </w:r>
          </w:p>
        </w:tc>
        <w:tc>
          <w:tcPr>
            <w:tcW w:w="2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7,541</w:t>
            </w:r>
          </w:p>
        </w:tc>
        <w:tc>
          <w:tcPr>
            <w:tcW w:w="2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w:t>
            </w: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5,911</w:t>
            </w:r>
          </w:p>
        </w:tc>
        <w:tc>
          <w:tcPr>
            <w:tcW w:w="2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3580" w:type="dxa"/>
            <w:vAlign w:val="bottom"/>
            <w:tcBorders>
              <w:bottom w:val="single" w:sz="8" w:color="auto"/>
            </w:tcBorders>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2</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1,850</w:t>
            </w: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572</w:t>
            </w: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542</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10,637</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432</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6,908</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r>
      <w:tr>
        <w:trPr>
          <w:trHeight w:val="209"/>
        </w:trPr>
        <w:tc>
          <w:tcPr>
            <w:tcW w:w="3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11,886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28,116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2,564</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period end balances reflect all partial paydowns and charge-offs since the modification date. TDRs fully paid off, charged off, or foreclosed upon by period end are not included.</w:t>
      </w:r>
    </w:p>
    <w:p>
      <w:pPr>
        <w:spacing w:after="0" w:line="3"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4"/>
          <w:szCs w:val="14"/>
          <w:color w:val="auto"/>
        </w:rPr>
        <w:t>Comprised of other revolving credit and installment financing.</w:t>
      </w:r>
    </w:p>
    <w:p>
      <w:pPr>
        <w:spacing w:after="0" w:line="15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The following presents by class, loans modified in a TDR that defaulted during the year ended December 31, 2020, and December 31, 2019, and within twelve months of their modification date. A TDR is considered to be in default once it becomes 60 days or more past due following a modification.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336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2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2"/>
        </w:trPr>
        <w:tc>
          <w:tcPr>
            <w:tcW w:w="4660" w:type="dxa"/>
            <w:vAlign w:val="bottom"/>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40" w:type="dxa"/>
            <w:vAlign w:val="bottom"/>
            <w:tcBorders>
              <w:bottom w:val="single" w:sz="8" w:color="auto"/>
            </w:tcBorders>
          </w:tcPr>
          <w:p>
            <w:pPr>
              <w:spacing w:after="0"/>
              <w:rPr>
                <w:sz w:val="18"/>
                <w:szCs w:val="18"/>
                <w:color w:val="auto"/>
              </w:rPr>
            </w:pPr>
          </w:p>
        </w:tc>
      </w:tr>
      <w:tr>
        <w:trPr>
          <w:trHeight w:val="200"/>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TDRs that Defaulted During the Period,</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Recorded</w:t>
            </w:r>
          </w:p>
        </w:tc>
      </w:tr>
      <w:tr>
        <w:trPr>
          <w:trHeight w:val="199"/>
        </w:trPr>
        <w:tc>
          <w:tcPr>
            <w:tcW w:w="46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Within Twelve Months of their Modification Date</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Investment</w:t>
            </w:r>
          </w:p>
        </w:tc>
      </w:tr>
      <w:tr>
        <w:trPr>
          <w:trHeight w:val="222"/>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80"/>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(as of period end) </w:t>
            </w:r>
            <w:r>
              <w:rPr>
                <w:rFonts w:ascii="Times New Roman" w:cs="Times New Roman" w:eastAsia="Times New Roman" w:hAnsi="Times New Roman"/>
                <w:sz w:val="25"/>
                <w:szCs w:val="25"/>
                <w:b w:val="1"/>
                <w:bCs w:val="1"/>
                <w:color w:val="auto"/>
                <w:vertAlign w:val="superscript"/>
              </w:rPr>
              <w:t>1</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(as of period end) </w:t>
            </w:r>
            <w:r>
              <w:rPr>
                <w:rFonts w:ascii="Times New Roman" w:cs="Times New Roman" w:eastAsia="Times New Roman" w:hAnsi="Times New Roman"/>
                <w:sz w:val="25"/>
                <w:szCs w:val="25"/>
                <w:b w:val="1"/>
                <w:bCs w:val="1"/>
                <w:color w:val="auto"/>
                <w:vertAlign w:val="superscript"/>
              </w:rPr>
              <w:t>1</w:t>
            </w: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w:t>
            </w: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3"/>
        </w:trPr>
        <w:tc>
          <w:tcPr>
            <w:tcW w:w="4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Consumer</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Residential Mortgage</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4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Home Equity</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w:t>
            </w:r>
          </w:p>
        </w:tc>
      </w:tr>
      <w:tr>
        <w:trPr>
          <w:trHeight w:val="21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Automobile</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723</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607</w:t>
            </w:r>
          </w:p>
        </w:tc>
      </w:tr>
      <w:tr>
        <w:trPr>
          <w:trHeight w:val="216"/>
        </w:trPr>
        <w:tc>
          <w:tcPr>
            <w:tcW w:w="4660" w:type="dxa"/>
            <w:vAlign w:val="bottom"/>
            <w:tcBorders>
              <w:bottom w:val="single" w:sz="8" w:color="auto"/>
            </w:tcBorders>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5"/>
                <w:szCs w:val="25"/>
                <w:color w:val="auto"/>
                <w:vertAlign w:val="superscript"/>
              </w:rPr>
              <w:t>2</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r>
      <w:tr>
        <w:trPr>
          <w:trHeight w:val="207"/>
        </w:trPr>
        <w:tc>
          <w:tcPr>
            <w:tcW w:w="4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Consumer</w:t>
            </w: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804</w:t>
            </w:r>
          </w:p>
        </w:tc>
        <w:tc>
          <w:tcPr>
            <w:tcW w:w="16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1,060</w:t>
            </w:r>
          </w:p>
        </w:tc>
      </w:tr>
      <w:tr>
        <w:trPr>
          <w:trHeight w:val="209"/>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831</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1,060</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period end balances reflect all paydowns and charge-offs since the modification date. TDRs fully paid off, charged off, or foreclosed upon by period end are not included.</w:t>
      </w:r>
    </w:p>
    <w:p>
      <w:pPr>
        <w:spacing w:after="0" w:line="3"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4"/>
          <w:szCs w:val="14"/>
          <w:color w:val="auto"/>
        </w:rPr>
        <w:t>Comprised of other revolving credit and installment financing.</w:t>
      </w:r>
    </w:p>
    <w:p>
      <w:pPr>
        <w:spacing w:after="0" w:line="16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in response to COVID-19</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Company began offering short-term loan modifications to assist borrowers during the COVID-19 pandemic. These modifications generally involve principal and/or interest payment deferrals for up to six months. As the COVID-19 pandemic persists in negatively impacting the economy, the Company continues to offer additional loan modifications to borrowers struggling as a result of COVID-19. Similar to the initial modifications granted, the additional round of loan modifications generally involve principal and/or interest payment deferrals for up to an additional six months for commercial and consumer loans, and principal-only deferrals for up to an additional 12 months for selected commercial loans. The Company generally continues to accrue and recognize interest income during the forbearance period. The Company offers several repayment options such as immediate repayment, repayment over a designated time period or as a balloon payment at maturity, or by extending the loan term. These modifications generally do not involve forgiveness or interest rate reductions. The CARES Act, along with a joint agency statement issued by banking agencies, provide that modifications made in response to COVID-19 to borrowers who qualify are not required to be accounted for as a TDR. Accordingly, the Company does not account for such qualifying as TDRs. See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more information.</w:t>
      </w:r>
    </w:p>
    <w:p>
      <w:pPr>
        <w:spacing w:after="0" w:line="15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231F20"/>
        </w:rPr>
        <w:t xml:space="preserve">The Company, as lessor, also granted short-term lease concessions on some of its sales-type finance leases for equipment and automobiles. The concessions primarily consists of six-month extension programs whereby lease payments currently due are deferred and shifted to the end of the lease term. Interest income continues to accrue during the deferral period. Additional round of lease concessions were not material. </w:t>
      </w:r>
      <w:r>
        <w:rPr>
          <w:rFonts w:ascii="Times New Roman" w:cs="Times New Roman" w:eastAsia="Times New Roman" w:hAnsi="Times New Roman"/>
          <w:sz w:val="18"/>
          <w:szCs w:val="18"/>
          <w:color w:val="000000"/>
        </w:rPr>
        <w:t>See Note 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Summary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 xml:space="preserve">Significant Accounting Policies </w:t>
      </w:r>
      <w:r>
        <w:rPr>
          <w:rFonts w:ascii="Times New Roman" w:cs="Times New Roman" w:eastAsia="Times New Roman" w:hAnsi="Times New Roman"/>
          <w:sz w:val="18"/>
          <w:szCs w:val="18"/>
          <w:color w:val="000000"/>
        </w:rPr>
        <w:t>for more information.</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2020, these COVID-19 related loan and lease modifications totaled $311.6 million (210 loans and leases) for the commercial segment and $178.1 million (1,920 loans and leases) for the consumer segment.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Foreclosure Proceedings</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Consumer mortgage loans collateralized by residential real estate property that are in the process of foreclosure totaled $1.0 million as of December 31,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Mortgage Servicing Rights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Company’s portfolio of residential mortgage loans serviced for third parties was $2.8 billion as of December 31, 2020, and $3.1 billion as of December 31, 2019, and $2.9 billion December 31, 2018. Substantially all of these loans were originated by the Company and sold to third parties on a non-recourse basis with servicing rights retained. These retained servicing rights are recorded as a servicing asset and are initially recorded at fair value (see Note 21 </w:t>
      </w:r>
      <w:r>
        <w:rPr>
          <w:rFonts w:ascii="Times New Roman" w:cs="Times New Roman" w:eastAsia="Times New Roman" w:hAnsi="Times New Roman"/>
          <w:sz w:val="18"/>
          <w:szCs w:val="18"/>
          <w:i w:val="1"/>
          <w:iCs w:val="1"/>
          <w:color w:val="auto"/>
        </w:rPr>
        <w:t xml:space="preserve">Fair Value of Assets and Liabilities </w:t>
      </w:r>
      <w:r>
        <w:rPr>
          <w:rFonts w:ascii="Times New Roman" w:cs="Times New Roman" w:eastAsia="Times New Roman" w:hAnsi="Times New Roman"/>
          <w:sz w:val="18"/>
          <w:szCs w:val="18"/>
          <w:color w:val="auto"/>
        </w:rPr>
        <w:t>for more information). Changes to the balance of mortgage servicing rights are recorded in mortgage banking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Company’s consolidated statements of income.</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$7.2 million for the years ended December 31, 2020, and $7.3 million for years ended December 31, 2019, and December 31, 2018, respectively. Servicing income is recorded in mortgage banking income in the Company’s consolidated statements of income. The Company’s residential mortgage investor loan servicing portfolio is primarily comprised of fixed rate loans concentrated in Hawaii.</w:t>
      </w:r>
    </w:p>
    <w:p>
      <w:pPr>
        <w:spacing w:after="0" w:line="14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December 31, 2019, and December 31, 2018, the change in the fair value of the Company’s mortgage servicing rights accounted for under the fair value measurement method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Beginning of Year</w:t>
            </w:r>
          </w:p>
        </w:tc>
        <w:tc>
          <w:tcPr>
            <w:tcW w:w="19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1,126</w:t>
            </w:r>
          </w:p>
        </w:tc>
        <w:tc>
          <w:tcPr>
            <w:tcW w:w="6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1,290</w:t>
            </w:r>
          </w:p>
        </w:tc>
        <w:tc>
          <w:tcPr>
            <w:tcW w:w="6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1,454</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Changes in Fair Value:</w:t>
            </w:r>
          </w:p>
        </w:tc>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2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Due to Payoffs</w:t>
            </w:r>
          </w:p>
        </w:tc>
        <w:tc>
          <w:tcPr>
            <w:tcW w:w="19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c>
          <w:tcPr>
            <w:tcW w:w="6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c>
          <w:tcPr>
            <w:tcW w:w="6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0"/>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Changes in Fair Value of Mortgage Servicing Rights</w:t>
            </w:r>
          </w:p>
        </w:tc>
        <w:tc>
          <w:tcPr>
            <w:tcW w:w="1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194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958</w:t>
            </w:r>
          </w:p>
        </w:tc>
        <w:tc>
          <w:tcPr>
            <w:tcW w:w="62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1,126</w:t>
            </w:r>
          </w:p>
        </w:tc>
        <w:tc>
          <w:tcPr>
            <w:tcW w:w="62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1,290</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December 31, 2019, and December 31, 2018, the change in the carrying value of the Company’s mortgage servicing rights accounted for under the amortization method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9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Beginning of Year</w:t>
            </w:r>
          </w:p>
        </w:tc>
        <w:tc>
          <w:tcPr>
            <w:tcW w:w="19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23,896</w:t>
            </w:r>
          </w:p>
        </w:tc>
        <w:tc>
          <w:tcPr>
            <w:tcW w:w="5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23,020</w:t>
            </w:r>
          </w:p>
        </w:tc>
        <w:tc>
          <w:tcPr>
            <w:tcW w:w="5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23,168</w:t>
            </w:r>
          </w:p>
        </w:tc>
      </w:tr>
      <w:tr>
        <w:trPr>
          <w:trHeight w:val="213"/>
        </w:trPr>
        <w:tc>
          <w:tcPr>
            <w:tcW w:w="51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Servicing Rights that Resulted From Asset Transfers</w:t>
            </w:r>
          </w:p>
        </w:tc>
        <w:tc>
          <w:tcPr>
            <w:tcW w:w="19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3,592</w:t>
            </w:r>
          </w:p>
        </w:tc>
        <w:tc>
          <w:tcPr>
            <w:tcW w:w="5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4,485</w:t>
            </w:r>
          </w:p>
        </w:tc>
        <w:tc>
          <w:tcPr>
            <w:tcW w:w="5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2,470</w:t>
            </w:r>
          </w:p>
        </w:tc>
      </w:tr>
      <w:tr>
        <w:trPr>
          <w:trHeight w:val="21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w:t>
            </w:r>
          </w:p>
        </w:tc>
        <w:tc>
          <w:tcPr>
            <w:tcW w:w="19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(4,902)</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(3,609)</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(2,618)</w:t>
            </w:r>
          </w:p>
        </w:tc>
      </w:tr>
      <w:tr>
        <w:trPr>
          <w:trHeight w:val="213"/>
        </w:trPr>
        <w:tc>
          <w:tcPr>
            <w:tcW w:w="5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Valuation Allowance Recovery (Provision)</w:t>
            </w:r>
          </w:p>
        </w:tc>
        <w:tc>
          <w:tcPr>
            <w:tcW w:w="19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(3,892)</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196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18,694</w:t>
            </w:r>
          </w:p>
        </w:tc>
        <w:tc>
          <w:tcPr>
            <w:tcW w:w="5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23,896</w:t>
            </w:r>
          </w:p>
        </w:tc>
        <w:tc>
          <w:tcPr>
            <w:tcW w:w="5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23,020</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Valuation Allowance:</w:t>
            </w:r>
          </w:p>
        </w:tc>
        <w:tc>
          <w:tcPr>
            <w:tcW w:w="1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8"/>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Beginning of Year</w:t>
            </w:r>
          </w:p>
        </w:tc>
        <w:tc>
          <w:tcPr>
            <w:tcW w:w="19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Valuation Allowance Recovery (Provision)</w:t>
            </w:r>
          </w:p>
        </w:tc>
        <w:tc>
          <w:tcPr>
            <w:tcW w:w="19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(3,892)</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196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(3,892)</w:t>
            </w:r>
          </w:p>
        </w:tc>
        <w:tc>
          <w:tcPr>
            <w:tcW w:w="5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8"/>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9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25,714</w:t>
            </w:r>
          </w:p>
        </w:tc>
        <w:tc>
          <w:tcPr>
            <w:tcW w:w="5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29,218</w:t>
            </w:r>
          </w:p>
        </w:tc>
        <w:tc>
          <w:tcPr>
            <w:tcW w:w="5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26,716</w:t>
            </w: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19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18,694</w:t>
            </w:r>
          </w:p>
        </w:tc>
        <w:tc>
          <w:tcPr>
            <w:tcW w:w="5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25,714</w:t>
            </w:r>
          </w:p>
        </w:tc>
        <w:tc>
          <w:tcPr>
            <w:tcW w:w="5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29,218</w:t>
            </w:r>
          </w:p>
        </w:tc>
      </w:tr>
    </w:tbl>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key data and assumptions used in estimating the fair value of the Company’s mortgage servicing rights as of December 31, 2020, and December 31, 2019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64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r>
      <w:tr>
        <w:trPr>
          <w:trHeight w:val="211"/>
        </w:trPr>
        <w:tc>
          <w:tcPr>
            <w:tcW w:w="7600" w:type="dxa"/>
            <w:vAlign w:val="bottom"/>
            <w:shd w:val="clear" w:color="auto" w:fill="CFF0FC"/>
          </w:tcPr>
          <w:p>
            <w:pPr>
              <w:spacing w:after="0" w:line="211" w:lineRule="exact"/>
              <w:rPr>
                <w:sz w:val="20"/>
                <w:szCs w:val="20"/>
                <w:color w:val="auto"/>
              </w:rPr>
            </w:pPr>
            <w:r>
              <w:rPr>
                <w:rFonts w:ascii="Times New Roman" w:cs="Times New Roman" w:eastAsia="Times New Roman" w:hAnsi="Times New Roman"/>
                <w:sz w:val="15"/>
                <w:szCs w:val="15"/>
                <w:color w:val="auto"/>
              </w:rPr>
              <w:t xml:space="preserve">Weighted-Average Constant Prepayment Rate </w:t>
            </w:r>
            <w:r>
              <w:rPr>
                <w:rFonts w:ascii="Times New Roman" w:cs="Times New Roman" w:eastAsia="Times New Roman" w:hAnsi="Times New Roman"/>
                <w:sz w:val="24"/>
                <w:szCs w:val="24"/>
                <w:color w:val="auto"/>
                <w:vertAlign w:val="superscript"/>
              </w:rPr>
              <w:t>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1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Life (in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240" w:type="dxa"/>
            <w:vAlign w:val="bottom"/>
          </w:tcPr>
          <w:p>
            <w:pPr>
              <w:spacing w:after="0"/>
              <w:rPr>
                <w:sz w:val="18"/>
                <w:szCs w:val="18"/>
                <w:color w:val="auto"/>
              </w:rPr>
            </w:pPr>
          </w:p>
        </w:tc>
      </w:tr>
      <w:tr>
        <w:trPr>
          <w:trHeight w:val="21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Note Rate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1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7"/>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7"/>
                <w:szCs w:val="27"/>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16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ind w:left="200" w:hanging="192"/>
        <w:spacing w:after="0" w:line="221" w:lineRule="auto"/>
        <w:tabs>
          <w:tab w:leader="none" w:pos="20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annualized loan prepayment rate assumption.</w:t>
      </w:r>
    </w:p>
    <w:p>
      <w:pPr>
        <w:ind w:left="200" w:hanging="192"/>
        <w:spacing w:after="0"/>
        <w:tabs>
          <w:tab w:leader="none" w:pos="20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Derived from multiple interest rate scenarios that incorporate a spread to a market yield curve and market volatilities.</w:t>
      </w:r>
    </w:p>
    <w:p>
      <w:pPr>
        <w:spacing w:after="0" w:line="15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sensitivity analysis of the Company’s fair value of mortgage servicing rights to changes in certain key assumptions as of December 31, 2020, and December 31, 2019, is presented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14"/>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Constant Prepayment Rate</w:t>
            </w: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Decrease in fair value from 25 basis points (“bps”) adverse change</w:t>
            </w: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10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(401)</w:t>
            </w:r>
          </w:p>
        </w:tc>
        <w:tc>
          <w:tcPr>
            <w:tcW w:w="10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1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Decrease in fair value from 25 bps adverse change</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(184)</w:t>
            </w:r>
          </w:p>
        </w:tc>
        <w:tc>
          <w:tcPr>
            <w:tcW w:w="10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0"/>
        </w:trPr>
        <w:tc>
          <w:tcPr>
            <w:tcW w:w="7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7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c>
          <w:tcPr>
            <w:tcW w:w="10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r>
    </w:tbl>
    <w:p>
      <w:pPr>
        <w:spacing w:after="0" w:line="203"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Premises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premises and equipment as of December 31, 2020, and December 31, 2019,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Depreciation and</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5"/>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8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Net Book Value</w:t>
            </w:r>
          </w:p>
        </w:tc>
      </w:tr>
      <w:tr>
        <w:trPr>
          <w:trHeight w:val="21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8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Premises</w:t>
            </w:r>
          </w:p>
        </w:tc>
        <w:tc>
          <w:tcPr>
            <w:tcW w:w="28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370,268</w:t>
            </w: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(237,024)</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133,244</w:t>
            </w:r>
          </w:p>
        </w:tc>
      </w:tr>
      <w:tr>
        <w:trPr>
          <w:trHeight w:val="21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Equipment</w:t>
            </w:r>
          </w:p>
        </w:tc>
        <w:tc>
          <w:tcPr>
            <w:tcW w:w="28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143,964</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(79,817)</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64,147</w:t>
            </w:r>
          </w:p>
        </w:tc>
      </w:tr>
      <w:tr>
        <w:trPr>
          <w:trHeight w:val="21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28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6,593</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(4,289)</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2,304</w:t>
            </w:r>
          </w:p>
        </w:tc>
      </w:tr>
      <w:tr>
        <w:trPr>
          <w:trHeight w:val="211"/>
        </w:trPr>
        <w:tc>
          <w:tcPr>
            <w:tcW w:w="37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520,825</w:t>
            </w: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(321,130)</w:t>
            </w:r>
          </w:p>
        </w:tc>
        <w:tc>
          <w:tcPr>
            <w:tcW w:w="3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199,695</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8"/>
        </w:trPr>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8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Premises</w:t>
            </w:r>
          </w:p>
        </w:tc>
        <w:tc>
          <w:tcPr>
            <w:tcW w:w="28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360,170</w:t>
            </w:r>
          </w:p>
        </w:tc>
        <w:tc>
          <w:tcPr>
            <w:tcW w:w="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(235,031)</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125,139</w:t>
            </w:r>
          </w:p>
        </w:tc>
      </w:tr>
      <w:tr>
        <w:trPr>
          <w:trHeight w:val="21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Equipment</w:t>
            </w:r>
          </w:p>
        </w:tc>
        <w:tc>
          <w:tcPr>
            <w:tcW w:w="28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133,725</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(72,852)</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60,873</w:t>
            </w:r>
          </w:p>
        </w:tc>
      </w:tr>
      <w:tr>
        <w:trPr>
          <w:trHeight w:val="21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28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6,593</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(4,217)</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2,376</w:t>
            </w:r>
          </w:p>
        </w:tc>
      </w:tr>
      <w:tr>
        <w:trPr>
          <w:trHeight w:val="211"/>
        </w:trPr>
        <w:tc>
          <w:tcPr>
            <w:tcW w:w="37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4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500,488</w:t>
            </w: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(312,100)</w:t>
            </w:r>
          </w:p>
        </w:tc>
        <w:tc>
          <w:tcPr>
            <w:tcW w:w="3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188,388</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(including finance lease amortization) included in noninterest expense was $20.2 million, $17.3 million, and $14.4 million for the years ended December 31, 2020, December 31, 2019, and December 31, 2018, respectively.</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2020, the Company recorded a $1.6 million impairment of the Company’s premises and equipment for the year ended December 31, 2020 related to the decision to permanently close twelve branches and reduce the number of cash-only ATMs. There was no impairment of the Company’s premises and equipment for the years ended December 31, 2019 and December 31, 2018.</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Other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other assets as of December 31, 2020, and December 31, 2019,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14"/>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Home Loan Bank and Federal Reserve Bank Stock</w:t>
            </w:r>
          </w:p>
        </w:tc>
        <w:tc>
          <w:tcPr>
            <w:tcW w:w="24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33,340</w:t>
            </w:r>
          </w:p>
        </w:tc>
        <w:tc>
          <w:tcPr>
            <w:tcW w:w="84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34,093</w:t>
            </w: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96,167</w:t>
            </w:r>
          </w:p>
        </w:tc>
        <w:tc>
          <w:tcPr>
            <w:tcW w:w="8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28,931</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Low-Income Housing and Other Equity Investments</w:t>
            </w:r>
          </w:p>
        </w:tc>
        <w:tc>
          <w:tcPr>
            <w:tcW w:w="1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142,961</w:t>
            </w:r>
          </w:p>
        </w:tc>
        <w:tc>
          <w:tcPr>
            <w:tcW w:w="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84,618</w:t>
            </w: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53,410</w:t>
            </w:r>
          </w:p>
        </w:tc>
        <w:tc>
          <w:tcPr>
            <w:tcW w:w="8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41,464</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14,517</w:t>
            </w:r>
          </w:p>
        </w:tc>
        <w:tc>
          <w:tcPr>
            <w:tcW w:w="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15,140</w:t>
            </w: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12,380</w:t>
            </w:r>
          </w:p>
        </w:tc>
        <w:tc>
          <w:tcPr>
            <w:tcW w:w="8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20,180</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16,724</w:t>
            </w:r>
          </w:p>
        </w:tc>
        <w:tc>
          <w:tcPr>
            <w:tcW w:w="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65,794</w:t>
            </w:r>
          </w:p>
        </w:tc>
        <w:tc>
          <w:tcPr>
            <w:tcW w:w="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48,248</w:t>
            </w:r>
          </w:p>
        </w:tc>
      </w:tr>
      <w:tr>
        <w:trPr>
          <w:trHeight w:val="210"/>
        </w:trPr>
        <w:tc>
          <w:tcPr>
            <w:tcW w:w="57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Other Assets</w:t>
            </w:r>
          </w:p>
        </w:tc>
        <w:tc>
          <w:tcPr>
            <w:tcW w:w="2480" w:type="dxa"/>
            <w:vAlign w:val="bottom"/>
            <w:tcBorders>
              <w:bottom w:val="single" w:sz="8" w:color="auto"/>
            </w:tcBorders>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435,293</w:t>
            </w:r>
          </w:p>
        </w:tc>
        <w:tc>
          <w:tcPr>
            <w:tcW w:w="84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272,674</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Deposits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 Deposits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the Company’s total time deposits were $1.7 billion and $1.8 billion, respectively. As of December 31, 2020, the contractual maturities of these time deposits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4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456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1,488,523</w:t>
            </w:r>
          </w:p>
        </w:tc>
      </w:tr>
      <w:tr>
        <w:trPr>
          <w:trHeight w:val="21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45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98,656</w:t>
            </w:r>
          </w:p>
        </w:tc>
      </w:tr>
      <w:tr>
        <w:trPr>
          <w:trHeight w:val="21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45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49,947</w:t>
            </w:r>
          </w:p>
        </w:tc>
      </w:tr>
      <w:tr>
        <w:trPr>
          <w:trHeight w:val="21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45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11,006</w:t>
            </w:r>
          </w:p>
        </w:tc>
      </w:tr>
      <w:tr>
        <w:trPr>
          <w:trHeight w:val="21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45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7,203</w:t>
            </w:r>
          </w:p>
        </w:tc>
      </w:tr>
      <w:tr>
        <w:trPr>
          <w:trHeight w:val="213"/>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4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6,728</w:t>
            </w:r>
          </w:p>
        </w:tc>
      </w:tr>
      <w:tr>
        <w:trPr>
          <w:trHeight w:val="210"/>
        </w:trPr>
        <w:tc>
          <w:tcPr>
            <w:tcW w:w="5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56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1,662,063</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time deposits with balances of $100,000 or more was $1.4 billion as of December 31, 2020, and 1.5 billion as of December 31, 2019.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the contractual maturities of these time deposits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Three Months or Less</w:t>
            </w:r>
          </w:p>
        </w:tc>
        <w:tc>
          <w:tcPr>
            <w:tcW w:w="392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527,079</w:t>
            </w: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Over Three Months through Six Months</w:t>
            </w:r>
          </w:p>
        </w:tc>
        <w:tc>
          <w:tcPr>
            <w:tcW w:w="392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207,675</w:t>
            </w:r>
          </w:p>
        </w:tc>
      </w:tr>
      <w:tr>
        <w:trPr>
          <w:trHeight w:val="21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Over Six Months through Twelve Months</w:t>
            </w:r>
          </w:p>
        </w:tc>
        <w:tc>
          <w:tcPr>
            <w:tcW w:w="39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574,479</w:t>
            </w:r>
          </w:p>
        </w:tc>
      </w:tr>
      <w:tr>
        <w:trPr>
          <w:trHeight w:val="21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Over Twelve Months</w:t>
            </w:r>
          </w:p>
        </w:tc>
        <w:tc>
          <w:tcPr>
            <w:tcW w:w="3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79,149</w:t>
            </w:r>
          </w:p>
        </w:tc>
      </w:tr>
      <w:tr>
        <w:trPr>
          <w:trHeight w:val="210"/>
        </w:trPr>
        <w:tc>
          <w:tcPr>
            <w:tcW w:w="5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92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1,388,382</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Deposits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deposits of governmental entities of $1.5 billion and $1.2 billion, respectively, required collateralization by acceptable investment securities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short-term borrowings (original term of one year or less) as of December 31, 2020, and December 31, 2019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4"/>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040" w:type="dxa"/>
            <w:vAlign w:val="bottom"/>
            <w:shd w:val="clear" w:color="auto" w:fill="CFF0FC"/>
          </w:tcPr>
          <w:p>
            <w:pPr>
              <w:spacing w:after="0" w:line="211" w:lineRule="exact"/>
              <w:rPr>
                <w:sz w:val="20"/>
                <w:szCs w:val="20"/>
                <w:color w:val="auto"/>
              </w:rPr>
            </w:pPr>
            <w:r>
              <w:rPr>
                <w:rFonts w:ascii="Times New Roman" w:cs="Times New Roman" w:eastAsia="Times New Roman" w:hAnsi="Times New Roman"/>
                <w:sz w:val="15"/>
                <w:szCs w:val="15"/>
                <w:b w:val="1"/>
                <w:bCs w:val="1"/>
                <w:color w:val="auto"/>
              </w:rPr>
              <w:t xml:space="preserve">Securities Sold Under Agreements to Repurchase (short-term) </w:t>
            </w:r>
            <w:r>
              <w:rPr>
                <w:rFonts w:ascii="Times New Roman" w:cs="Times New Roman" w:eastAsia="Times New Roman" w:hAnsi="Times New Roman"/>
                <w:sz w:val="24"/>
                <w:szCs w:val="24"/>
                <w:b w:val="1"/>
                <w:bCs w:val="1"/>
                <w:color w:val="auto"/>
                <w:vertAlign w:val="superscript"/>
              </w:rPr>
              <w:t>1</w:t>
            </w:r>
          </w:p>
        </w:tc>
        <w:tc>
          <w:tcPr>
            <w:tcW w:w="16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Amounts Outstanding</w:t>
            </w:r>
          </w:p>
        </w:tc>
        <w:tc>
          <w:tcPr>
            <w:tcW w:w="22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100</w:t>
            </w:r>
          </w:p>
        </w:tc>
        <w:tc>
          <w:tcPr>
            <w:tcW w:w="8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2,200</w:t>
            </w:r>
          </w:p>
        </w:tc>
      </w:tr>
      <w:tr>
        <w:trPr>
          <w:trHeight w:val="219"/>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Weighted-Average Interest Rate</w:t>
            </w:r>
          </w:p>
        </w:tc>
        <w:tc>
          <w:tcPr>
            <w:tcW w:w="16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r>
    </w:tbl>
    <w:p>
      <w:pPr>
        <w:spacing w:after="0" w:line="85" w:lineRule="exact"/>
        <w:rPr>
          <w:sz w:val="20"/>
          <w:szCs w:val="20"/>
          <w:color w:val="auto"/>
        </w:rPr>
      </w:pPr>
    </w:p>
    <w:p>
      <w:pPr>
        <w:ind w:left="200" w:right="20" w:hanging="192"/>
        <w:spacing w:after="0" w:line="261" w:lineRule="auto"/>
        <w:tabs>
          <w:tab w:leader="none" w:pos="20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Consists entirely of repurchase agreements with government entities. Excludes long-term repurchase agreements with government entities of $0.5 million and $2.1 million as of December 31, 2020, and December 31, 2019, respectively, and long-term repurchase agreements with private institutions of $600.0 million as of December 31, 2020, and December 31, 2019.</w:t>
      </w:r>
    </w:p>
    <w:p>
      <w:pPr>
        <w:spacing w:after="0" w:line="1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total securities sold under agreements to repurchase were $600.6 million and $604.3 million as of December 31, 2020, and December 31, 2019, respectively. As of December 31, 2020, all of our repurchase agreements were at fixed interest rates.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December 31, 2020, long-term repurchase agreements (original term over one year) placed with government entities were $0.5 million with a weighted-average interest rate of 1.55% and a weighted-average maturity of 3.9 years.</w:t>
      </w:r>
    </w:p>
    <w:p>
      <w:pPr>
        <w:spacing w:after="0" w:line="1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of December 31, 2020, long-term repurchase agreements placed with private institutions were $600.0 million with a weighted-average interest rate of 2.39%. Remaining terms ranged from 2022 to 2026 with a weighted-average maturity of 4.0 years.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3.5 years.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debt as of December 31, 2020, and December 31, 2019,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4"/>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6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50,000</w:t>
            </w:r>
          </w:p>
        </w:tc>
        <w:tc>
          <w:tcPr>
            <w:tcW w:w="8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75,000</w:t>
            </w:r>
          </w:p>
        </w:tc>
      </w:tr>
      <w:tr>
        <w:trPr>
          <w:trHeight w:val="213"/>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Finance Lease Obligations</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10,481</w:t>
            </w:r>
          </w:p>
        </w:tc>
        <w:tc>
          <w:tcPr>
            <w:tcW w:w="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10,565</w:t>
            </w:r>
          </w:p>
        </w:tc>
      </w:tr>
      <w:tr>
        <w:trPr>
          <w:trHeight w:val="210"/>
        </w:trPr>
        <w:tc>
          <w:tcPr>
            <w:tcW w:w="7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60,481</w:t>
            </w:r>
          </w:p>
        </w:tc>
        <w:tc>
          <w:tcPr>
            <w:tcW w:w="86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85,565</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As a member of the FHLB, the Bank may borrow funds from the FHLB in amounts up to 45% of the Bank’s total assets, provided the Bank is able to pledge an adequate amount of qualified assets to secure the borrowings. As of December 31, 2020, FHLB advances totaled $50.0 million with a weighted-average interest rate of 1.19% and maturity dates during 2024. As of December 31, 2020, the Company had a remaining line of credit with the FHLB of $2.8 billion. See Note 4 </w:t>
      </w:r>
      <w:r>
        <w:rPr>
          <w:rFonts w:ascii="Times New Roman" w:cs="Times New Roman" w:eastAsia="Times New Roman" w:hAnsi="Times New Roman"/>
          <w:sz w:val="18"/>
          <w:szCs w:val="18"/>
          <w:i w:val="1"/>
          <w:iCs w:val="1"/>
          <w:color w:val="auto"/>
        </w:rPr>
        <w:t>Loans and Leases and the Allowance for Credit Losses</w:t>
      </w:r>
      <w:r>
        <w:rPr>
          <w:rFonts w:ascii="Times New Roman" w:cs="Times New Roman" w:eastAsia="Times New Roman" w:hAnsi="Times New Roman"/>
          <w:sz w:val="18"/>
          <w:szCs w:val="18"/>
          <w:color w:val="auto"/>
        </w:rPr>
        <w:t xml:space="preserve"> for loans pledged to the FHLB as of December 31, 2020, and December 31, 2019.</w:t>
      </w:r>
    </w:p>
    <w:p>
      <w:pPr>
        <w:spacing w:after="0" w:line="1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Finance lease obligations relate to office space at the Company’s headquarters. The lease began in 1993 and has a 60 year term. Lease payments are fixed at $0.8 million per year through December 2022 and are negotiable thereafter.</w:t>
      </w:r>
    </w:p>
    <w:p>
      <w:pPr>
        <w:spacing w:after="0" w:line="11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As of December 31, 2020, the Company had an undrawn line of credit with the FRB of $427.9 million. See Note 4 </w:t>
      </w:r>
      <w:r>
        <w:rPr>
          <w:rFonts w:ascii="Times New Roman" w:cs="Times New Roman" w:eastAsia="Times New Roman" w:hAnsi="Times New Roman"/>
          <w:sz w:val="18"/>
          <w:szCs w:val="18"/>
          <w:i w:val="1"/>
          <w:iCs w:val="1"/>
          <w:color w:val="auto"/>
        </w:rPr>
        <w:t>Loans and Leases and the Allowance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Credit Losses </w:t>
      </w:r>
      <w:r>
        <w:rPr>
          <w:rFonts w:ascii="Times New Roman" w:cs="Times New Roman" w:eastAsia="Times New Roman" w:hAnsi="Times New Roman"/>
          <w:sz w:val="18"/>
          <w:szCs w:val="18"/>
          <w:color w:val="auto"/>
        </w:rPr>
        <w:t>for loans pledged to the FRB as of December 31, 2020, and December 31, 2019.</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the annual maturities of the Company’s other debt, exclusive of finance lease obligations, were expected to be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4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46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46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4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46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r>
      <w:tr>
        <w:trPr>
          <w:trHeight w:val="21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4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4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minimum required capital amounts and ratios for well capitalized institutions and the actual capital amounts and ratios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Bank as of December 31, 2020, and December 31,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37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Well</w:t>
            </w: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37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37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8"/>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7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Bank</w:t>
            </w: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37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1,374,507</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1,290,455</w:t>
            </w:r>
          </w:p>
        </w:tc>
      </w:tr>
      <w:tr>
        <w:trPr>
          <w:trHeight w:val="21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Equity Tier 1 Capital</w:t>
            </w:r>
          </w:p>
        </w:tc>
        <w:tc>
          <w:tcPr>
            <w:tcW w:w="3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1,361,915</w:t>
            </w: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1,289,435</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Tier 1 Capital</w:t>
            </w:r>
          </w:p>
        </w:tc>
        <w:tc>
          <w:tcPr>
            <w:tcW w:w="37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1,361,915</w:t>
            </w:r>
          </w:p>
        </w:tc>
        <w:tc>
          <w:tcPr>
            <w:tcW w:w="4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1,289,435</w:t>
            </w:r>
          </w:p>
        </w:tc>
      </w:tr>
      <w:tr>
        <w:trPr>
          <w:trHeight w:val="21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Capital</w:t>
            </w:r>
          </w:p>
        </w:tc>
        <w:tc>
          <w:tcPr>
            <w:tcW w:w="3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1,503,784</w:t>
            </w: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1,431,106</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37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6.5%</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r>
      <w:tr>
        <w:trPr>
          <w:trHeight w:val="21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Tier 1 Capital Ratio</w:t>
            </w:r>
          </w:p>
        </w:tc>
        <w:tc>
          <w:tcPr>
            <w:tcW w:w="37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8.0%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Total Capital Ratio</w:t>
            </w:r>
          </w:p>
        </w:tc>
        <w:tc>
          <w:tcPr>
            <w:tcW w:w="37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10.0%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1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Tier 1 Leverage Ratio</w:t>
            </w:r>
          </w:p>
        </w:tc>
        <w:tc>
          <w:tcPr>
            <w:tcW w:w="37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5.0%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6"/>
        </w:trPr>
        <w:tc>
          <w:tcPr>
            <w:tcW w:w="47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37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1,286,832</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1,229,775</w:t>
            </w:r>
          </w:p>
        </w:tc>
      </w:tr>
      <w:tr>
        <w:trPr>
          <w:trHeight w:val="21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Equity Tier 1 Capital</w:t>
            </w:r>
          </w:p>
        </w:tc>
        <w:tc>
          <w:tcPr>
            <w:tcW w:w="3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1,289,424</w:t>
            </w: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1,243,939</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Tier 1 Capital</w:t>
            </w:r>
          </w:p>
        </w:tc>
        <w:tc>
          <w:tcPr>
            <w:tcW w:w="37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1,289,424</w:t>
            </w:r>
          </w:p>
        </w:tc>
        <w:tc>
          <w:tcPr>
            <w:tcW w:w="4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1,243,939</w:t>
            </w:r>
          </w:p>
        </w:tc>
      </w:tr>
      <w:tr>
        <w:trPr>
          <w:trHeight w:val="21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Capital</w:t>
            </w:r>
          </w:p>
        </w:tc>
        <w:tc>
          <w:tcPr>
            <w:tcW w:w="3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1,406,273</w:t>
            </w: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1,360,788</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37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6.5%</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r>
      <w:tr>
        <w:trPr>
          <w:trHeight w:val="21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Tier 1 Capital Ratio</w:t>
            </w:r>
          </w:p>
        </w:tc>
        <w:tc>
          <w:tcPr>
            <w:tcW w:w="37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8.0%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Total Capital Ratio</w:t>
            </w:r>
          </w:p>
        </w:tc>
        <w:tc>
          <w:tcPr>
            <w:tcW w:w="37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10.0%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r>
      <w:tr>
        <w:trPr>
          <w:trHeight w:val="21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Tier 1 Leverage Ratio</w:t>
            </w:r>
          </w:p>
        </w:tc>
        <w:tc>
          <w:tcPr>
            <w:tcW w:w="37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5.0%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regulators about the components of regulatory capital, risk weightings, and other factors.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the Bank to maintain minimum amounts and ratios of Common Equity Tier 1, Tier 1 and Total Capital. Both Common Equity Tier 1 Capital and Tier 1 Capital are common shareholders’ equity, reduced by certain intangible assets, postretirement benefit liability adjustments, and unrealized gains and losses on investment securities. Total Capital is Tier 1 Capital plus an allowable amount of the reserve for credit losses. Risk-weighted assets are calculated by taking assets and credit equivalent amounts of off-balance-sheet items and assigning them to one of several broad risk categories. Four capital ratios are used to measure capital adequacy: Common Equity Tier 1 Capital divided by risk-weighted assets, as defined; Tier 1 Capital divided by risk-weighted assets; Total Capital divided by risk-weighted assets; and the Tier 1 Leverage ratio, which is Tier 1 Capital divided by quarterly adjusted average total assets.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minimum risk-based capital requirements, all banks must hold additional capital, referred to as the capital conservation buffer (which is in the form of common equity) under the U.S. Basel III capital framework, to avoid being subject to limits on capital distributions and certain discretionary bonus payments to officers. The capital conservation buffer which was fully phased-in on January 1, 2019, is a minimum of 2.5% of additional capital in addition to the minimum risk-based capital ratios.</w:t>
      </w:r>
    </w:p>
    <w:p>
      <w:pPr>
        <w:spacing w:after="0" w:line="180"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As of December 31, 2020, the Company and the Bank were well capitalized as defined in the regulatory framework for prompt corrective action. The capital conservation buffer requirements do not currently result in any limitations on distributions or discretionary bonuses for the Company or the Bank. There were no conditions or events since December 31, 2020, that management believes have changed the Company or the Bank’s capital classifications.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elected to apply the modified transition provision related to the impact of the CECL accounting standard on regulatory capital, as provided by the US banking agencies’ March 2020 interim final rule. Under the modified CECL transition provision, the regulatory capital impact of the Day 1 adjustment to the allowance for credit losses (after-tax), upon the January 1, 2020, CECL adoption date, has been deferred, and will phase in to regulatory capital at 25% per year commencing January 1, 2022. For the ongoing impact of CECL, we are allowed to defer the regulatory capital impact of the allowance for credit losses in an amount equal to 25% of the change in the allowance for credit losses (pre-tax) recognized through earnings for each period between January 1, 2020, and December 31, 2021. The cumulative adjustment to the allowance for credit losses between January 1, 2020, and December 31, 2021, will also phase in to regulatory capital at 25% per year commencing January 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Dividends paid by the Parent are substantially funded from dividends received from the Bank. The Bank is subject to federal and state regulatory restrictions that limit cash dividends and loans to the Parent. These restrictions generally require advanced approval from the Bank’s regulator for payment of dividends in excess of the sum of net income for the current calendar year and the retained net income of the prior two calendar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 Program</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Parent has a common stock repurchase program in which shares repurchased are held in treasury stock for reissuance in connection with share-based compensation plans and for general corporate purposes. For the year ended December 31, 2020, the Parent repurchased 156,358 shares of common stock under its share repurchase program at an average cost per share of $89.32 and total cost of $14.0 million. From the beginning of the stock repurchase program in July 2001 through December 31, 2020, the Parent repurchased a total of 57.1 million shares of common stock at an average cost of $40.51 per share and total cost of $2.3 billion. On March 17, 2020, we suspended share repurchases in light of the COVID-19 pandemic. The actual amount and timing of future share repurchases, if any, will depend on market conditions, applicable SEC rules and various other factors.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comprehensive income (loss), net of tax:</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Net of Tax</w:t>
            </w: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3"/>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Unrealized Gains (Losses) Arising During the Period</w:t>
            </w:r>
          </w:p>
        </w:tc>
        <w:tc>
          <w:tcPr>
            <w:tcW w:w="6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58,763</w:t>
            </w:r>
          </w:p>
        </w:tc>
        <w:tc>
          <w:tcPr>
            <w:tcW w:w="3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15,600</w:t>
            </w:r>
          </w:p>
        </w:tc>
        <w:tc>
          <w:tcPr>
            <w:tcW w:w="3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43,163</w:t>
            </w:r>
          </w:p>
        </w:tc>
      </w:tr>
      <w:tr>
        <w:trPr>
          <w:trHeight w:val="202"/>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 that (Increase)</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Decrease Net Income:</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(Gain) Loss on Sale</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6680" w:type="dxa"/>
            <w:vAlign w:val="bottom"/>
            <w:tcBorders>
              <w:bottom w:val="single" w:sz="8" w:color="auto"/>
            </w:tcBorders>
          </w:tcPr>
          <w:p>
            <w:pPr>
              <w:ind w:left="500"/>
              <w:spacing w:after="0" w:line="216" w:lineRule="exact"/>
              <w:rPr>
                <w:sz w:val="20"/>
                <w:szCs w:val="20"/>
                <w:color w:val="auto"/>
              </w:rPr>
            </w:pPr>
            <w:r>
              <w:rPr>
                <w:rFonts w:ascii="Times New Roman" w:cs="Times New Roman" w:eastAsia="Times New Roman" w:hAnsi="Times New Roman"/>
                <w:sz w:val="15"/>
                <w:szCs w:val="15"/>
                <w:color w:val="auto"/>
              </w:rPr>
              <w:t xml:space="preserve">Amortization of Unrealized Holding (Gains) Losses on Held-to-Maturity Securities </w:t>
            </w:r>
            <w:r>
              <w:rPr>
                <w:rFonts w:ascii="Times New Roman" w:cs="Times New Roman" w:eastAsia="Times New Roman" w:hAnsi="Times New Roman"/>
                <w:sz w:val="25"/>
                <w:szCs w:val="25"/>
                <w:color w:val="auto"/>
                <w:vertAlign w:val="superscript"/>
              </w:rPr>
              <w:t>1</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105</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292</w:t>
            </w:r>
          </w:p>
        </w:tc>
      </w:tr>
      <w:tr>
        <w:trPr>
          <w:trHeight w:val="21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59,083</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15,655</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43,428</w:t>
            </w:r>
          </w:p>
        </w:tc>
      </w:tr>
      <w:tr>
        <w:trPr>
          <w:trHeight w:val="213"/>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Defined Benefit Plans:</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Actuarial Gains (Losses) Arising During the Period</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(2,170)</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(6,017)</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Net Actuarial Losses (Gains)</w:t>
            </w:r>
          </w:p>
        </w:tc>
        <w:tc>
          <w:tcPr>
            <w:tcW w:w="6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2,318</w:t>
            </w: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614</w:t>
            </w:r>
          </w:p>
        </w:tc>
        <w:tc>
          <w:tcPr>
            <w:tcW w:w="3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1,704</w:t>
            </w:r>
          </w:p>
        </w:tc>
      </w:tr>
      <w:tr>
        <w:trPr>
          <w:trHeight w:val="216"/>
        </w:trPr>
        <w:tc>
          <w:tcPr>
            <w:tcW w:w="66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0"/>
        </w:trPr>
        <w:tc>
          <w:tcPr>
            <w:tcW w:w="6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(6,115)</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(1,621)</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(4,494)</w:t>
            </w:r>
          </w:p>
        </w:tc>
      </w:tr>
      <w:tr>
        <w:trPr>
          <w:trHeight w:val="210"/>
        </w:trPr>
        <w:tc>
          <w:tcPr>
            <w:tcW w:w="6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6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52,968</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14,034</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38,934</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8"/>
        </w:trPr>
        <w:tc>
          <w:tcPr>
            <w:tcW w:w="6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2019</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3"/>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Unrealized Gains (Losses) Arising During the Period</w:t>
            </w:r>
          </w:p>
        </w:tc>
        <w:tc>
          <w:tcPr>
            <w:tcW w:w="6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30,169</w:t>
            </w:r>
          </w:p>
        </w:tc>
        <w:tc>
          <w:tcPr>
            <w:tcW w:w="3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8,001</w:t>
            </w:r>
          </w:p>
        </w:tc>
        <w:tc>
          <w:tcPr>
            <w:tcW w:w="3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22,168</w:t>
            </w:r>
          </w:p>
        </w:tc>
      </w:tr>
      <w:tr>
        <w:trPr>
          <w:trHeight w:val="202"/>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 that (Increase)</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Decrease Net Income:</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(Gain) Loss on Sale</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6"/>
        </w:trPr>
        <w:tc>
          <w:tcPr>
            <w:tcW w:w="6680" w:type="dxa"/>
            <w:vAlign w:val="bottom"/>
            <w:tcBorders>
              <w:bottom w:val="single" w:sz="8" w:color="auto"/>
            </w:tcBorders>
          </w:tcPr>
          <w:p>
            <w:pPr>
              <w:ind w:left="500"/>
              <w:spacing w:after="0" w:line="216" w:lineRule="exact"/>
              <w:rPr>
                <w:sz w:val="20"/>
                <w:szCs w:val="20"/>
                <w:color w:val="auto"/>
              </w:rPr>
            </w:pPr>
            <w:r>
              <w:rPr>
                <w:rFonts w:ascii="Times New Roman" w:cs="Times New Roman" w:eastAsia="Times New Roman" w:hAnsi="Times New Roman"/>
                <w:sz w:val="15"/>
                <w:szCs w:val="15"/>
                <w:color w:val="auto"/>
              </w:rPr>
              <w:t xml:space="preserve">Amortization of Unrealized Holding (Gains) Losses on Held-to-Maturity Securities </w:t>
            </w:r>
            <w:r>
              <w:rPr>
                <w:rFonts w:ascii="Times New Roman" w:cs="Times New Roman" w:eastAsia="Times New Roman" w:hAnsi="Times New Roman"/>
                <w:sz w:val="25"/>
                <w:szCs w:val="25"/>
                <w:color w:val="auto"/>
                <w:vertAlign w:val="superscript"/>
              </w:rPr>
              <w:t>1</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833</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221</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612</w:t>
            </w:r>
          </w:p>
        </w:tc>
      </w:tr>
      <w:tr>
        <w:trPr>
          <w:trHeight w:val="21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30,850</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8,173</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22,677</w:t>
            </w:r>
          </w:p>
        </w:tc>
      </w:tr>
      <w:tr>
        <w:trPr>
          <w:trHeight w:val="213"/>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Defined Benefit Plans:</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Actuarial Gains (Losses) Arising During the Period</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(1,337)</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(3,709)</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Net Actuarial Losses (Gains)</w:t>
            </w:r>
          </w:p>
        </w:tc>
        <w:tc>
          <w:tcPr>
            <w:tcW w:w="6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1,598</w:t>
            </w: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423</w:t>
            </w:r>
          </w:p>
        </w:tc>
        <w:tc>
          <w:tcPr>
            <w:tcW w:w="3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1,175</w:t>
            </w:r>
          </w:p>
        </w:tc>
      </w:tr>
      <w:tr>
        <w:trPr>
          <w:trHeight w:val="216"/>
        </w:trPr>
        <w:tc>
          <w:tcPr>
            <w:tcW w:w="66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09"/>
        </w:trPr>
        <w:tc>
          <w:tcPr>
            <w:tcW w:w="6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w:t>
            </w:r>
          </w:p>
        </w:tc>
      </w:tr>
      <w:tr>
        <w:trPr>
          <w:trHeight w:val="211"/>
        </w:trPr>
        <w:tc>
          <w:tcPr>
            <w:tcW w:w="6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6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27,114</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7,183</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19,931</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11"/>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2018</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Unrealized Gains (Losses) Arising During the Period</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(11,051)</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(2,931)</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w:t>
            </w:r>
          </w:p>
        </w:tc>
      </w:tr>
      <w:tr>
        <w:trPr>
          <w:trHeight w:val="205"/>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 that (Increase)</w:t>
            </w:r>
          </w:p>
        </w:tc>
        <w:tc>
          <w:tcPr>
            <w:tcW w:w="6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16"/>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Decrease Net Income:</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6680" w:type="dxa"/>
            <w:vAlign w:val="bottom"/>
            <w:tcBorders>
              <w:bottom w:val="single" w:sz="8" w:color="auto"/>
            </w:tcBorders>
          </w:tcPr>
          <w:p>
            <w:pPr>
              <w:ind w:left="500"/>
              <w:spacing w:after="0" w:line="216" w:lineRule="exact"/>
              <w:rPr>
                <w:sz w:val="20"/>
                <w:szCs w:val="20"/>
                <w:color w:val="auto"/>
              </w:rPr>
            </w:pPr>
            <w:r>
              <w:rPr>
                <w:rFonts w:ascii="Times New Roman" w:cs="Times New Roman" w:eastAsia="Times New Roman" w:hAnsi="Times New Roman"/>
                <w:sz w:val="15"/>
                <w:szCs w:val="15"/>
                <w:color w:val="auto"/>
              </w:rPr>
              <w:t xml:space="preserve">Amortization of Unrealized Holding (Gains) Losses on Held-to-Maturity Securities </w:t>
            </w:r>
            <w:r>
              <w:rPr>
                <w:rFonts w:ascii="Times New Roman" w:cs="Times New Roman" w:eastAsia="Times New Roman" w:hAnsi="Times New Roman"/>
                <w:sz w:val="25"/>
                <w:szCs w:val="25"/>
                <w:color w:val="auto"/>
                <w:vertAlign w:val="superscript"/>
              </w:rPr>
              <w:t>1</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2,164</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569</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1,595</w:t>
            </w:r>
          </w:p>
        </w:tc>
      </w:tr>
      <w:tr>
        <w:trPr>
          <w:trHeight w:val="21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(2,362)</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(6,525)</w:t>
            </w:r>
          </w:p>
        </w:tc>
      </w:tr>
      <w:tr>
        <w:trPr>
          <w:trHeight w:val="213"/>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Defined Benefit Plans:</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Actuarial Gains (Losses) Arising During the Period</w:t>
            </w: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(1,184)</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(3,284)</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Net Actuarial Losses (Gains)</w:t>
            </w:r>
          </w:p>
        </w:tc>
        <w:tc>
          <w:tcPr>
            <w:tcW w:w="6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1,835</w:t>
            </w: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460</w:t>
            </w:r>
          </w:p>
        </w:tc>
        <w:tc>
          <w:tcPr>
            <w:tcW w:w="3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1,375</w:t>
            </w:r>
          </w:p>
        </w:tc>
      </w:tr>
      <w:tr>
        <w:trPr>
          <w:trHeight w:val="216"/>
        </w:trPr>
        <w:tc>
          <w:tcPr>
            <w:tcW w:w="66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0"/>
        </w:trPr>
        <w:tc>
          <w:tcPr>
            <w:tcW w:w="6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(874)</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10"/>
        </w:trPr>
        <w:tc>
          <w:tcPr>
            <w:tcW w:w="6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6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(3,236)</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(8,851)</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right="340" w:hanging="192"/>
        <w:spacing w:after="0" w:line="261" w:lineRule="auto"/>
        <w:tabs>
          <w:tab w:leader="none" w:pos="20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amount relates to the amortization/accretion of unrealized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each component of accumulated other comprehensive income (loss), net of tax: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38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Accumulated</w:t>
            </w:r>
          </w:p>
        </w:tc>
      </w:tr>
      <w:tr>
        <w:trPr>
          <w:trHeight w:val="135"/>
        </w:trPr>
        <w:tc>
          <w:tcPr>
            <w:tcW w:w="5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380" w:type="dxa"/>
            <w:vAlign w:val="bottom"/>
          </w:tcPr>
          <w:p>
            <w:pPr>
              <w:spacing w:after="0"/>
              <w:rPr>
                <w:sz w:val="11"/>
                <w:szCs w:val="11"/>
                <w:color w:val="auto"/>
              </w:rPr>
            </w:pPr>
          </w:p>
        </w:tc>
        <w:tc>
          <w:tcPr>
            <w:tcW w:w="10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480" w:type="dxa"/>
            <w:vAlign w:val="bottom"/>
          </w:tcPr>
          <w:p>
            <w:pPr>
              <w:spacing w:after="0"/>
              <w:rPr>
                <w:sz w:val="11"/>
                <w:szCs w:val="11"/>
                <w:color w:val="auto"/>
              </w:rPr>
            </w:pPr>
          </w:p>
        </w:tc>
        <w:tc>
          <w:tcPr>
            <w:tcW w:w="9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Defined</w:t>
            </w:r>
          </w:p>
        </w:tc>
        <w:tc>
          <w:tcPr>
            <w:tcW w:w="28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r>
      <w:tr>
        <w:trPr>
          <w:trHeight w:val="135"/>
        </w:trPr>
        <w:tc>
          <w:tcPr>
            <w:tcW w:w="5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Available-</w:t>
            </w:r>
          </w:p>
        </w:tc>
        <w:tc>
          <w:tcPr>
            <w:tcW w:w="380" w:type="dxa"/>
            <w:vAlign w:val="bottom"/>
          </w:tcPr>
          <w:p>
            <w:pPr>
              <w:spacing w:after="0"/>
              <w:rPr>
                <w:sz w:val="11"/>
                <w:szCs w:val="11"/>
                <w:color w:val="auto"/>
              </w:rPr>
            </w:pPr>
          </w:p>
        </w:tc>
        <w:tc>
          <w:tcPr>
            <w:tcW w:w="10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Held-To-</w:t>
            </w:r>
          </w:p>
        </w:tc>
        <w:tc>
          <w:tcPr>
            <w:tcW w:w="480" w:type="dxa"/>
            <w:vAlign w:val="bottom"/>
          </w:tcPr>
          <w:p>
            <w:pPr>
              <w:spacing w:after="0"/>
              <w:rPr>
                <w:sz w:val="11"/>
                <w:szCs w:val="11"/>
                <w:color w:val="auto"/>
              </w:rPr>
            </w:pPr>
          </w:p>
        </w:tc>
        <w:tc>
          <w:tcPr>
            <w:tcW w:w="9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Benefit</w:t>
            </w:r>
          </w:p>
        </w:tc>
        <w:tc>
          <w:tcPr>
            <w:tcW w:w="28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r>
      <w:tr>
        <w:trPr>
          <w:trHeight w:val="155"/>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For-Sale</w:t>
            </w: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Maturities</w:t>
            </w: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Plans</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Income (Loss)</w:t>
            </w:r>
          </w:p>
        </w:tc>
      </w:tr>
      <w:tr>
        <w:trPr>
          <w:trHeight w:val="142"/>
        </w:trPr>
        <w:tc>
          <w:tcPr>
            <w:tcW w:w="50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Year Ended December 31, 2020</w:t>
            </w:r>
          </w:p>
        </w:tc>
        <w:tc>
          <w:tcPr>
            <w:tcW w:w="1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r>
      <w:tr>
        <w:trPr>
          <w:trHeight w:val="148"/>
        </w:trPr>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8,359</w:t>
            </w:r>
          </w:p>
        </w:tc>
        <w:tc>
          <w:tcPr>
            <w:tcW w:w="3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(715)</w:t>
            </w:r>
          </w:p>
        </w:tc>
        <w:tc>
          <w:tcPr>
            <w:tcW w:w="4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(38,756)</w:t>
            </w: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(31,112)</w:t>
            </w:r>
          </w:p>
        </w:tc>
      </w:tr>
      <w:tr>
        <w:trPr>
          <w:trHeight w:val="148"/>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1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43,163</w:t>
            </w:r>
          </w:p>
        </w:tc>
        <w:tc>
          <w:tcPr>
            <w:tcW w:w="3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(6,017)</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37,146</w:t>
            </w:r>
          </w:p>
        </w:tc>
      </w:tr>
      <w:tr>
        <w:trPr>
          <w:trHeight w:val="149"/>
        </w:trPr>
        <w:tc>
          <w:tcPr>
            <w:tcW w:w="5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 (Loss)</w:t>
            </w:r>
          </w:p>
        </w:tc>
        <w:tc>
          <w:tcPr>
            <w:tcW w:w="1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(27)</w:t>
            </w: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292</w:t>
            </w: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1,523</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1,788</w:t>
            </w:r>
          </w:p>
        </w:tc>
      </w:tr>
      <w:tr>
        <w:trPr>
          <w:trHeight w:val="142"/>
        </w:trPr>
        <w:tc>
          <w:tcPr>
            <w:tcW w:w="50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1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43,136</w:t>
            </w:r>
          </w:p>
        </w:tc>
        <w:tc>
          <w:tcPr>
            <w:tcW w:w="38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292</w:t>
            </w:r>
          </w:p>
        </w:tc>
        <w:tc>
          <w:tcPr>
            <w:tcW w:w="4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(4,494)</w:t>
            </w:r>
          </w:p>
        </w:tc>
        <w:tc>
          <w:tcPr>
            <w:tcW w:w="2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38,934</w:t>
            </w:r>
          </w:p>
        </w:tc>
      </w:tr>
      <w:tr>
        <w:trPr>
          <w:trHeight w:val="182"/>
        </w:trPr>
        <w:tc>
          <w:tcPr>
            <w:tcW w:w="50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10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51,495</w:t>
            </w:r>
          </w:p>
        </w:tc>
        <w:tc>
          <w:tcPr>
            <w:tcW w:w="3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(423)</w:t>
            </w:r>
          </w:p>
        </w:tc>
        <w:tc>
          <w:tcPr>
            <w:tcW w:w="4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(43,250)</w:t>
            </w:r>
          </w:p>
        </w:tc>
        <w:tc>
          <w:tcPr>
            <w:tcW w:w="2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7,822</w:t>
            </w:r>
          </w:p>
        </w:tc>
      </w:tr>
      <w:tr>
        <w:trPr>
          <w:trHeight w:val="129"/>
        </w:trPr>
        <w:tc>
          <w:tcPr>
            <w:tcW w:w="50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r>
      <w:tr>
        <w:trPr>
          <w:trHeight w:val="148"/>
        </w:trPr>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2019</w:t>
            </w: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10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(10,447)</w:t>
            </w:r>
          </w:p>
        </w:tc>
        <w:tc>
          <w:tcPr>
            <w:tcW w:w="38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(4,586)</w:t>
            </w:r>
          </w:p>
        </w:tc>
        <w:tc>
          <w:tcPr>
            <w:tcW w:w="48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(36,010)</w:t>
            </w: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(51,043)</w:t>
            </w:r>
          </w:p>
        </w:tc>
      </w:tr>
      <w:tr>
        <w:trPr>
          <w:trHeight w:val="148"/>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100" w:type="dxa"/>
            <w:vAlign w:val="bottom"/>
          </w:tcPr>
          <w:p>
            <w:pPr>
              <w:spacing w:after="0"/>
              <w:rPr>
                <w:sz w:val="12"/>
                <w:szCs w:val="12"/>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22,168</w:t>
            </w:r>
          </w:p>
        </w:tc>
        <w:tc>
          <w:tcPr>
            <w:tcW w:w="38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2"/>
                <w:szCs w:val="1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(3,709)</w:t>
            </w:r>
          </w:p>
        </w:tc>
        <w:tc>
          <w:tcPr>
            <w:tcW w:w="280" w:type="dxa"/>
            <w:vAlign w:val="bottom"/>
          </w:tcPr>
          <w:p>
            <w:pPr>
              <w:spacing w:after="0"/>
              <w:rPr>
                <w:sz w:val="12"/>
                <w:szCs w:val="12"/>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18,459</w:t>
            </w:r>
          </w:p>
        </w:tc>
      </w:tr>
      <w:tr>
        <w:trPr>
          <w:trHeight w:val="148"/>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Cumulative Effect of ASU 2019-04</w:t>
            </w:r>
          </w:p>
        </w:tc>
        <w:tc>
          <w:tcPr>
            <w:tcW w:w="11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(3,259)</w:t>
            </w:r>
          </w:p>
        </w:tc>
        <w:tc>
          <w:tcPr>
            <w:tcW w:w="3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3,259</w:t>
            </w:r>
          </w:p>
        </w:tc>
        <w:tc>
          <w:tcPr>
            <w:tcW w:w="4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 (Loss)</w:t>
            </w:r>
          </w:p>
        </w:tc>
        <w:tc>
          <w:tcPr>
            <w:tcW w:w="1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(103)</w:t>
            </w: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612</w:t>
            </w: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963</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1,472</w:t>
            </w:r>
          </w:p>
        </w:tc>
      </w:tr>
      <w:tr>
        <w:trPr>
          <w:trHeight w:val="142"/>
        </w:trPr>
        <w:tc>
          <w:tcPr>
            <w:tcW w:w="50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1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18,806</w:t>
            </w:r>
          </w:p>
        </w:tc>
        <w:tc>
          <w:tcPr>
            <w:tcW w:w="38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3,871</w:t>
            </w:r>
          </w:p>
        </w:tc>
        <w:tc>
          <w:tcPr>
            <w:tcW w:w="4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(2,746)</w:t>
            </w:r>
          </w:p>
        </w:tc>
        <w:tc>
          <w:tcPr>
            <w:tcW w:w="2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19,931</w:t>
            </w:r>
          </w:p>
        </w:tc>
      </w:tr>
      <w:tr>
        <w:trPr>
          <w:trHeight w:val="182"/>
        </w:trPr>
        <w:tc>
          <w:tcPr>
            <w:tcW w:w="50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10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8,359</w:t>
            </w:r>
          </w:p>
        </w:tc>
        <w:tc>
          <w:tcPr>
            <w:tcW w:w="3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(715)</w:t>
            </w:r>
          </w:p>
        </w:tc>
        <w:tc>
          <w:tcPr>
            <w:tcW w:w="4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(38,756)</w:t>
            </w:r>
          </w:p>
        </w:tc>
        <w:tc>
          <w:tcPr>
            <w:tcW w:w="2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(31,112)</w:t>
            </w:r>
          </w:p>
        </w:tc>
      </w:tr>
      <w:tr>
        <w:trPr>
          <w:trHeight w:val="129"/>
        </w:trPr>
        <w:tc>
          <w:tcPr>
            <w:tcW w:w="50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r>
      <w:tr>
        <w:trPr>
          <w:trHeight w:val="148"/>
        </w:trPr>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2018</w:t>
            </w: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Beginning Period</w:t>
            </w:r>
          </w:p>
        </w:tc>
        <w:tc>
          <w:tcPr>
            <w:tcW w:w="110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(1,915)</w:t>
            </w:r>
          </w:p>
        </w:tc>
        <w:tc>
          <w:tcPr>
            <w:tcW w:w="38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(5,085)</w:t>
            </w:r>
          </w:p>
        </w:tc>
        <w:tc>
          <w:tcPr>
            <w:tcW w:w="48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(27,715)</w:t>
            </w: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(34,715)</w:t>
            </w:r>
          </w:p>
        </w:tc>
      </w:tr>
      <w:tr>
        <w:trPr>
          <w:trHeight w:val="148"/>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10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(8,120)</w:t>
            </w:r>
          </w:p>
        </w:tc>
        <w:tc>
          <w:tcPr>
            <w:tcW w:w="38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2"/>
                <w:szCs w:val="1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(3,284)</w:t>
            </w: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(11,404)</w:t>
            </w:r>
          </w:p>
        </w:tc>
      </w:tr>
      <w:tr>
        <w:trPr>
          <w:trHeight w:val="148"/>
        </w:trPr>
        <w:tc>
          <w:tcPr>
            <w:tcW w:w="50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 (Loss)</w:t>
            </w:r>
          </w:p>
        </w:tc>
        <w:tc>
          <w:tcPr>
            <w:tcW w:w="1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1,595</w:t>
            </w:r>
          </w:p>
        </w:tc>
        <w:tc>
          <w:tcPr>
            <w:tcW w:w="4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958</w:t>
            </w:r>
          </w:p>
        </w:tc>
        <w:tc>
          <w:tcPr>
            <w:tcW w:w="2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2,553</w:t>
            </w:r>
          </w:p>
        </w:tc>
      </w:tr>
      <w:tr>
        <w:trPr>
          <w:trHeight w:val="142"/>
        </w:trPr>
        <w:tc>
          <w:tcPr>
            <w:tcW w:w="50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1100" w:type="dxa"/>
            <w:vAlign w:val="bottom"/>
          </w:tcPr>
          <w:p>
            <w:pPr>
              <w:spacing w:after="0"/>
              <w:rPr>
                <w:sz w:val="12"/>
                <w:szCs w:val="12"/>
                <w:color w:val="auto"/>
              </w:rPr>
            </w:pPr>
          </w:p>
        </w:tc>
        <w:tc>
          <w:tcPr>
            <w:tcW w:w="9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(8,120)</w:t>
            </w:r>
          </w:p>
        </w:tc>
        <w:tc>
          <w:tcPr>
            <w:tcW w:w="380" w:type="dxa"/>
            <w:vAlign w:val="bottom"/>
          </w:tcPr>
          <w:p>
            <w:pPr>
              <w:spacing w:after="0"/>
              <w:rPr>
                <w:sz w:val="12"/>
                <w:szCs w:val="12"/>
                <w:color w:val="auto"/>
              </w:rPr>
            </w:pPr>
          </w:p>
        </w:tc>
        <w:tc>
          <w:tcPr>
            <w:tcW w:w="100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1,595</w:t>
            </w:r>
          </w:p>
        </w:tc>
        <w:tc>
          <w:tcPr>
            <w:tcW w:w="480" w:type="dxa"/>
            <w:vAlign w:val="bottom"/>
          </w:tcPr>
          <w:p>
            <w:pPr>
              <w:spacing w:after="0"/>
              <w:rPr>
                <w:sz w:val="12"/>
                <w:szCs w:val="12"/>
                <w:color w:val="auto"/>
              </w:rPr>
            </w:pPr>
          </w:p>
        </w:tc>
        <w:tc>
          <w:tcPr>
            <w:tcW w:w="90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(2,326)</w:t>
            </w:r>
          </w:p>
        </w:tc>
        <w:tc>
          <w:tcPr>
            <w:tcW w:w="2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(8,851)</w:t>
            </w:r>
          </w:p>
        </w:tc>
      </w:tr>
      <w:tr>
        <w:trPr>
          <w:trHeight w:val="148"/>
        </w:trPr>
        <w:tc>
          <w:tcPr>
            <w:tcW w:w="50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Reclassification of the Income Tax Effects of the Tax Act from AOCI</w:t>
            </w:r>
          </w:p>
        </w:tc>
        <w:tc>
          <w:tcPr>
            <w:tcW w:w="1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(412)</w:t>
            </w:r>
          </w:p>
        </w:tc>
        <w:tc>
          <w:tcPr>
            <w:tcW w:w="38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(1,096)</w:t>
            </w:r>
          </w:p>
        </w:tc>
        <w:tc>
          <w:tcPr>
            <w:tcW w:w="4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(5,969)</w:t>
            </w:r>
          </w:p>
        </w:tc>
        <w:tc>
          <w:tcPr>
            <w:tcW w:w="2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(7,477)</w:t>
            </w:r>
          </w:p>
        </w:tc>
      </w:tr>
      <w:tr>
        <w:trPr>
          <w:trHeight w:val="142"/>
        </w:trPr>
        <w:tc>
          <w:tcPr>
            <w:tcW w:w="50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10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(10,447)</w:t>
            </w:r>
          </w:p>
        </w:tc>
        <w:tc>
          <w:tcPr>
            <w:tcW w:w="3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(4,586)</w:t>
            </w:r>
          </w:p>
        </w:tc>
        <w:tc>
          <w:tcPr>
            <w:tcW w:w="4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(36,010)</w:t>
            </w:r>
          </w:p>
        </w:tc>
        <w:tc>
          <w:tcPr>
            <w:tcW w:w="2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(51,043)</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reclassified out of each component of accumulated other comprehensive income (loss):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Affected Line Item</w:t>
            </w:r>
          </w:p>
        </w:tc>
      </w:tr>
      <w:tr>
        <w:trPr>
          <w:trHeight w:val="203"/>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 the Statement</w:t>
            </w:r>
          </w:p>
        </w:tc>
      </w:tr>
      <w:tr>
        <w:trPr>
          <w:trHeight w:val="199"/>
        </w:trPr>
        <w:tc>
          <w:tcPr>
            <w:tcW w:w="4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w:t>
            </w:r>
          </w:p>
        </w:tc>
        <w:tc>
          <w:tcPr>
            <w:tcW w:w="340" w:type="dxa"/>
            <w:vAlign w:val="bottom"/>
          </w:tcPr>
          <w:p>
            <w:pPr>
              <w:spacing w:after="0"/>
              <w:rPr>
                <w:sz w:val="17"/>
                <w:szCs w:val="17"/>
                <w:color w:val="auto"/>
              </w:rPr>
            </w:pPr>
          </w:p>
        </w:tc>
        <w:tc>
          <w:tcPr>
            <w:tcW w:w="3580" w:type="dxa"/>
            <w:vAlign w:val="bottom"/>
            <w:gridSpan w:val="5"/>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Where Net Income</w:t>
            </w:r>
          </w:p>
        </w:tc>
      </w:tr>
      <w:tr>
        <w:trPr>
          <w:trHeight w:val="222"/>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Income (Loss) Components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spacing w:after="0" w:line="222" w:lineRule="exact"/>
              <w:rPr>
                <w:sz w:val="20"/>
                <w:szCs w:val="20"/>
                <w:color w:val="auto"/>
              </w:rPr>
            </w:pPr>
            <w:r>
              <w:rPr>
                <w:rFonts w:ascii="Times New Roman" w:cs="Times New Roman" w:eastAsia="Times New Roman" w:hAnsi="Times New Roman"/>
                <w:sz w:val="15"/>
                <w:szCs w:val="15"/>
                <w:b w:val="1"/>
                <w:bCs w:val="1"/>
                <w:color w:val="auto"/>
              </w:rPr>
              <w:t>Comprehensive Income (Loss)</w:t>
            </w:r>
            <w:r>
              <w:rPr>
                <w:rFonts w:ascii="Times New Roman" w:cs="Times New Roman" w:eastAsia="Times New Roman" w:hAnsi="Times New Roman"/>
                <w:sz w:val="25"/>
                <w:szCs w:val="25"/>
                <w:b w:val="1"/>
                <w:bCs w:val="1"/>
                <w:color w:val="auto"/>
                <w:vertAlign w:val="superscript"/>
              </w:rPr>
              <w:t>1</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Is Presented</w:t>
            </w: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r>
      <w:tr>
        <w:trPr>
          <w:trHeight w:val="208"/>
        </w:trPr>
        <w:tc>
          <w:tcPr>
            <w:tcW w:w="49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400" w:type="dxa"/>
            <w:vAlign w:val="bottom"/>
            <w:tcBorders>
              <w:bottom w:val="single" w:sz="8" w:color="CFF0FC"/>
            </w:tcBorders>
          </w:tcPr>
          <w:p>
            <w:pPr>
              <w:spacing w:after="0"/>
              <w:rPr>
                <w:sz w:val="18"/>
                <w:szCs w:val="18"/>
                <w:color w:val="auto"/>
              </w:rPr>
            </w:pPr>
          </w:p>
        </w:tc>
      </w:tr>
      <w:tr>
        <w:trPr>
          <w:trHeight w:val="19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Unrealized Holding Gains (Losses) on</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17"/>
                <w:szCs w:val="17"/>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(397)</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480" w:type="dxa"/>
            <w:vAlign w:val="bottom"/>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13"/>
        </w:trPr>
        <w:tc>
          <w:tcPr>
            <w:tcW w:w="49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221</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569</w:t>
            </w:r>
          </w:p>
        </w:tc>
        <w:tc>
          <w:tcPr>
            <w:tcW w:w="24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12"/>
        </w:trPr>
        <w:tc>
          <w:tcPr>
            <w:tcW w:w="4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2"/>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Securities Gains</w:t>
            </w: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Sales of Investment Securities Available-for-Sale</w:t>
            </w:r>
          </w:p>
        </w:tc>
        <w:tc>
          <w:tcPr>
            <w:tcW w:w="34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152</w:t>
            </w:r>
          </w:p>
        </w:tc>
        <w:tc>
          <w:tcPr>
            <w:tcW w:w="4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(Losses), Net</w:t>
            </w:r>
          </w:p>
        </w:tc>
      </w:tr>
      <w:tr>
        <w:trPr>
          <w:trHeight w:val="219"/>
        </w:trPr>
        <w:tc>
          <w:tcPr>
            <w:tcW w:w="49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07"/>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7"/>
                <w:szCs w:val="17"/>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w:t>
            </w:r>
          </w:p>
        </w:tc>
        <w:tc>
          <w:tcPr>
            <w:tcW w:w="4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19"/>
        </w:trPr>
        <w:tc>
          <w:tcPr>
            <w:tcW w:w="4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Defined Benefit Plans Items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9"/>
        </w:trPr>
        <w:tc>
          <w:tcPr>
            <w:tcW w:w="4920" w:type="dxa"/>
            <w:vAlign w:val="bottom"/>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Prior Service Credit </w:t>
            </w:r>
            <w:r>
              <w:rPr>
                <w:rFonts w:ascii="Times New Roman" w:cs="Times New Roman" w:eastAsia="Times New Roman" w:hAnsi="Times New Roman"/>
                <w:sz w:val="25"/>
                <w:szCs w:val="25"/>
                <w:color w:val="auto"/>
                <w:vertAlign w:val="superscript"/>
              </w:rPr>
              <w:t>2</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288</w:t>
            </w: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567</w:t>
            </w:r>
          </w:p>
        </w:tc>
        <w:tc>
          <w:tcPr>
            <w:tcW w:w="2400" w:type="dxa"/>
            <w:vAlign w:val="bottom"/>
            <w:shd w:val="clear" w:color="auto" w:fill="CFF0FC"/>
          </w:tcPr>
          <w:p>
            <w:pPr>
              <w:spacing w:after="0"/>
              <w:rPr>
                <w:sz w:val="19"/>
                <w:szCs w:val="19"/>
                <w:color w:val="auto"/>
              </w:rPr>
            </w:pPr>
          </w:p>
        </w:tc>
      </w:tr>
      <w:tr>
        <w:trPr>
          <w:trHeight w:val="216"/>
        </w:trPr>
        <w:tc>
          <w:tcPr>
            <w:tcW w:w="4920" w:type="dxa"/>
            <w:vAlign w:val="bottom"/>
            <w:tcBorders>
              <w:bottom w:val="single" w:sz="8" w:color="CFF0FC"/>
            </w:tcBorders>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Net Actuarial Losses </w:t>
            </w:r>
            <w:r>
              <w:rPr>
                <w:rFonts w:ascii="Times New Roman" w:cs="Times New Roman" w:eastAsia="Times New Roman" w:hAnsi="Times New Roman"/>
                <w:sz w:val="25"/>
                <w:szCs w:val="25"/>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(2,318)</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400" w:type="dxa"/>
            <w:vAlign w:val="bottom"/>
            <w:tcBorders>
              <w:bottom w:val="single" w:sz="8" w:color="CFF0FC"/>
            </w:tcBorders>
          </w:tcPr>
          <w:p>
            <w:pPr>
              <w:spacing w:after="0"/>
              <w:rPr>
                <w:sz w:val="18"/>
                <w:szCs w:val="18"/>
                <w:color w:val="auto"/>
              </w:rPr>
            </w:pPr>
          </w:p>
        </w:tc>
      </w:tr>
      <w:tr>
        <w:trPr>
          <w:trHeight w:val="210"/>
        </w:trPr>
        <w:tc>
          <w:tcPr>
            <w:tcW w:w="4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(2,072)</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13"/>
        </w:trPr>
        <w:tc>
          <w:tcPr>
            <w:tcW w:w="49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549</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347</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310</w:t>
            </w:r>
          </w:p>
        </w:tc>
        <w:tc>
          <w:tcPr>
            <w:tcW w:w="24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09"/>
        </w:trPr>
        <w:tc>
          <w:tcPr>
            <w:tcW w:w="49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(1,523)</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4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12"/>
        </w:trPr>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(1,788)</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480" w:type="dxa"/>
            <w:vAlign w:val="bottom"/>
            <w:tcBorders>
              <w:bottom w:val="single" w:sz="8" w:color="auto"/>
            </w:tcBorders>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2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Amounts in parentheses indicate reductions to net income.</w:t>
      </w:r>
    </w:p>
    <w:p>
      <w:pPr>
        <w:spacing w:after="0" w:line="4" w:lineRule="exact"/>
        <w:rPr>
          <w:sz w:val="20"/>
          <w:szCs w:val="20"/>
          <w:color w:val="auto"/>
        </w:rPr>
      </w:pPr>
    </w:p>
    <w:p>
      <w:pPr>
        <w:ind w:left="200" w:right="600" w:hanging="192"/>
        <w:spacing w:after="0" w:line="239" w:lineRule="auto"/>
        <w:tabs>
          <w:tab w:leader="none" w:pos="20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14 </w:t>
      </w:r>
      <w:r>
        <w:rPr>
          <w:rFonts w:ascii="Times New Roman" w:cs="Times New Roman" w:eastAsia="Times New Roman" w:hAnsi="Times New Roman"/>
          <w:sz w:val="14"/>
          <w:szCs w:val="14"/>
          <w:i w:val="1"/>
          <w:iCs w:val="1"/>
          <w:color w:val="auto"/>
        </w:rPr>
        <w:t>Pension Plans and Postretirement Benefit Plan</w:t>
      </w:r>
      <w:r>
        <w:rPr>
          <w:rFonts w:ascii="Times New Roman" w:cs="Times New Roman" w:eastAsia="Times New Roman" w:hAnsi="Times New Roman"/>
          <w:sz w:val="14"/>
          <w:szCs w:val="14"/>
          <w:color w:val="auto"/>
        </w:rPr>
        <w:t xml:space="preserve"> for additional details).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Share</w:t>
      </w:r>
    </w:p>
    <w:p>
      <w:pPr>
        <w:spacing w:after="0" w:line="20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There were no adjustments to net income, the numerator, for purposes of computing basic earnings per share. The following is a reconciliation of the weighted average number of common shares outstanding for computing diluted earnings per share and antidilutive stock options and restricted stock outstanding for the years ended December 31, 2020, December 31, 2019, and December 31,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Weighted Average Shares</w:t>
            </w:r>
          </w:p>
        </w:tc>
        <w:tc>
          <w:tcPr>
            <w:tcW w:w="1160" w:type="dxa"/>
            <w:vAlign w:val="bottom"/>
            <w:tcBorders>
              <w:bottom w:val="single" w:sz="8" w:color="auto"/>
            </w:tcBorders>
          </w:tcPr>
          <w:p>
            <w:pPr>
              <w:spacing w:after="0"/>
              <w:rPr>
                <w:sz w:val="18"/>
                <w:szCs w:val="18"/>
                <w:color w:val="auto"/>
              </w:rPr>
            </w:pPr>
          </w:p>
        </w:tc>
      </w:tr>
      <w:tr>
        <w:trPr>
          <w:trHeight w:val="211"/>
        </w:trPr>
        <w:tc>
          <w:tcPr>
            <w:tcW w:w="6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 for Basic Earnings Per Share</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39,726,210</w:t>
            </w:r>
          </w:p>
        </w:tc>
        <w:tc>
          <w:tcPr>
            <w:tcW w:w="210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40,384,328</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41,714,770</w:t>
            </w:r>
          </w:p>
        </w:tc>
      </w:tr>
      <w:tr>
        <w:trPr>
          <w:trHeight w:val="213"/>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Dilutive Effect of Equity Based Awards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165,897</w:t>
            </w:r>
          </w:p>
        </w:tc>
        <w:tc>
          <w:tcPr>
            <w:tcW w:w="2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265,242</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284,629</w:t>
            </w:r>
          </w:p>
        </w:tc>
      </w:tr>
      <w:tr>
        <w:trPr>
          <w:trHeight w:val="210"/>
        </w:trPr>
        <w:tc>
          <w:tcPr>
            <w:tcW w:w="6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Denominator for Diluted Earnings Per Share</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39,892,107</w:t>
            </w:r>
          </w:p>
        </w:tc>
        <w:tc>
          <w:tcPr>
            <w:tcW w:w="210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40,649,570</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41,999,399</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8"/>
        </w:trPr>
        <w:tc>
          <w:tcPr>
            <w:tcW w:w="6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4"/>
        </w:trPr>
        <w:tc>
          <w:tcPr>
            <w:tcW w:w="6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Antidilutive Stock Options and Restricted Stock Outstanding</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113,410</w:t>
            </w:r>
          </w:p>
        </w:tc>
        <w:tc>
          <w:tcPr>
            <w:tcW w:w="210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4,905</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Business Segments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Effective January 1, 2020, the Company changed segments based on management structure and strategic focus which is placing a greater emphasis on customer segment as opposed to product type. The Company’s business segments are defined as Consumer Banking,</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Commercial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87"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provision for credit losses for the Consumer Banking and Commercial Banking business segments reflects the actual net charge-offs of those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allocated to business segments using a 26% effective income tax rate. However, the provision for income taxes for our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Consumer Banking offers a broad range of financial products and services, including loan, deposit and insurance products; private banking and international client banking services; trust services; investment management; and institutional investment advisory services. Consumer Banking also provides a full service brokerage offering equities, mutual funds, life insurance, and annuity products. Loan and lease products include residential mortgage loans, home equity lines of credit, automobile loans and leases, personal lines of credit, installment loans, small business loans and leases, and credit cards. Deposit products include checking, savings, and time deposit accounts.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Also within Consumer Banking, institutional client services offer investment advice to corporations, government entities, and foundations. Products and services from Consumer Banking are delivered to customers through 65 branch locations and 357 ATMs throughout Hawaii and the Pacific Islands, e-Bankoh (on-line banking service), a 24-hour customer service center, and a mobile banking service.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Selected business segment financial information as of and for the years ended December 31, 2020, December 31, 2019, and December 31, 2018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8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3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292,710</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188,626</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14,986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496,322</w:t>
            </w:r>
          </w:p>
        </w:tc>
      </w:tr>
      <w:tr>
        <w:trPr>
          <w:trHeight w:val="216"/>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8,087</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(948)</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110,661</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117,800</w:t>
            </w: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 (Loss) After Provision for Credit Losses</w:t>
            </w:r>
          </w:p>
        </w:tc>
        <w:tc>
          <w:tcPr>
            <w:tcW w:w="11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284,623</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189,574</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(95,675)</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378,522</w:t>
            </w:r>
          </w:p>
        </w:tc>
      </w:tr>
      <w:tr>
        <w:trPr>
          <w:trHeight w:val="21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1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128,400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34,523</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21,486</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184,409</w:t>
            </w:r>
          </w:p>
        </w:tc>
      </w:tr>
      <w:tr>
        <w:trPr>
          <w:trHeight w:val="21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(289,177)</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(63,294)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(21,336)</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(373,807)</w:t>
            </w:r>
          </w:p>
        </w:tc>
      </w:tr>
      <w:tr>
        <w:trPr>
          <w:trHeight w:val="212"/>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123,846</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160,803</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(95,525)</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189,124</w:t>
            </w:r>
          </w:p>
        </w:tc>
      </w:tr>
      <w:tr>
        <w:trPr>
          <w:trHeight w:val="21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(31,476)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(40,081)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36,237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(35,320)</w:t>
            </w:r>
          </w:p>
        </w:tc>
      </w:tr>
      <w:tr>
        <w:trPr>
          <w:trHeight w:val="210"/>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92,370</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120,722</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(59,288)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153,804</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 as of December 31, 2020</w:t>
            </w: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7,478,813</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5,116,807</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8,008,031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20,603,651</w:t>
            </w:r>
          </w:p>
        </w:tc>
      </w:tr>
      <w:tr>
        <w:trPr>
          <w:trHeight w:val="198"/>
        </w:trPr>
        <w:tc>
          <w:tcPr>
            <w:tcW w:w="49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5"/>
                <w:szCs w:val="15"/>
                <w:b w:val="1"/>
                <w:bCs w:val="1"/>
                <w:color w:val="auto"/>
              </w:rPr>
              <w:t xml:space="preserve">Year Ended December 31, 2019 </w:t>
            </w:r>
            <w:r>
              <w:rPr>
                <w:rFonts w:ascii="Times New Roman" w:cs="Times New Roman" w:eastAsia="Times New Roman" w:hAnsi="Times New Roman"/>
                <w:sz w:val="25"/>
                <w:szCs w:val="25"/>
                <w:b w:val="1"/>
                <w:bCs w:val="1"/>
                <w:color w:val="auto"/>
                <w:vertAlign w:val="superscript"/>
              </w:rPr>
              <w:t>1</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11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305,803</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185,259</w:t>
            </w:r>
          </w:p>
        </w:tc>
        <w:tc>
          <w:tcPr>
            <w:tcW w:w="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6,653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497,715</w:t>
            </w:r>
          </w:p>
        </w:tc>
      </w:tr>
      <w:tr>
        <w:trPr>
          <w:trHeight w:val="21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11,685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976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3,339</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16,000</w:t>
            </w:r>
          </w:p>
        </w:tc>
      </w:tr>
      <w:tr>
        <w:trPr>
          <w:trHeight w:val="212"/>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294,118</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184,283</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3,314</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481,715</w:t>
            </w: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11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142,378</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33,362</w:t>
            </w:r>
          </w:p>
        </w:tc>
        <w:tc>
          <w:tcPr>
            <w:tcW w:w="3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7,598</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183,338</w:t>
            </w:r>
          </w:p>
        </w:tc>
      </w:tr>
      <w:tr>
        <w:trPr>
          <w:trHeight w:val="216"/>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1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(281,662)</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(84,616)</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(12,949)</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(379,227)</w:t>
            </w: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1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154,834</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133,029</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285,826</w:t>
            </w:r>
          </w:p>
        </w:tc>
      </w:tr>
      <w:tr>
        <w:trPr>
          <w:trHeight w:val="216"/>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(38,654)</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(28,852)</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7,593</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(59,913)</w:t>
            </w:r>
          </w:p>
        </w:tc>
      </w:tr>
      <w:tr>
        <w:trPr>
          <w:trHeight w:val="250"/>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116,180</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104,177</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5,556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225,913</w:t>
            </w:r>
          </w:p>
        </w:tc>
      </w:tr>
      <w:tr>
        <w:trPr>
          <w:trHeight w:val="198"/>
        </w:trPr>
        <w:tc>
          <w:tcPr>
            <w:tcW w:w="4900" w:type="dxa"/>
            <w:vAlign w:val="bottom"/>
            <w:tcBorders>
              <w:bottom w:val="single" w:sz="8" w:color="auto"/>
            </w:tcBorders>
            <w:shd w:val="clear" w:color="auto" w:fill="CFF0FC"/>
          </w:tcPr>
          <w:p>
            <w:pPr>
              <w:spacing w:after="0" w:line="199" w:lineRule="exact"/>
              <w:rPr>
                <w:sz w:val="20"/>
                <w:szCs w:val="20"/>
                <w:color w:val="auto"/>
              </w:rPr>
            </w:pPr>
            <w:r>
              <w:rPr>
                <w:rFonts w:ascii="Times New Roman" w:cs="Times New Roman" w:eastAsia="Times New Roman" w:hAnsi="Times New Roman"/>
                <w:sz w:val="14"/>
                <w:szCs w:val="14"/>
                <w:b w:val="1"/>
                <w:bCs w:val="1"/>
                <w:color w:val="auto"/>
              </w:rPr>
              <w:t xml:space="preserve">Total Assets as of December 31, 2019 </w:t>
            </w:r>
            <w:r>
              <w:rPr>
                <w:rFonts w:ascii="Times New Roman" w:cs="Times New Roman" w:eastAsia="Times New Roman" w:hAnsi="Times New Roman"/>
                <w:sz w:val="22"/>
                <w:szCs w:val="22"/>
                <w:b w:val="1"/>
                <w:bCs w:val="1"/>
                <w:color w:val="auto"/>
                <w:vertAlign w:val="superscript"/>
              </w:rPr>
              <w:t>1</w:t>
            </w: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7,054,511</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4,254,261</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6,786,724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18,095,496</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5"/>
                <w:szCs w:val="15"/>
                <w:b w:val="1"/>
                <w:bCs w:val="1"/>
                <w:color w:val="auto"/>
              </w:rPr>
              <w:t xml:space="preserve">Year Ended December 31, 2018 </w:t>
            </w:r>
            <w:r>
              <w:rPr>
                <w:rFonts w:ascii="Times New Roman" w:cs="Times New Roman" w:eastAsia="Times New Roman" w:hAnsi="Times New Roman"/>
                <w:sz w:val="25"/>
                <w:szCs w:val="25"/>
                <w:b w:val="1"/>
                <w:bCs w:val="1"/>
                <w:color w:val="auto"/>
                <w:vertAlign w:val="superscript"/>
              </w:rPr>
              <w:t>1</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305,681</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179,577</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1,094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486,352</w:t>
            </w:r>
          </w:p>
        </w:tc>
      </w:tr>
      <w:tr>
        <w:trPr>
          <w:trHeight w:val="216"/>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14,837</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(760)</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13,425</w:t>
            </w: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11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290,844</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180,337</w:t>
            </w:r>
          </w:p>
        </w:tc>
        <w:tc>
          <w:tcPr>
            <w:tcW w:w="3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1,746</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472,927</w:t>
            </w:r>
          </w:p>
        </w:tc>
      </w:tr>
      <w:tr>
        <w:trPr>
          <w:trHeight w:val="21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Income</w:t>
            </w:r>
          </w:p>
        </w:tc>
        <w:tc>
          <w:tcPr>
            <w:tcW w:w="1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134,342</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23,733</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10,848</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168,923</w:t>
            </w:r>
          </w:p>
        </w:tc>
      </w:tr>
      <w:tr>
        <w:trPr>
          <w:trHeight w:val="21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Noninterest Expense</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(277,608)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(81,344)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(371,624)</w:t>
            </w:r>
          </w:p>
        </w:tc>
      </w:tr>
      <w:tr>
        <w:trPr>
          <w:trHeight w:val="212"/>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147,578</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122,726</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270,226</w:t>
            </w:r>
          </w:p>
        </w:tc>
      </w:tr>
      <w:tr>
        <w:trPr>
          <w:trHeight w:val="21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(37,285)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(28,496)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15,157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(50,624)</w:t>
            </w:r>
          </w:p>
        </w:tc>
      </w:tr>
      <w:tr>
        <w:trPr>
          <w:trHeight w:val="210"/>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110,293</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94,230</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15,079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219,602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8"/>
        </w:trPr>
        <w:tc>
          <w:tcPr>
            <w:tcW w:w="490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4"/>
                <w:szCs w:val="14"/>
                <w:b w:val="1"/>
                <w:bCs w:val="1"/>
                <w:color w:val="auto"/>
              </w:rPr>
              <w:t xml:space="preserve">Total Assets as of December 31, 2018 </w:t>
            </w:r>
            <w:r>
              <w:rPr>
                <w:rFonts w:ascii="Times New Roman" w:cs="Times New Roman" w:eastAsia="Times New Roman" w:hAnsi="Times New Roman"/>
                <w:sz w:val="22"/>
                <w:szCs w:val="22"/>
                <w:b w:val="1"/>
                <w:bCs w:val="1"/>
                <w:color w:val="auto"/>
                <w:vertAlign w:val="superscript"/>
              </w:rPr>
              <w:t>1</w:t>
            </w: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6,715,095</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3,958,523</w:t>
            </w:r>
          </w:p>
        </w:tc>
        <w:tc>
          <w:tcPr>
            <w:tcW w:w="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6,470,356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17,143,974</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00" w:hanging="92"/>
        <w:spacing w:after="0"/>
        <w:tabs>
          <w:tab w:leader="none" w:pos="1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Certain prior period information has been reclassified to conform to current presentation.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Employee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defined contribution plans, defined benefit plans, and a postretirement benefit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Hawaii Retirement Savings Plan (the “Savings Plan”) has three Company contribution components in addition to employee contributions:</w:t>
      </w:r>
    </w:p>
    <w:p>
      <w:pPr>
        <w:spacing w:after="0" w:line="27" w:lineRule="exact"/>
        <w:rPr>
          <w:sz w:val="20"/>
          <w:szCs w:val="20"/>
          <w:color w:val="auto"/>
        </w:rPr>
      </w:pPr>
    </w:p>
    <w:p>
      <w:pPr>
        <w:ind w:left="5480" w:right="760" w:hanging="5472"/>
        <w:spacing w:after="0" w:line="511" w:lineRule="auto"/>
        <w:tabs>
          <w:tab w:leader="none" w:pos="19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matching, as described below; 2) a 3% fixed amount based on eligible compensation; and 3) a discretionary value-sharing contribution.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401(k) matching component, participating employees may contribute up to 50% of their eligible compensation (within federal limits) to the Savings Plan. The Company makes matching contributions on behalf of participants equal to $1.25 for each $1.00 contributed by participants, up to 2% of the participants’ eligible compensation, and $0.50 for every $1.00 contributed by participants over 2%, up to 5% of the participants’ eligible compensation. A 3% fixed contribution and a discretionary value-sharing contribution, that is linked to the Company’s financial goals, are made regardless of whether the participating employee contributes to the Savings Plan and are invested in accordance with the participant’s selection of investment options available under the Savings Plan. The Company also has a non-qualified savings plan which covers certain employees with compensation exceeding Internal Revenue Service (“IRS”) limits on pay amounts in the allocation of the Savings Plan’s benefits. Total expense for all components of the Company’s defined contribution plans was $14.0 million, $15.2 million, and $14.5 million for the years ended December 31, 2020, December 31, 2019, and December 31, 2018,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two defined benefit plans (the “Pension Plans”). In 1995, the Company froze its non-contributory, qualified defined benefit retirement plan (the “Retirement Plan”) and the excess retirement plan (the “Excess Plan”), which covered employees of the Company and participating subsidiaries who met certain eligibility requirements. Beginning January 1, 2001, the Pension Plans no longer provided for compensation increases in the determination of benefits. The projected benefit obligation is equal to the accumulated benefit obligation due to the frozen status of the Pension Plans.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of the Retirement Plan primarily consist of equity and fixed income mutual funds.</w:t>
      </w:r>
    </w:p>
    <w:p>
      <w:pPr>
        <w:spacing w:after="0" w:line="19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Excess Plan is a non-qualified excess retirement benefit plan which covers certain employees of the Company and participating subsidiaries with compensation exceeding IRS limits on pay amounts applicable to the Pension Plan’s benefit formula. The Excess Plan has no plan assets. The Excess Plan’s projected benefit obligation and accumulated benefit obligation were $3.6 million for December 31, 2020, and December 31, 2019.</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Benefit Plan</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postretirement benefit plan provides retirees hired before January 1, 2012, with medical and dental insurance coverage. For eligible participants that retired before 2008 and met certain age requirements, the Company and retiree share in the cost of providing postretirement benefits where both the employer and retiree pay a portion of the insurance premiums. Eligible participants who retired before 2008 who did not meet certain age requirements continued on the Company’s benefit plans, but pay for their full insurance premiums. Participants who retired on or after January 1, 2008, who had medical or dental coverage under the Company’s plans immediately before retirement and meet certain age and years of service requirements as of December 31, 2008, are also eligible to participate in the Company’s benefit plans, but must pay for their full insurance premiums. Retirees age 65 and older are provided with a Medicare supplemental plan subsidy. Most employees of the Company who have met certain eligibility requirements are covered by this plan. Participants who retired on or after January 1, 2008, who met certain age and/or years of service requirements, are eligible for the Health Reimbursement Account (“HRA”) program. The HRA program provides retirees with an initial credit based on years of service. Thereafter, an annual credit up to a maximum of $1,200 is provided into the HRA. The retiree may use the HRA for medical, vision, prescription drug and dental premiums, co-payments, and medically necessary health care expenses that are not covered by any medical or dental insurance program or flexible health spending account. The plan was amended to provide access-only coverage for employees hired on or after January 1, 2012, and lowered eligibility for access from age 55 to age 50. These retirees continue on the medical and dental plan until age 65 paying the full premium. As of December 31, 2020, and December 31, 2019, the Company had no segregated assets to provide for postretirement benefits.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benefit obligation and fair value of plan assets, as well as the funded status recognized in the Company’s consolidated statements of condition for the Pension Plans and postretirement benefit plan for the years ended December 31, 2020, and December 31,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r>
      <w:tr>
        <w:trPr>
          <w:trHeight w:val="213"/>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Benefit Obligation at Beginning of Year</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110,637</w:t>
            </w:r>
          </w:p>
        </w:tc>
        <w:tc>
          <w:tcPr>
            <w:tcW w:w="62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102,662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27,571</w:t>
            </w:r>
          </w:p>
        </w:tc>
        <w:tc>
          <w:tcPr>
            <w:tcW w:w="4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23,452</w:t>
            </w: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Service Cost</w:t>
            </w:r>
          </w:p>
        </w:tc>
        <w:tc>
          <w:tcPr>
            <w:tcW w:w="34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578</w:t>
            </w:r>
          </w:p>
        </w:tc>
        <w:tc>
          <w:tcPr>
            <w:tcW w:w="4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455</w:t>
            </w: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Cost</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3,627</w:t>
            </w:r>
          </w:p>
        </w:tc>
        <w:tc>
          <w:tcPr>
            <w:tcW w:w="6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4,401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945</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1,025</w:t>
            </w: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Actuarial Losses (Gains)</w:t>
            </w:r>
          </w:p>
        </w:tc>
        <w:tc>
          <w:tcPr>
            <w:tcW w:w="34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10,364</w:t>
            </w:r>
          </w:p>
        </w:tc>
        <w:tc>
          <w:tcPr>
            <w:tcW w:w="6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3,559</w:t>
            </w:r>
          </w:p>
        </w:tc>
        <w:tc>
          <w:tcPr>
            <w:tcW w:w="4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4,095</w:t>
            </w:r>
          </w:p>
        </w:tc>
      </w:tr>
      <w:tr>
        <w:trPr>
          <w:trHeight w:val="219"/>
        </w:trPr>
        <w:tc>
          <w:tcPr>
            <w:tcW w:w="5840" w:type="dxa"/>
            <w:vAlign w:val="bottom"/>
            <w:tcBorders>
              <w:bottom w:val="single" w:sz="8" w:color="auto"/>
            </w:tcBorders>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Employer Benefits Paid </w:t>
            </w:r>
            <w:r>
              <w:rPr>
                <w:rFonts w:ascii="Times New Roman" w:cs="Times New Roman" w:eastAsia="Times New Roman" w:hAnsi="Times New Roman"/>
                <w:sz w:val="25"/>
                <w:szCs w:val="25"/>
                <w:color w:val="auto"/>
                <w:vertAlign w:val="superscript"/>
              </w:rPr>
              <w:t>1</w:t>
            </w: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(6,981)</w:t>
            </w:r>
          </w:p>
        </w:tc>
        <w:tc>
          <w:tcPr>
            <w:tcW w:w="6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(6,785)</w:t>
            </w: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(1,456)</w:t>
            </w:r>
          </w:p>
        </w:tc>
      </w:tr>
      <w:tr>
        <w:trPr>
          <w:trHeight w:val="208"/>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Benefit Obligation at End of Year</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117,647</w:t>
            </w:r>
          </w:p>
        </w:tc>
        <w:tc>
          <w:tcPr>
            <w:tcW w:w="6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110,637</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31,507</w:t>
            </w:r>
          </w:p>
        </w:tc>
        <w:tc>
          <w:tcPr>
            <w:tcW w:w="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27,571</w:t>
            </w:r>
          </w:p>
        </w:tc>
      </w:tr>
      <w:tr>
        <w:trPr>
          <w:trHeight w:val="21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Fair Value of Plan Assets at Beginning of Year</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93,638</w:t>
            </w:r>
          </w:p>
        </w:tc>
        <w:tc>
          <w:tcPr>
            <w:tcW w:w="62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85,553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34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10,764</w:t>
            </w:r>
          </w:p>
        </w:tc>
        <w:tc>
          <w:tcPr>
            <w:tcW w:w="6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Employer Contributions</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469</w:t>
            </w:r>
          </w:p>
        </w:tc>
        <w:tc>
          <w:tcPr>
            <w:tcW w:w="6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1,146</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1,456</w:t>
            </w:r>
          </w:p>
        </w:tc>
      </w:tr>
      <w:tr>
        <w:trPr>
          <w:trHeight w:val="216"/>
        </w:trPr>
        <w:tc>
          <w:tcPr>
            <w:tcW w:w="5840" w:type="dxa"/>
            <w:vAlign w:val="bottom"/>
            <w:tcBorders>
              <w:bottom w:val="single" w:sz="8" w:color="auto"/>
            </w:tcBorders>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Employer Benefits Paid </w:t>
            </w:r>
            <w:r>
              <w:rPr>
                <w:rFonts w:ascii="Times New Roman" w:cs="Times New Roman" w:eastAsia="Times New Roman" w:hAnsi="Times New Roman"/>
                <w:sz w:val="25"/>
                <w:szCs w:val="25"/>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(6,981)</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(6,785)</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w:t>
            </w:r>
          </w:p>
        </w:tc>
      </w:tr>
      <w:tr>
        <w:trPr>
          <w:trHeight w:val="208"/>
        </w:trPr>
        <w:tc>
          <w:tcPr>
            <w:tcW w:w="5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Fair Value of Plan Assets at End of Year</w:t>
            </w: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97,890</w:t>
            </w:r>
          </w:p>
        </w:tc>
        <w:tc>
          <w:tcPr>
            <w:tcW w:w="62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93,638</w:t>
            </w: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840" w:type="dxa"/>
            <w:vAlign w:val="bottom"/>
            <w:tcBorders>
              <w:bottom w:val="single" w:sz="8" w:color="auto"/>
            </w:tcBorders>
          </w:tcPr>
          <w:p>
            <w:pPr>
              <w:spacing w:after="0" w:line="211" w:lineRule="exact"/>
              <w:rPr>
                <w:sz w:val="20"/>
                <w:szCs w:val="20"/>
                <w:color w:val="auto"/>
              </w:rPr>
            </w:pPr>
            <w:r>
              <w:rPr>
                <w:rFonts w:ascii="Times New Roman" w:cs="Times New Roman" w:eastAsia="Times New Roman" w:hAnsi="Times New Roman"/>
                <w:sz w:val="15"/>
                <w:szCs w:val="15"/>
                <w:b w:val="1"/>
                <w:bCs w:val="1"/>
                <w:color w:val="auto"/>
              </w:rPr>
              <w:t xml:space="preserve">Funded Status at End of Year </w:t>
            </w:r>
            <w:r>
              <w:rPr>
                <w:rFonts w:ascii="Times New Roman" w:cs="Times New Roman" w:eastAsia="Times New Roman" w:hAnsi="Times New Roman"/>
                <w:sz w:val="24"/>
                <w:szCs w:val="24"/>
                <w:b w:val="1"/>
                <w:bCs w:val="1"/>
                <w:color w:val="auto"/>
                <w:vertAlign w:val="superscript"/>
              </w:rPr>
              <w:t>2</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(19,757)</w:t>
            </w:r>
          </w:p>
        </w:tc>
        <w:tc>
          <w:tcPr>
            <w:tcW w:w="6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(16,999)</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(31,507)</w:t>
            </w:r>
          </w:p>
        </w:tc>
        <w:tc>
          <w:tcPr>
            <w:tcW w:w="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(27,571)</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right="120" w:hanging="192"/>
        <w:spacing w:after="0" w:line="251" w:lineRule="auto"/>
        <w:tabs>
          <w:tab w:leader="none" w:pos="2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Participants' contributions relative to the postretirement benefit plan were offset against employer benefits paid in the table above. Participants' contributions for postretirement benefits were $0.8 million and $0.7 million for the years ended December 31, 2020, and December 31, 2019, respectively.</w:t>
      </w:r>
    </w:p>
    <w:p>
      <w:pPr>
        <w:spacing w:after="0" w:line="1" w:lineRule="exact"/>
        <w:rPr>
          <w:sz w:val="20"/>
          <w:szCs w:val="20"/>
          <w:color w:val="auto"/>
        </w:rPr>
      </w:pPr>
    </w:p>
    <w:p>
      <w:pPr>
        <w:ind w:left="200" w:hanging="192"/>
        <w:spacing w:after="0"/>
        <w:tabs>
          <w:tab w:leader="none" w:pos="20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Amounts are recognized in Retirement Benefits Payable in the consolidated statements of condition.</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changes in actuarial losses (gains) related to the Company’s Pension and postretirement benefit Plans are mainly due to changes in discount rates for the years ended December 31, 2020, and December 31, 2019. For the year ended December 31, 2020, the change in discount rate resulted in a $9.3 million increase to the Company’s Pension Plans liability and a $2.9 million increase to the Company’s postretirement benefit plan liability. For the year ended December 31, 2019, the change in discount rate resulted in a $10.8 million increase to the Company’s Pension Plans liability and a $3.4 million increase to the Company’s postretirement benefit plan liability.</w:t>
      </w:r>
    </w:p>
    <w:p>
      <w:pPr>
        <w:spacing w:after="0" w:line="14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presents the amounts recognized in the Company’s accumulated other comprehensive income for the Pension Plans and postretirement benefit plan as of December 31, 2020, and December 31,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520" w:type="dxa"/>
            <w:vAlign w:val="bottom"/>
            <w:tcBorders>
              <w:bottom w:val="single" w:sz="8" w:color="auto"/>
            </w:tcBorders>
          </w:tcPr>
          <w:p>
            <w:pPr>
              <w:spacing w:after="0"/>
              <w:rPr>
                <w:sz w:val="18"/>
                <w:szCs w:val="18"/>
                <w:color w:val="auto"/>
              </w:rPr>
            </w:pPr>
          </w:p>
        </w:tc>
      </w:tr>
      <w:tr>
        <w:trPr>
          <w:trHeight w:val="212"/>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194"/>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Amounts Recognized in Accumulated Other</w:t>
            </w: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r>
      <w:tr>
        <w:trPr>
          <w:trHeight w:val="218"/>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 Income (Loss), Net of Tax</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Actuarial Gains (Losses)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(43,101)</w:t>
            </w:r>
          </w:p>
        </w:tc>
        <w:tc>
          <w:tcPr>
            <w:tcW w:w="6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(41,404)</w:t>
            </w:r>
          </w:p>
        </w:tc>
        <w:tc>
          <w:tcPr>
            <w:tcW w:w="14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8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1,003</w:t>
            </w:r>
          </w:p>
        </w:tc>
      </w:tr>
      <w:tr>
        <w:trPr>
          <w:trHeight w:val="216"/>
        </w:trPr>
        <w:tc>
          <w:tcPr>
            <w:tcW w:w="5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Prior Service Credit</w:t>
            </w:r>
          </w:p>
        </w:tc>
        <w:tc>
          <w:tcPr>
            <w:tcW w:w="3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1,464</w:t>
            </w:r>
          </w:p>
        </w:tc>
        <w:tc>
          <w:tcPr>
            <w:tcW w:w="8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1,645</w:t>
            </w: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Amounts Recognized in Accumulated Other</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5"/>
        </w:trPr>
        <w:tc>
          <w:tcPr>
            <w:tcW w:w="5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 Income (Loss), Net of Tax</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(43,101)</w:t>
            </w:r>
          </w:p>
        </w:tc>
        <w:tc>
          <w:tcPr>
            <w:tcW w:w="6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(41,404)</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2,648</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Components of net periodic benefit cost for the Company’s Pension Plans and the postretirement benefit plan are presented in the following table for the years ended December 31, 2020, December 31, 2019, and December 31,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660" w:type="dxa"/>
            <w:vAlign w:val="bottom"/>
            <w:tcBorders>
              <w:bottom w:val="single" w:sz="8" w:color="auto"/>
            </w:tcBorders>
          </w:tcPr>
          <w:p>
            <w:pPr>
              <w:spacing w:after="0"/>
              <w:rPr>
                <w:sz w:val="18"/>
                <w:szCs w:val="18"/>
                <w:color w:val="auto"/>
              </w:rPr>
            </w:pPr>
          </w:p>
        </w:tc>
      </w:tr>
      <w:tr>
        <w:trPr>
          <w:trHeight w:val="213"/>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578</w:t>
            </w:r>
          </w:p>
        </w:tc>
        <w:tc>
          <w:tcPr>
            <w:tcW w:w="3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455</w:t>
            </w:r>
          </w:p>
        </w:tc>
        <w:tc>
          <w:tcPr>
            <w:tcW w:w="4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457</w:t>
            </w:r>
          </w:p>
        </w:tc>
      </w:tr>
      <w:tr>
        <w:trPr>
          <w:trHeight w:val="21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w:t>
            </w:r>
          </w:p>
        </w:tc>
        <w:tc>
          <w:tcPr>
            <w:tcW w:w="40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4,401</w:t>
            </w:r>
          </w:p>
        </w:tc>
        <w:tc>
          <w:tcPr>
            <w:tcW w:w="3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945</w:t>
            </w:r>
          </w:p>
        </w:tc>
        <w:tc>
          <w:tcPr>
            <w:tcW w:w="38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1,025</w:t>
            </w:r>
          </w:p>
        </w:tc>
        <w:tc>
          <w:tcPr>
            <w:tcW w:w="44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936</w:t>
            </w:r>
          </w:p>
        </w:tc>
      </w:tr>
      <w:tr>
        <w:trPr>
          <w:trHeight w:val="21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(4,993)</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4700" w:type="dxa"/>
            <w:vAlign w:val="bottom"/>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Prior Service Credit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16"/>
        </w:trPr>
        <w:tc>
          <w:tcPr>
            <w:tcW w:w="4700" w:type="dxa"/>
            <w:vAlign w:val="bottom"/>
            <w:tcBorders>
              <w:bottom w:val="single" w:sz="8" w:color="auto"/>
            </w:tcBorders>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Net Actuarial Losses (Gains)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1,937</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2,099</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08"/>
        </w:trPr>
        <w:tc>
          <w:tcPr>
            <w:tcW w:w="47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Periodic Benefit Cost</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4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1,345</w:t>
            </w: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1,170</w:t>
            </w:r>
          </w:p>
        </w:tc>
        <w:tc>
          <w:tcPr>
            <w:tcW w:w="4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1,277</w:t>
            </w:r>
          </w:p>
        </w:tc>
        <w:tc>
          <w:tcPr>
            <w:tcW w:w="38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853</w:t>
            </w:r>
          </w:p>
        </w:tc>
        <w:tc>
          <w:tcPr>
            <w:tcW w:w="44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562</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reclassification adjustments from accumulated other comprehensive income during the period.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Assumptions used to determine the benefit obligations as of December 31, 2020, and December 31, 2019, for the Company’s Pension Plans and postretirement benefit plan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2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560" w:type="dxa"/>
            <w:vAlign w:val="bottom"/>
            <w:tcBorders>
              <w:bottom w:val="single" w:sz="8" w:color="auto"/>
            </w:tcBorders>
          </w:tcPr>
          <w:p>
            <w:pPr>
              <w:spacing w:after="0"/>
              <w:rPr>
                <w:sz w:val="18"/>
                <w:szCs w:val="18"/>
                <w:color w:val="auto"/>
              </w:rPr>
            </w:pPr>
          </w:p>
        </w:tc>
      </w:tr>
      <w:tr>
        <w:trPr>
          <w:trHeight w:val="211"/>
        </w:trPr>
        <w:tc>
          <w:tcPr>
            <w:tcW w:w="57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Assumptions as of December 31:</w:t>
            </w:r>
          </w:p>
        </w:tc>
        <w:tc>
          <w:tcPr>
            <w:tcW w:w="2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13"/>
        </w:trPr>
        <w:tc>
          <w:tcPr>
            <w:tcW w:w="5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Discount Rate</w:t>
            </w:r>
          </w:p>
        </w:tc>
        <w:tc>
          <w:tcPr>
            <w:tcW w:w="20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2.55%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40" w:type="dxa"/>
            <w:vAlign w:val="bottom"/>
          </w:tcPr>
          <w:p>
            <w:pPr>
              <w:spacing w:after="0"/>
              <w:rPr>
                <w:sz w:val="18"/>
                <w:szCs w:val="18"/>
                <w:color w:val="auto"/>
              </w:rPr>
            </w:pPr>
          </w:p>
        </w:tc>
        <w:tc>
          <w:tcPr>
            <w:tcW w:w="214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2.66%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19"/>
        </w:trPr>
        <w:tc>
          <w:tcPr>
            <w:tcW w:w="5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Health Care Cost Trend Rate Assumed For Next Year</w:t>
            </w:r>
          </w:p>
        </w:tc>
        <w:tc>
          <w:tcPr>
            <w:tcW w:w="204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5.50%</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health care cost trend rate is assumed to decrease annually, until reaching the ultimate trend rate of 4.5% in 2036.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used to determine the net periodic benefit cost for the Company’s Pension Plans and postretirement benefit plan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December 31, 2019, and December 31, 2018,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2480" w:type="dxa"/>
            <w:vAlign w:val="bottom"/>
            <w:tcBorders>
              <w:bottom w:val="single" w:sz="8" w:color="auto"/>
            </w:tcBorders>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700" w:type="dxa"/>
            <w:vAlign w:val="bottom"/>
            <w:tcBorders>
              <w:bottom w:val="single" w:sz="8" w:color="auto"/>
            </w:tcBorders>
          </w:tcPr>
          <w:p>
            <w:pPr>
              <w:spacing w:after="0"/>
              <w:rPr>
                <w:sz w:val="18"/>
                <w:szCs w:val="18"/>
                <w:color w:val="auto"/>
              </w:rPr>
            </w:pPr>
          </w:p>
        </w:tc>
      </w:tr>
      <w:tr>
        <w:trPr>
          <w:trHeight w:val="211"/>
        </w:trPr>
        <w:tc>
          <w:tcPr>
            <w:tcW w:w="4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Assumptions as of December 31:</w:t>
            </w:r>
          </w:p>
        </w:tc>
        <w:tc>
          <w:tcPr>
            <w:tcW w:w="1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3"/>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Discount Rate</w:t>
            </w: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3.36%</w:t>
            </w: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4.41%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3.42%</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4.48%</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9"/>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Expected Long-Term Rate of Return on Plan Assets</w:t>
            </w:r>
          </w:p>
        </w:tc>
        <w:tc>
          <w:tcPr>
            <w:tcW w:w="13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5.75%</w:t>
            </w:r>
          </w:p>
        </w:tc>
        <w:tc>
          <w:tcPr>
            <w:tcW w:w="11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5.75%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Health Care Cost Trend Rate</w:t>
            </w:r>
          </w:p>
        </w:tc>
        <w:tc>
          <w:tcPr>
            <w:tcW w:w="13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5.70%</w:t>
            </w: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6.00%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r>
    </w:tbl>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combination of factors is used by management in determining the expected long-term rate of return on plan assets. Historical return experience for major asset categories are evaluated and current market factors, such as inflation and interest rates, are considered in determining the expected long-term rate of return assumption.</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expects to contribute $0.4 million to the Pension Plans and $1.2 million to the postretirement benefit plan for the year ending December 31,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expected benefits to be paid in each of the next five years and in the aggregate for the five years thereafter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46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Postretirement</w:t>
            </w:r>
          </w:p>
        </w:tc>
      </w:tr>
      <w:tr>
        <w:trPr>
          <w:trHeight w:val="218"/>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Benefits</w:t>
            </w: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376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7,305</w:t>
            </w:r>
          </w:p>
        </w:tc>
        <w:tc>
          <w:tcPr>
            <w:tcW w:w="4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1,196</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37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7,327</w:t>
            </w:r>
          </w:p>
        </w:tc>
        <w:tc>
          <w:tcPr>
            <w:tcW w:w="46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1,235</w:t>
            </w:r>
          </w:p>
        </w:tc>
      </w:tr>
      <w:tr>
        <w:trPr>
          <w:trHeight w:val="21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3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7,314</w:t>
            </w:r>
          </w:p>
        </w:tc>
        <w:tc>
          <w:tcPr>
            <w:tcW w:w="4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1,321</w:t>
            </w: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7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7,314</w:t>
            </w:r>
          </w:p>
        </w:tc>
        <w:tc>
          <w:tcPr>
            <w:tcW w:w="46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1,388</w:t>
            </w:r>
          </w:p>
        </w:tc>
      </w:tr>
      <w:tr>
        <w:trPr>
          <w:trHeight w:val="21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3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7,287</w:t>
            </w:r>
          </w:p>
        </w:tc>
        <w:tc>
          <w:tcPr>
            <w:tcW w:w="4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1,511</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Years 2026-2030</w:t>
            </w:r>
          </w:p>
        </w:tc>
        <w:tc>
          <w:tcPr>
            <w:tcW w:w="37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34,860</w:t>
            </w:r>
          </w:p>
        </w:tc>
        <w:tc>
          <w:tcPr>
            <w:tcW w:w="46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9,324</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 Assets</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overall investment strategy is to maintain the purchasing power of the current assets and all future contributions by producing positive rates of return on plan assets; achieve capital growth towards the attainment of full funding of the Retirement Plan’s termination liability; maximize returns within reasonable and prudent levels of risk; and control costs of administering the plan and managing the investments. The long-term investment objective is to achieve an overall annualized total return, gross of fees, above the blended benchmark index comprised of 36% MSCI USA IMI Index, 24% MSCI ACWI ex-US Index, and 40% Barclays Aggregate Bond Index.</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Subject to liquidity requirements, the asset allocation targets are 60% for equity securities, 40% for fixed income securities with a 10% to 20% range permitted from the strategic targets, and zero to 20% for cash. Within the equity securities portfolio, the range for domestic securities is from 50% to 100% and the range for international securities is from 0% to 50%. All assets selected for the Retirement Plan must have a readily ascertainable market value and must be readily marketable.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Due to market fluctuations or cash flows, the allocation for each asset class may be breached by as much as 5% on a temporary basis. However, asset allocations are expected to conform to target ranges within 90 days of such an occurrence.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Retirement Plan assets as of December 31, 2020, and December 31, 2019, by asset category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2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8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for</w:t>
            </w:r>
          </w:p>
        </w:tc>
        <w:tc>
          <w:tcPr>
            <w:tcW w:w="2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2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3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 as of</w:t>
            </w:r>
          </w:p>
        </w:tc>
        <w:tc>
          <w:tcPr>
            <w:tcW w:w="3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 as of</w:t>
            </w:r>
          </w:p>
        </w:tc>
        <w:tc>
          <w:tcPr>
            <w:tcW w:w="0" w:type="dxa"/>
            <w:vAlign w:val="bottom"/>
          </w:tcPr>
          <w:p>
            <w:pPr>
              <w:spacing w:after="0"/>
              <w:rPr>
                <w:sz w:val="1"/>
                <w:szCs w:val="1"/>
                <w:color w:val="auto"/>
              </w:rPr>
            </w:pPr>
          </w:p>
        </w:tc>
      </w:tr>
      <w:tr>
        <w:trPr>
          <w:trHeight w:val="212"/>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0" w:type="dxa"/>
            <w:vAlign w:val="bottom"/>
          </w:tcPr>
          <w:p>
            <w:pPr>
              <w:spacing w:after="0"/>
              <w:rPr>
                <w:sz w:val="1"/>
                <w:szCs w:val="1"/>
                <w:color w:val="auto"/>
              </w:rPr>
            </w:pPr>
          </w:p>
        </w:tc>
      </w:tr>
      <w:tr>
        <w:trPr>
          <w:trHeight w:val="37"/>
        </w:trPr>
        <w:tc>
          <w:tcPr>
            <w:tcW w:w="392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3"/>
                <w:szCs w:val="3"/>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3"/>
                <w:szCs w:val="3"/>
                <w:color w:val="auto"/>
              </w:rPr>
            </w:pPr>
          </w:p>
        </w:tc>
        <w:tc>
          <w:tcPr>
            <w:tcW w:w="9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3"/>
                <w:szCs w:val="3"/>
                <w:color w:val="auto"/>
              </w:rPr>
            </w:pP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Pr>
          <w:p>
            <w:pPr>
              <w:spacing w:after="0"/>
              <w:rPr>
                <w:sz w:val="3"/>
                <w:szCs w:val="3"/>
                <w:color w:val="auto"/>
              </w:rPr>
            </w:pPr>
          </w:p>
        </w:tc>
        <w:tc>
          <w:tcPr>
            <w:tcW w:w="9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line="20" w:lineRule="exact"/>
              <w:rPr>
                <w:sz w:val="1"/>
                <w:szCs w:val="1"/>
                <w:color w:val="auto"/>
              </w:rPr>
            </w:pPr>
          </w:p>
        </w:tc>
      </w:tr>
      <w:tr>
        <w:trPr>
          <w:trHeight w:val="171"/>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1,079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1,079</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 – Mutual Funds: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Large-Cap</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1,849</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13"/>
        </w:trPr>
        <w:tc>
          <w:tcPr>
            <w:tcW w:w="3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Mixed-Cap</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29,802</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29,802</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29,336</w:t>
            </w: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International</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28,055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28,055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23,961</w:t>
            </w:r>
          </w:p>
        </w:tc>
        <w:tc>
          <w:tcPr>
            <w:tcW w:w="0" w:type="dxa"/>
            <w:vAlign w:val="bottom"/>
          </w:tcPr>
          <w:p>
            <w:pPr>
              <w:spacing w:after="0"/>
              <w:rPr>
                <w:sz w:val="1"/>
                <w:szCs w:val="1"/>
                <w:color w:val="auto"/>
              </w:rPr>
            </w:pPr>
          </w:p>
        </w:tc>
      </w:tr>
      <w:tr>
        <w:trPr>
          <w:trHeight w:val="213"/>
        </w:trPr>
        <w:tc>
          <w:tcPr>
            <w:tcW w:w="3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Emerging Market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2,494</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2,494</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2,342</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Fixed Income Securities – Mutual Funds</w:t>
            </w:r>
          </w:p>
        </w:tc>
        <w:tc>
          <w:tcPr>
            <w:tcW w:w="12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34,611</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34,611</w:t>
            </w: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34,999</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97,890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97,890</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93,638</w:t>
            </w: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453" w:lineRule="auto"/>
        <w:rPr>
          <w:sz w:val="20"/>
          <w:szCs w:val="20"/>
          <w:color w:val="auto"/>
        </w:rPr>
      </w:pPr>
      <w:r>
        <w:rPr>
          <w:rFonts w:ascii="Times New Roman" w:cs="Times New Roman" w:eastAsia="Times New Roman" w:hAnsi="Times New Roman"/>
          <w:sz w:val="18"/>
          <w:szCs w:val="18"/>
          <w:color w:val="auto"/>
        </w:rPr>
        <w:t xml:space="preserve">Quoted prices for these investments were available in active markets, and therefore were classified as Level 1 measurements in the fair value hierarchy. </w:t>
      </w:r>
      <w:r>
        <w:rPr>
          <w:rFonts w:ascii="Times New Roman" w:cs="Times New Roman" w:eastAsia="Times New Roman" w:hAnsi="Times New Roman"/>
          <w:sz w:val="18"/>
          <w:szCs w:val="18"/>
          <w:b w:val="1"/>
          <w:bCs w:val="1"/>
          <w:color w:val="auto"/>
        </w:rPr>
        <w:t>Note 15. Share-Based Compensation</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share-based compensation plans which allow grants of stock options, restricted stock, stock appreciation rights, and restricted stock units to its employees and non-employee directors. The Company’s employee stock option plans are shareholder approved and administered by the Human Resources and Compensation Committee of the Board of Directors. Stock options provide grantees the option to purchase shares of the Parent’s common stock at a specified exercise price and, generally, expire 10 years from the date of grant. Stock option grants include incentive and non-qualified stock options whose vesting may be subject to one or more criteria, including employment or achievement of Company performance measures. Stock option exercise prices were equal to the quoted market price of the Parent’s common stock on the date of grant. Restricted stock provides grantees with rights to shares of common stock upon completion of one or more criteria, including service period, performance or other conditions as established by the Compensation Committee, such as vesting tied to the Company’s financial performance relative to the peer group or achievement of an absolute financial performance target. During the restriction period, all shares are considered outstanding and dividends are paid on the restricted stock. Generally, restricted stock vests over periods ranging from one year to four years from the date of grant. Restricted stock and dividends may be forfeited if an employee terminates prior to vesting.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total shares authorized under the plans were 2.1 million shares, of which 1.6 million shares were available for future grants.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expense, measured as the fair value of the share-based award on the date of grant, on a straight-line basis over the requisite service period. Share-based compensation is recorded in the statements of income as a component of salaries and benefits for employees and as a component of other noninterest expense for non-employee directors, with a corresponding increase to capital surplus in shareholders’ equity. For the years ended December 31, 2020, December 31, 2019, and December 31, 2018, compensation expense and the related income tax benefit recognized for stock options and restricted stock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306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7,578</w:t>
            </w:r>
          </w:p>
        </w:tc>
        <w:tc>
          <w:tcPr>
            <w:tcW w:w="6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8,338</w:t>
            </w:r>
          </w:p>
        </w:tc>
        <w:tc>
          <w:tcPr>
            <w:tcW w:w="64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8,146</w:t>
            </w: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30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2,009</w:t>
            </w:r>
          </w:p>
        </w:tc>
        <w:tc>
          <w:tcPr>
            <w:tcW w:w="64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2,210</w:t>
            </w:r>
          </w:p>
        </w:tc>
        <w:tc>
          <w:tcPr>
            <w:tcW w:w="6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2,160</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2020, unrecognized compensation expense related to unvested restricted stock was $12.9 million. The unrecognized compensation expense is expected to be recognized over a weighted average period of 2.05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for restricted stock:</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03"/>
        </w:trPr>
        <w:tc>
          <w:tcPr>
            <w:tcW w:w="43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Value of</w:t>
            </w:r>
          </w:p>
        </w:tc>
      </w:tr>
      <w:tr>
        <w:trPr>
          <w:trHeight w:val="202"/>
        </w:trPr>
        <w:tc>
          <w:tcPr>
            <w:tcW w:w="43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Restricted Stock</w:t>
            </w:r>
          </w:p>
        </w:tc>
      </w:tr>
      <w:tr>
        <w:trPr>
          <w:trHeight w:val="203"/>
        </w:trPr>
        <w:tc>
          <w:tcPr>
            <w:tcW w:w="43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38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that Vested</w:t>
            </w:r>
          </w:p>
        </w:tc>
      </w:tr>
      <w:tr>
        <w:trPr>
          <w:trHeight w:val="203"/>
        </w:trPr>
        <w:tc>
          <w:tcPr>
            <w:tcW w:w="43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38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During the Year</w:t>
            </w:r>
          </w:p>
        </w:tc>
      </w:tr>
      <w:tr>
        <w:trPr>
          <w:trHeight w:val="215"/>
        </w:trPr>
        <w:tc>
          <w:tcPr>
            <w:tcW w:w="4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as of December 31, 2017</w:t>
            </w:r>
          </w:p>
        </w:tc>
        <w:tc>
          <w:tcPr>
            <w:tcW w:w="3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320,103</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69.36</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3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120,173</w:t>
            </w:r>
          </w:p>
        </w:tc>
        <w:tc>
          <w:tcPr>
            <w:tcW w:w="3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83.87</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3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(110,231)</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59.41</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9,081</w:t>
            </w:r>
          </w:p>
        </w:tc>
      </w:tr>
      <w:tr>
        <w:trPr>
          <w:trHeight w:val="21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3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(15,558)</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73.82</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0"/>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as of December 31, 2018</w:t>
            </w:r>
          </w:p>
        </w:tc>
        <w:tc>
          <w:tcPr>
            <w:tcW w:w="3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314,487</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78.17</w:t>
            </w:r>
          </w:p>
        </w:tc>
        <w:tc>
          <w:tcPr>
            <w:tcW w:w="3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r>
      <w:tr>
        <w:trPr>
          <w:trHeight w:val="209"/>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3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130,093</w:t>
            </w:r>
          </w:p>
        </w:tc>
        <w:tc>
          <w:tcPr>
            <w:tcW w:w="3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82.82</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3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(107,759)</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66.46</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8,910</w:t>
            </w:r>
          </w:p>
        </w:tc>
      </w:tr>
      <w:tr>
        <w:trPr>
          <w:trHeight w:val="21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3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(26,872)</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83.34</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1"/>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Unvested as of December 31, 2019</w:t>
            </w:r>
          </w:p>
        </w:tc>
        <w:tc>
          <w:tcPr>
            <w:tcW w:w="3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309,949</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83.75</w:t>
            </w:r>
          </w:p>
        </w:tc>
        <w:tc>
          <w:tcPr>
            <w:tcW w:w="3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3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161,168</w:t>
            </w:r>
          </w:p>
        </w:tc>
        <w:tc>
          <w:tcPr>
            <w:tcW w:w="3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80.97</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3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(99,894)</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84.69</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8,544</w:t>
            </w:r>
          </w:p>
        </w:tc>
      </w:tr>
      <w:tr>
        <w:trPr>
          <w:trHeight w:val="21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3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(42,454)</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84.36</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2"/>
        </w:trPr>
        <w:tc>
          <w:tcPr>
            <w:tcW w:w="4340" w:type="dxa"/>
            <w:vAlign w:val="bottom"/>
            <w:tcBorders>
              <w:bottom w:val="single" w:sz="8" w:color="auto"/>
            </w:tcBorders>
            <w:shd w:val="clear" w:color="auto" w:fill="CFF0FC"/>
          </w:tcPr>
          <w:p>
            <w:pPr>
              <w:spacing w:after="0" w:line="212" w:lineRule="exact"/>
              <w:rPr>
                <w:sz w:val="20"/>
                <w:szCs w:val="20"/>
                <w:color w:val="auto"/>
              </w:rPr>
            </w:pPr>
            <w:r>
              <w:rPr>
                <w:rFonts w:ascii="Times New Roman" w:cs="Times New Roman" w:eastAsia="Times New Roman" w:hAnsi="Times New Roman"/>
                <w:sz w:val="15"/>
                <w:szCs w:val="15"/>
                <w:b w:val="1"/>
                <w:bCs w:val="1"/>
                <w:color w:val="auto"/>
              </w:rPr>
              <w:t xml:space="preserve">Unvested as of December 31, 2020 </w:t>
            </w:r>
            <w:r>
              <w:rPr>
                <w:rFonts w:ascii="Times New Roman" w:cs="Times New Roman" w:eastAsia="Times New Roman" w:hAnsi="Times New Roman"/>
                <w:sz w:val="24"/>
                <w:szCs w:val="24"/>
                <w:b w:val="1"/>
                <w:bCs w:val="1"/>
                <w:color w:val="auto"/>
                <w:vertAlign w:val="superscript"/>
              </w:rPr>
              <w:t>1</w:t>
            </w:r>
          </w:p>
        </w:tc>
        <w:tc>
          <w:tcPr>
            <w:tcW w:w="3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328,769</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82.02</w:t>
            </w:r>
          </w:p>
        </w:tc>
        <w:tc>
          <w:tcPr>
            <w:tcW w:w="3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60" w:hanging="148"/>
        <w:spacing w:after="0"/>
        <w:tabs>
          <w:tab w:leader="none" w:pos="16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 of December 31, 2020, 56,362 shares were unvested from service-based grants.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87"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There were no RSUs granted during 2020, 2019, and 2018. All RSUs were fully vested as of December 31, 2019. The RSUs vest over periods ranging from three years to four years from the date of grant and are subject to forfeiture until performance and employment targets are achieved. Upon vesting, the RSUs are converted to cash based on the closing stock price on the vesting date. During December 31, 2020, there was no recognized compensation expense related to RSUs. Total recognized compensation expense related to the RSUs was $1.0 million for the years ended December 31, 2019, and $0.6 million for the years ended December 31, 2018,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for RSU:</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 of</w:t>
            </w:r>
          </w:p>
        </w:tc>
      </w:tr>
      <w:tr>
        <w:trPr>
          <w:trHeight w:val="203"/>
        </w:trPr>
        <w:tc>
          <w:tcPr>
            <w:tcW w:w="38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Restricted</w:t>
            </w:r>
          </w:p>
        </w:tc>
      </w:tr>
      <w:tr>
        <w:trPr>
          <w:trHeight w:val="203"/>
        </w:trPr>
        <w:tc>
          <w:tcPr>
            <w:tcW w:w="38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 Unit that Vested</w:t>
            </w:r>
          </w:p>
        </w:tc>
      </w:tr>
      <w:tr>
        <w:trPr>
          <w:trHeight w:val="203"/>
        </w:trPr>
        <w:tc>
          <w:tcPr>
            <w:tcW w:w="38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42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During the Year</w:t>
            </w:r>
          </w:p>
        </w:tc>
      </w:tr>
      <w:tr>
        <w:trPr>
          <w:trHeight w:val="215"/>
        </w:trPr>
        <w:tc>
          <w:tcPr>
            <w:tcW w:w="38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2017</w:t>
            </w:r>
          </w:p>
        </w:tc>
        <w:tc>
          <w:tcPr>
            <w:tcW w:w="37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6"/>
                <w:szCs w:val="16"/>
                <w:color w:val="auto"/>
              </w:rPr>
              <w:t>116,489</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60.22</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37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(62,252)</w:t>
            </w:r>
          </w:p>
        </w:tc>
        <w:tc>
          <w:tcPr>
            <w:tcW w:w="30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57.00</w:t>
            </w:r>
          </w:p>
        </w:tc>
        <w:tc>
          <w:tcPr>
            <w:tcW w:w="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5,127</w:t>
            </w:r>
          </w:p>
        </w:tc>
      </w:tr>
      <w:tr>
        <w:trPr>
          <w:trHeight w:val="216"/>
        </w:trPr>
        <w:tc>
          <w:tcPr>
            <w:tcW w:w="3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374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rPr>
              <w:t>(2,173)</w:t>
            </w: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63.92</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50"/>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2018</w:t>
            </w:r>
          </w:p>
        </w:tc>
        <w:tc>
          <w:tcPr>
            <w:tcW w:w="37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52,064</w:t>
            </w: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63.92</w:t>
            </w:r>
          </w:p>
        </w:tc>
        <w:tc>
          <w:tcPr>
            <w:tcW w:w="420" w:type="dxa"/>
            <w:vAlign w:val="bottom"/>
            <w:tcBorders>
              <w:bottom w:val="single" w:sz="8" w:color="CFF0FC"/>
            </w:tcBorders>
          </w:tcPr>
          <w:p>
            <w:pPr>
              <w:spacing w:after="0"/>
              <w:rPr>
                <w:sz w:val="21"/>
                <w:szCs w:val="21"/>
                <w:color w:val="auto"/>
              </w:rPr>
            </w:pPr>
          </w:p>
        </w:tc>
        <w:tc>
          <w:tcPr>
            <w:tcW w:w="1420" w:type="dxa"/>
            <w:vAlign w:val="bottom"/>
            <w:tcBorders>
              <w:bottom w:val="single" w:sz="8" w:color="CFF0FC"/>
            </w:tcBorders>
          </w:tcPr>
          <w:p>
            <w:pPr>
              <w:spacing w:after="0"/>
              <w:rPr>
                <w:sz w:val="21"/>
                <w:szCs w:val="21"/>
                <w:color w:val="auto"/>
              </w:rPr>
            </w:pPr>
          </w:p>
        </w:tc>
      </w:tr>
      <w:tr>
        <w:trPr>
          <w:trHeight w:val="196"/>
        </w:trPr>
        <w:tc>
          <w:tcPr>
            <w:tcW w:w="3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374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rPr>
              <w:t>(52,064)</w:t>
            </w:r>
          </w:p>
        </w:tc>
        <w:tc>
          <w:tcPr>
            <w:tcW w:w="3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82.23</w:t>
            </w:r>
          </w:p>
        </w:tc>
        <w:tc>
          <w:tcPr>
            <w:tcW w:w="4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4,311</w:t>
            </w:r>
          </w:p>
        </w:tc>
      </w:tr>
      <w:tr>
        <w:trPr>
          <w:trHeight w:val="210"/>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2019</w:t>
            </w:r>
          </w:p>
        </w:tc>
        <w:tc>
          <w:tcPr>
            <w:tcW w:w="37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4"/>
        </w:trPr>
        <w:tc>
          <w:tcPr>
            <w:tcW w:w="3880" w:type="dxa"/>
            <w:vAlign w:val="bottom"/>
          </w:tcPr>
          <w:p>
            <w:pPr>
              <w:spacing w:after="0"/>
              <w:rPr>
                <w:sz w:val="24"/>
                <w:szCs w:val="24"/>
                <w:color w:val="auto"/>
              </w:rPr>
            </w:pPr>
          </w:p>
        </w:tc>
        <w:tc>
          <w:tcPr>
            <w:tcW w:w="3740" w:type="dxa"/>
            <w:vAlign w:val="bottom"/>
          </w:tcPr>
          <w:p>
            <w:pPr>
              <w:jc w:val="right"/>
              <w:ind w:right="1778"/>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for the years ended December 31, 2020, December 31, 2019, and December 31, 2018. All previously issued stock options granted were fully vested prior to December 31, 2018. The Company reissues treasury stock to satisfy stock option exercises.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related to stock options under all plans for the year ended December 31,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0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Term (in years)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Stock Options Outstanding as of January 1, 2020</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237,058</w:t>
            </w: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45.44</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Exercised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(53,004)</w:t>
            </w:r>
          </w:p>
        </w:tc>
        <w:tc>
          <w:tcPr>
            <w:tcW w:w="40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jc w:val="right"/>
              <w:ind w:right="79"/>
              <w:spacing w:after="0"/>
              <w:rPr>
                <w:sz w:val="20"/>
                <w:szCs w:val="20"/>
                <w:color w:val="auto"/>
              </w:rPr>
            </w:pPr>
            <w:r>
              <w:rPr>
                <w:rFonts w:ascii="Times New Roman" w:cs="Times New Roman" w:eastAsia="Times New Roman" w:hAnsi="Times New Roman"/>
                <w:sz w:val="16"/>
                <w:szCs w:val="16"/>
                <w:color w:val="auto"/>
              </w:rPr>
              <w:t>45.99</w:t>
            </w:r>
          </w:p>
        </w:tc>
        <w:tc>
          <w:tcPr>
            <w:tcW w:w="13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Stock Options Outstanding as of December 31, 2020</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184,054</w:t>
            </w:r>
          </w:p>
        </w:tc>
        <w:tc>
          <w:tcPr>
            <w:tcW w:w="4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45.28</w:t>
            </w:r>
          </w:p>
        </w:tc>
        <w:tc>
          <w:tcPr>
            <w:tcW w:w="136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5,768</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Stock Options Vested and Exercisable as of December 31, 2020</w:t>
            </w: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45.28</w:t>
            </w:r>
          </w:p>
        </w:tc>
        <w:tc>
          <w:tcPr>
            <w:tcW w:w="13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line="20" w:lineRule="exact"/>
              <w:rPr>
                <w:sz w:val="1"/>
                <w:szCs w:val="1"/>
                <w:color w:val="auto"/>
              </w:rPr>
            </w:pPr>
          </w:p>
        </w:tc>
        <w:tc>
          <w:tcPr>
            <w:tcW w:w="11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5,768</w:t>
            </w: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184,054</w:t>
            </w:r>
          </w:p>
        </w:tc>
        <w:tc>
          <w:tcPr>
            <w:tcW w:w="4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summarizes certain stock option activity of the Company for the years ended December 31, 2020, December 31, 2019, and December 31,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7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7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2"/>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Intrinsic Value of Stock Options Exercised</w:t>
            </w:r>
          </w:p>
        </w:tc>
        <w:tc>
          <w:tcPr>
            <w:tcW w:w="18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2,261</w:t>
            </w:r>
          </w:p>
        </w:tc>
        <w:tc>
          <w:tcPr>
            <w:tcW w:w="7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1,106</w:t>
            </w:r>
          </w:p>
        </w:tc>
        <w:tc>
          <w:tcPr>
            <w:tcW w:w="7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1,634</w:t>
            </w:r>
          </w:p>
        </w:tc>
      </w:tr>
      <w:tr>
        <w:trPr>
          <w:trHeight w:val="21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Cash Received from Stock Options Exercised</w:t>
            </w:r>
          </w:p>
        </w:tc>
        <w:tc>
          <w:tcPr>
            <w:tcW w:w="18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2,438</w:t>
            </w:r>
          </w:p>
        </w:tc>
        <w:tc>
          <w:tcPr>
            <w:tcW w:w="7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1,473</w:t>
            </w:r>
          </w:p>
        </w:tc>
        <w:tc>
          <w:tcPr>
            <w:tcW w:w="7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1,791</w:t>
            </w:r>
          </w:p>
        </w:tc>
      </w:tr>
      <w:tr>
        <w:trPr>
          <w:trHeight w:val="21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Benefits Realized from Stock Options Exercised</w:t>
            </w:r>
          </w:p>
        </w:tc>
        <w:tc>
          <w:tcPr>
            <w:tcW w:w="1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485</w:t>
            </w:r>
          </w:p>
        </w:tc>
        <w:tc>
          <w:tcPr>
            <w:tcW w:w="7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727</w:t>
            </w:r>
          </w:p>
        </w:tc>
        <w:tc>
          <w:tcPr>
            <w:tcW w:w="7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components of the Company’s provision for income taxes for the years ended December 31, 2020, December 31, 2019, and December 31, 2018,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7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65,840</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60,902</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45,464</w:t>
            </w:r>
          </w:p>
        </w:tc>
      </w:tr>
      <w:tr>
        <w:trPr>
          <w:trHeight w:val="230"/>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27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12,066</w:t>
            </w: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14,426</w:t>
            </w: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11,434</w:t>
            </w:r>
          </w:p>
        </w:tc>
      </w:tr>
      <w:tr>
        <w:trPr>
          <w:trHeight w:val="22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77,906</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75,328</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56,898</w:t>
            </w: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7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7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(31,783)</w:t>
            </w:r>
          </w:p>
        </w:tc>
        <w:tc>
          <w:tcPr>
            <w:tcW w:w="5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(9,630)</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30"/>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27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(10,803)</w:t>
            </w: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(5,785)</w:t>
            </w: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(4,102)</w:t>
            </w:r>
          </w:p>
        </w:tc>
      </w:tr>
      <w:tr>
        <w:trPr>
          <w:trHeight w:val="22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(42,586)</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(15,415)</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w:t>
            </w:r>
          </w:p>
        </w:tc>
      </w:tr>
      <w:tr>
        <w:trPr>
          <w:trHeight w:val="223"/>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35,320</w:t>
            </w:r>
          </w:p>
        </w:tc>
        <w:tc>
          <w:tcPr>
            <w:tcW w:w="52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59,913</w:t>
            </w:r>
          </w:p>
        </w:tc>
        <w:tc>
          <w:tcPr>
            <w:tcW w:w="54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50,624</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tax effects of fair value adjustments on AFS investment securities, the amortization of unrealized gains and losses related to investment securities transferred to HTM, and the minimum pension liability adjustment are recorded directly to consolidated shareholders’ equity. The Company elected to adopt ASU No. 2016-09 “Compensation-Stock Compensation (Topic 718): Improvements to Employee Share-Based Payment Accounting” in the first quarter of 2017, which requires the Company to record excess tax benefits related to stock options as a reduction of the provision for income taxes, whereas they were previously recognized in equity. The net tax charge recorded directly to consolidated shareholders’ equity was $16.2 million and $7.1 million for the year ended December 31, 2020, and December 31, 2019, respectively. The net tax benefit recorded directly to consolidated shareholders’ equity was $3.2 million for the year ended December 31,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Liabilities and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and December 31, 2019, significant components of the Company’s deferred tax liabilities and assets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auto"/>
            </w:tcBorders>
            <w:vMerge w:val="continue"/>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Accelerated Depreciation</w:t>
            </w:r>
          </w:p>
        </w:tc>
        <w:tc>
          <w:tcPr>
            <w:tcW w:w="2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(8,042)</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Pension Cost</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(11,270)</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(3,416)</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Transactions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(41,726)</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(48,487)</w:t>
            </w: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(26,387)</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Energy Tax Credits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(674)</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on Investments Securities</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(18,407)</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Variable Interest Entities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(2,725)</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Deferred Loan Fees</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(4,736)</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Originated Mortgage Servicing Rights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(5,579)</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(124,086)</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(117,807)</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57,840</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30,951</w:t>
            </w: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Minimum Pension Liability</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13,430</w:t>
            </w:r>
          </w:p>
        </w:tc>
        <w:tc>
          <w:tcPr>
            <w:tcW w:w="70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13,980</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17,629</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18,159</w:t>
            </w: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7,980</w:t>
            </w:r>
          </w:p>
        </w:tc>
        <w:tc>
          <w:tcPr>
            <w:tcW w:w="70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8,130</w:t>
            </w: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Expenses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2,168</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28,473</w:t>
            </w:r>
          </w:p>
        </w:tc>
        <w:tc>
          <w:tcPr>
            <w:tcW w:w="70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28,685</w:t>
            </w: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3,669</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4,369</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Deductible State and Local Taxes</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3,366</w:t>
            </w:r>
          </w:p>
        </w:tc>
        <w:tc>
          <w:tcPr>
            <w:tcW w:w="70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Low Income Housing Investments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3,648</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6,204</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6,236</w:t>
            </w: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 Before Valuation Allowance</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144,407</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118,396</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(3,597)</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 After Valuation Allowance</w:t>
            </w:r>
          </w:p>
        </w:tc>
        <w:tc>
          <w:tcPr>
            <w:tcW w:w="1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140,810</w:t>
            </w:r>
          </w:p>
        </w:tc>
        <w:tc>
          <w:tcPr>
            <w:tcW w:w="7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115,936</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3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16,724</w:t>
            </w:r>
          </w:p>
        </w:tc>
        <w:tc>
          <w:tcPr>
            <w:tcW w:w="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Both positive and negative evidence were considered by management in determining the need for a valuation allowance. Negative evidence included the uncertainty regarding the generation of capital gains in future years and restrictions on the ability to sell low-income housing investments during periods when carrybacks/ carryforwards of capital losses are allowed. Positive evidence included capital gains in the carryback years. After considering all available evidence, management determined that a valuation allowance to offset deferred tax assets related to low-income housing investments that can only be used to offset capital gains was appropriate. Management determined that a valuation allowance was not required for the remaining deferred tax assets because it is more likely than not these assets will be realized through future reversals of existing taxable temporary difference and future taxable income exclusive of reversing temporary differences. As of December 31, 2020, and December 31, 2019, we carried a valuation allowance of $3.6 million and $2.5 million, respectively, related to our deferred tax assets established in connection with our low-income housing investments.</w:t>
      </w:r>
    </w:p>
    <w:p>
      <w:pPr>
        <w:spacing w:after="0" w:line="1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events covered by Internal Revenue Code Section 593(e) will trigger a recapture of base year reserves of acquired thrift institutions. The base year reserves of acquired thrift institutions would be recaptured if an entity ceases to qualify as a bank for federal income tax purposes. The base year reserves of thrift institutions also remain subject to income tax penalty provisions that, in general, require recapture upon certain stock redemptions of, and excess distributions to, shareholders. As of December 31, 2020, retained earnings included $18.2 million of base year reserves for which the deferred federal income tax liability of $4.8 million has not been recognized.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Tax 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the Company’s effective tax rate for the years ended December 31,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and December 31, 2018:</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740" w:type="dxa"/>
            <w:vAlign w:val="bottom"/>
            <w:shd w:val="clear" w:color="auto" w:fill="CFF0FC"/>
          </w:tcPr>
          <w:p>
            <w:pPr>
              <w:jc w:val="right"/>
              <w:ind w:right="451"/>
              <w:spacing w:after="0"/>
              <w:rPr>
                <w:sz w:val="20"/>
                <w:szCs w:val="20"/>
                <w:color w:val="auto"/>
              </w:rPr>
            </w:pPr>
            <w:r>
              <w:rPr>
                <w:rFonts w:ascii="Times New Roman" w:cs="Times New Roman" w:eastAsia="Times New Roman" w:hAnsi="Times New Roman"/>
                <w:sz w:val="18"/>
                <w:szCs w:val="18"/>
                <w:color w:val="auto"/>
              </w:rPr>
              <w:t>21.00%</w:t>
            </w:r>
          </w:p>
        </w:tc>
        <w:tc>
          <w:tcPr>
            <w:tcW w:w="1640" w:type="dxa"/>
            <w:vAlign w:val="bottom"/>
            <w:shd w:val="clear" w:color="auto" w:fill="CFF0FC"/>
          </w:tcPr>
          <w:p>
            <w:pPr>
              <w:jc w:val="right"/>
              <w:ind w:right="451"/>
              <w:spacing w:after="0"/>
              <w:rPr>
                <w:sz w:val="20"/>
                <w:szCs w:val="20"/>
                <w:color w:val="auto"/>
              </w:rPr>
            </w:pPr>
            <w:r>
              <w:rPr>
                <w:rFonts w:ascii="Times New Roman" w:cs="Times New Roman" w:eastAsia="Times New Roman" w:hAnsi="Times New Roman"/>
                <w:sz w:val="18"/>
                <w:szCs w:val="18"/>
                <w:color w:val="auto"/>
              </w:rPr>
              <w:t>21.00%</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 Rate Resulting From:</w:t>
            </w:r>
          </w:p>
        </w:tc>
        <w:tc>
          <w:tcPr>
            <w:tcW w:w="27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 Net of Federal Income Tax</w:t>
            </w:r>
          </w:p>
        </w:tc>
        <w:tc>
          <w:tcPr>
            <w:tcW w:w="2740" w:type="dxa"/>
            <w:vAlign w:val="bottom"/>
            <w:shd w:val="clear" w:color="auto" w:fill="CFF0FC"/>
          </w:tcPr>
          <w:p>
            <w:pPr>
              <w:jc w:val="right"/>
              <w:ind w:right="611"/>
              <w:spacing w:after="0"/>
              <w:rPr>
                <w:sz w:val="20"/>
                <w:szCs w:val="20"/>
                <w:color w:val="auto"/>
              </w:rPr>
            </w:pPr>
            <w:r>
              <w:rPr>
                <w:rFonts w:ascii="Times New Roman" w:cs="Times New Roman" w:eastAsia="Times New Roman" w:hAnsi="Times New Roman"/>
                <w:sz w:val="18"/>
                <w:szCs w:val="18"/>
                <w:color w:val="auto"/>
              </w:rPr>
              <w:t>0.81</w:t>
            </w:r>
          </w:p>
        </w:tc>
        <w:tc>
          <w:tcPr>
            <w:tcW w:w="1640" w:type="dxa"/>
            <w:vAlign w:val="bottom"/>
            <w:shd w:val="clear" w:color="auto" w:fill="CFF0FC"/>
          </w:tcPr>
          <w:p>
            <w:pPr>
              <w:jc w:val="right"/>
              <w:ind w:right="611"/>
              <w:spacing w:after="0"/>
              <w:rPr>
                <w:sz w:val="20"/>
                <w:szCs w:val="20"/>
                <w:color w:val="auto"/>
              </w:rPr>
            </w:pPr>
            <w:r>
              <w:rPr>
                <w:rFonts w:ascii="Times New Roman" w:cs="Times New Roman" w:eastAsia="Times New Roman" w:hAnsi="Times New Roman"/>
                <w:sz w:val="18"/>
                <w:szCs w:val="18"/>
                <w:color w:val="auto"/>
              </w:rPr>
              <w:t>2.53</w:t>
            </w: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Tax Reserve Adjustments</w:t>
            </w:r>
          </w:p>
        </w:tc>
        <w:tc>
          <w:tcPr>
            <w:tcW w:w="274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0.07</w:t>
            </w:r>
          </w:p>
        </w:tc>
        <w:tc>
          <w:tcPr>
            <w:tcW w:w="16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(0.03)</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Low-Income Housing Investments- Federal</w:t>
            </w:r>
          </w:p>
        </w:tc>
        <w:tc>
          <w:tcPr>
            <w:tcW w:w="2740" w:type="dxa"/>
            <w:vAlign w:val="bottom"/>
            <w:shd w:val="clear" w:color="auto" w:fill="CFF0FC"/>
          </w:tcPr>
          <w:p>
            <w:pPr>
              <w:jc w:val="right"/>
              <w:ind w:right="611"/>
              <w:spacing w:after="0"/>
              <w:rPr>
                <w:sz w:val="20"/>
                <w:szCs w:val="20"/>
                <w:color w:val="auto"/>
              </w:rPr>
            </w:pPr>
            <w:r>
              <w:rPr>
                <w:rFonts w:ascii="Times New Roman" w:cs="Times New Roman" w:eastAsia="Times New Roman" w:hAnsi="Times New Roman"/>
                <w:sz w:val="18"/>
                <w:szCs w:val="18"/>
                <w:color w:val="auto"/>
              </w:rPr>
              <w:t>0.82</w:t>
            </w:r>
          </w:p>
        </w:tc>
        <w:tc>
          <w:tcPr>
            <w:tcW w:w="1640" w:type="dxa"/>
            <w:vAlign w:val="bottom"/>
            <w:shd w:val="clear" w:color="auto" w:fill="CFF0FC"/>
          </w:tcPr>
          <w:p>
            <w:pPr>
              <w:jc w:val="right"/>
              <w:ind w:right="611"/>
              <w:spacing w:after="0"/>
              <w:rPr>
                <w:sz w:val="20"/>
                <w:szCs w:val="20"/>
                <w:color w:val="auto"/>
              </w:rPr>
            </w:pPr>
            <w:r>
              <w:rPr>
                <w:rFonts w:ascii="Times New Roman" w:cs="Times New Roman" w:eastAsia="Times New Roman" w:hAnsi="Times New Roman"/>
                <w:sz w:val="18"/>
                <w:szCs w:val="18"/>
                <w:color w:val="auto"/>
              </w:rPr>
              <w:t>0.60</w:t>
            </w: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0.22</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Investment Tax Credits- Federal</w:t>
            </w:r>
          </w:p>
        </w:tc>
        <w:tc>
          <w:tcPr>
            <w:tcW w:w="27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(1.24)</w:t>
            </w:r>
          </w:p>
        </w:tc>
        <w:tc>
          <w:tcPr>
            <w:tcW w:w="16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(0.84)</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2740" w:type="dxa"/>
            <w:vAlign w:val="bottom"/>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rPr>
              <w:t>(0.82)</w:t>
            </w:r>
          </w:p>
        </w:tc>
        <w:tc>
          <w:tcPr>
            <w:tcW w:w="1640" w:type="dxa"/>
            <w:vAlign w:val="bottom"/>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rPr>
              <w:t>(0.51)</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(0.55)</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Tax-Exempt Income</w:t>
            </w:r>
          </w:p>
        </w:tc>
        <w:tc>
          <w:tcPr>
            <w:tcW w:w="27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(0.50)</w:t>
            </w:r>
          </w:p>
        </w:tc>
        <w:tc>
          <w:tcPr>
            <w:tcW w:w="16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(0.53)</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Excess Tax Benefits - Stock Compensation</w:t>
            </w:r>
          </w:p>
        </w:tc>
        <w:tc>
          <w:tcPr>
            <w:tcW w:w="2740" w:type="dxa"/>
            <w:vAlign w:val="bottom"/>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rPr>
              <w:t>(0.07)</w:t>
            </w:r>
          </w:p>
        </w:tc>
        <w:tc>
          <w:tcPr>
            <w:tcW w:w="1640" w:type="dxa"/>
            <w:vAlign w:val="bottom"/>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rPr>
              <w:t>(0.22)</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(0.34)</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Leveraged Lease</w:t>
            </w:r>
          </w:p>
        </w:tc>
        <w:tc>
          <w:tcPr>
            <w:tcW w:w="27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(0.56)</w:t>
            </w:r>
          </w:p>
        </w:tc>
        <w:tc>
          <w:tcPr>
            <w:tcW w:w="16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(1.54)</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(0.83)</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Reform Effects</w:t>
            </w:r>
          </w:p>
        </w:tc>
        <w:tc>
          <w:tcPr>
            <w:tcW w:w="2740" w:type="dxa"/>
            <w:vAlign w:val="bottom"/>
            <w:shd w:val="clear" w:color="auto" w:fill="CFF0FC"/>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(0.75)</w:t>
            </w:r>
          </w:p>
        </w:tc>
      </w:tr>
      <w:tr>
        <w:trPr>
          <w:trHeight w:val="229"/>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7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(0.83)</w:t>
            </w:r>
          </w:p>
        </w:tc>
        <w:tc>
          <w:tcPr>
            <w:tcW w:w="16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0.50</w:t>
            </w: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5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740" w:type="dxa"/>
            <w:vAlign w:val="bottom"/>
            <w:tcBorders>
              <w:bottom w:val="single" w:sz="8" w:color="auto"/>
            </w:tcBorders>
            <w:shd w:val="clear" w:color="auto" w:fill="CFF0FC"/>
          </w:tcPr>
          <w:p>
            <w:pPr>
              <w:jc w:val="right"/>
              <w:ind w:right="451"/>
              <w:spacing w:after="0"/>
              <w:rPr>
                <w:sz w:val="20"/>
                <w:szCs w:val="20"/>
                <w:color w:val="auto"/>
              </w:rPr>
            </w:pPr>
            <w:r>
              <w:rPr>
                <w:rFonts w:ascii="Times New Roman" w:cs="Times New Roman" w:eastAsia="Times New Roman" w:hAnsi="Times New Roman"/>
                <w:sz w:val="18"/>
                <w:szCs w:val="18"/>
                <w:color w:val="auto"/>
              </w:rPr>
              <w:t>18.68%</w:t>
            </w:r>
          </w:p>
        </w:tc>
        <w:tc>
          <w:tcPr>
            <w:tcW w:w="1640" w:type="dxa"/>
            <w:vAlign w:val="bottom"/>
            <w:tcBorders>
              <w:bottom w:val="single" w:sz="8" w:color="auto"/>
            </w:tcBorders>
            <w:shd w:val="clear" w:color="auto" w:fill="CFF0FC"/>
          </w:tcPr>
          <w:p>
            <w:pPr>
              <w:jc w:val="right"/>
              <w:ind w:right="451"/>
              <w:spacing w:after="0"/>
              <w:rPr>
                <w:sz w:val="20"/>
                <w:szCs w:val="20"/>
                <w:color w:val="auto"/>
              </w:rPr>
            </w:pPr>
            <w:r>
              <w:rPr>
                <w:rFonts w:ascii="Times New Roman" w:cs="Times New Roman" w:eastAsia="Times New Roman" w:hAnsi="Times New Roman"/>
                <w:sz w:val="18"/>
                <w:szCs w:val="18"/>
                <w:color w:val="auto"/>
              </w:rPr>
              <w:t>20.96%</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required to record a liability, referred to as an unrecognized tax benefit (“UTB”), for the entire amount of benefit taken in a prior or future income tax return when the Company determines that a tax position has a less than 50% likelihood of being accepted by the taxing authority. The following presents a reconciliation of the Company’s liability for UTBs for the years ended December 31, 2020, December 31, 2019, and December 31,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at Beginning of Year</w:t>
            </w:r>
          </w:p>
        </w:tc>
        <w:tc>
          <w:tcPr>
            <w:tcW w:w="144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6,120</w:t>
            </w:r>
          </w:p>
        </w:tc>
        <w:tc>
          <w:tcPr>
            <w:tcW w:w="5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5,541</w:t>
            </w:r>
          </w:p>
        </w:tc>
        <w:tc>
          <w:tcPr>
            <w:tcW w:w="5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5,292</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Related to Tax Positions Taken in a Prior Period</w:t>
            </w:r>
          </w:p>
        </w:tc>
        <w:tc>
          <w:tcPr>
            <w:tcW w:w="144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374</w:t>
            </w:r>
          </w:p>
        </w:tc>
        <w:tc>
          <w:tcPr>
            <w:tcW w:w="58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673</w:t>
            </w:r>
          </w:p>
        </w:tc>
        <w:tc>
          <w:tcPr>
            <w:tcW w:w="5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Increases, Related to Current Period Tax Positions</w:t>
            </w:r>
          </w:p>
        </w:tc>
        <w:tc>
          <w:tcPr>
            <w:tcW w:w="1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222</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715</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885</w:t>
            </w:r>
          </w:p>
        </w:tc>
      </w:tr>
      <w:tr>
        <w:trPr>
          <w:trHeight w:val="229"/>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(1,313)</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(809)</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3"/>
        </w:trPr>
        <w:tc>
          <w:tcPr>
            <w:tcW w:w="5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144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5,403</w:t>
            </w:r>
          </w:p>
        </w:tc>
        <w:tc>
          <w:tcPr>
            <w:tcW w:w="58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6,120</w:t>
            </w:r>
          </w:p>
        </w:tc>
        <w:tc>
          <w:tcPr>
            <w:tcW w:w="58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5,541</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$5.4 million and $6.1 million, respectively, in liabilities for UTBs were related to UTBs that if reversed would have an impact on the Company’s effective tax rate.</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Management believes that it is reasonably possible that the Company’s liability for UTBs could further decrease as a result of the expiration of statutes of limitations within the next 12 months. However, management is currently not able to estimate a range of possible change in the amount of the liability for UTBs recorded as of December 31, 2020.</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classifies interest and penalties, if any, related to the liability for UTBs as a component of the provision for income taxes. For the year ended December 31, 2020, the Company recorded a net tax provision of less than $0.1 million for interest and penalties. For the years ended December 31, 2019, and December 31, 2018, the Company recorded a net tax benefit of less than $0.5 million and a net tax benefit of less than $0.1 million, respectively, for interest and penalties. As of December 31, 2020, and December 31, 2019, the Company had accrued $1.5 million and $1.4 million, respectively, for the payment of possible interest and penalties.</w:t>
      </w:r>
    </w:p>
    <w:p>
      <w:pPr>
        <w:spacing w:after="0" w:line="14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federal tax returns for 2017 through 2019 remain subject to examination. The Company's State of Hawaii income tax returns for 2017 through 2019 remain subject to examination by the taxing authorities.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Derivative Financial Instruments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 and fair value of the Company’s derivative financial instruments as of December 31, 2020, and December 31, 2019,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300" w:type="dxa"/>
            <w:vAlign w:val="bottom"/>
          </w:tcPr>
          <w:p>
            <w:pPr>
              <w:spacing w:after="0"/>
              <w:rPr>
                <w:sz w:val="18"/>
                <w:szCs w:val="18"/>
                <w:color w:val="auto"/>
              </w:rPr>
            </w:pPr>
          </w:p>
        </w:tc>
        <w:tc>
          <w:tcPr>
            <w:tcW w:w="234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197"/>
        </w:trPr>
        <w:tc>
          <w:tcPr>
            <w:tcW w:w="58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102,881</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4,947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48,677</w:t>
            </w:r>
          </w:p>
        </w:tc>
        <w:tc>
          <w:tcPr>
            <w:tcW w:w="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1,280</w:t>
            </w: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Forward Commitments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158,759</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82,735</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Receive Fixed/Pay Variable Swaps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1,362,778</w:t>
            </w: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90,130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802,389</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26,070</w:t>
            </w: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 Fixed/Receive Variable Swaps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1,362,778</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802,389</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(4,777)</w:t>
            </w: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90,587</w:t>
            </w: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85,499</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Rate Swap Agreement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133,286</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114,499</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their fair values, and their location in the consolidated statements of condition as of December 31, 2020, and December 31,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20" w:type="dxa"/>
            <w:vAlign w:val="bottom"/>
          </w:tcPr>
          <w:p>
            <w:pPr>
              <w:spacing w:after="0"/>
              <w:rPr>
                <w:sz w:val="18"/>
                <w:szCs w:val="18"/>
                <w:color w:val="auto"/>
              </w:rPr>
            </w:pPr>
          </w:p>
        </w:tc>
        <w:tc>
          <w:tcPr>
            <w:tcW w:w="242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194"/>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 Financial Instruments Not Designated</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221"/>
        </w:trPr>
        <w:tc>
          <w:tcPr>
            <w:tcW w:w="5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as Hedging Instruments </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4"/>
                <w:szCs w:val="14"/>
                <w:color w:val="auto"/>
              </w:rPr>
              <w:t>(dollars in thousands)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12"/>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4,947</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1,280</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Forward Commitments</w:t>
            </w: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90,342</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17,409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27,344</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6,051</w:t>
            </w:r>
          </w:p>
        </w:tc>
      </w:tr>
      <w:tr>
        <w:trPr>
          <w:trHeight w:val="213"/>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r>
      <w:tr>
        <w:trPr>
          <w:trHeight w:val="211"/>
        </w:trPr>
        <w:tc>
          <w:tcPr>
            <w:tcW w:w="5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96,167</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18,161</w:t>
            </w: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28,931</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6,377</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Asset derivatives are included in other assets and liability derivatives are included in other liabilities in the consolidated statements of condition.</w:t>
      </w:r>
    </w:p>
    <w:p>
      <w:pPr>
        <w:spacing w:after="0" w:line="16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and the amount and location of the net gains or losses recognized in the consolidated statements of income for the years ended December 31, 2020, December 31, 2019, and December 31,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2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Location of Net Gains</w:t>
            </w:r>
          </w:p>
        </w:tc>
        <w:tc>
          <w:tcPr>
            <w:tcW w:w="4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13"/>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 Financial Instruments Not Designated</w:t>
            </w:r>
          </w:p>
        </w:tc>
        <w:tc>
          <w:tcPr>
            <w:tcW w:w="3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(Losses)Recognized in the</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4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as Hedging Instruments </w:t>
            </w:r>
            <w:r>
              <w:rPr>
                <w:rFonts w:ascii="Times New Roman" w:cs="Times New Roman" w:eastAsia="Times New Roman" w:hAnsi="Times New Roman"/>
                <w:sz w:val="14"/>
                <w:szCs w:val="14"/>
                <w:color w:val="auto"/>
              </w:rPr>
              <w:t>(dollars in thousands)</w:t>
            </w:r>
          </w:p>
        </w:tc>
        <w:tc>
          <w:tcPr>
            <w:tcW w:w="32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2"/>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3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Mortgage Banking  $</w:t>
            </w: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22,348</w:t>
            </w:r>
          </w:p>
        </w:tc>
        <w:tc>
          <w:tcPr>
            <w:tcW w:w="4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12,185</w:t>
            </w:r>
          </w:p>
        </w:tc>
        <w:tc>
          <w:tcPr>
            <w:tcW w:w="5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3,534</w:t>
            </w:r>
          </w:p>
        </w:tc>
      </w:tr>
      <w:tr>
        <w:trPr>
          <w:trHeight w:val="21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Forward Commitments</w:t>
            </w:r>
          </w:p>
        </w:tc>
        <w:tc>
          <w:tcPr>
            <w:tcW w:w="3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Mortgage Banking</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(4,274)</w:t>
            </w:r>
          </w:p>
        </w:tc>
        <w:tc>
          <w:tcPr>
            <w:tcW w:w="48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(2,340)</w:t>
            </w:r>
          </w:p>
        </w:tc>
        <w:tc>
          <w:tcPr>
            <w:tcW w:w="5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821</w:t>
            </w:r>
          </w:p>
        </w:tc>
      </w:tr>
      <w:tr>
        <w:trPr>
          <w:trHeight w:val="21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32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15,468</w:t>
            </w: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7,172</w:t>
            </w:r>
          </w:p>
        </w:tc>
        <w:tc>
          <w:tcPr>
            <w:tcW w:w="5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1,835</w:t>
            </w:r>
          </w:p>
        </w:tc>
      </w:tr>
      <w:tr>
        <w:trPr>
          <w:trHeight w:val="21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3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1,940</w:t>
            </w:r>
          </w:p>
        </w:tc>
        <w:tc>
          <w:tcPr>
            <w:tcW w:w="4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2,891</w:t>
            </w:r>
          </w:p>
        </w:tc>
        <w:tc>
          <w:tcPr>
            <w:tcW w:w="5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3,163</w:t>
            </w:r>
          </w:p>
        </w:tc>
      </w:tr>
      <w:tr>
        <w:trPr>
          <w:trHeight w:val="205"/>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Rate Swap Agreement</w:t>
            </w:r>
          </w:p>
        </w:tc>
        <w:tc>
          <w:tcPr>
            <w:tcW w:w="32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Investment Securities Gains</w:t>
            </w:r>
          </w:p>
        </w:tc>
        <w:tc>
          <w:tcPr>
            <w:tcW w:w="9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13"/>
        </w:trPr>
        <w:tc>
          <w:tcPr>
            <w:tcW w:w="4300" w:type="dxa"/>
            <w:vAlign w:val="bottom"/>
            <w:tcBorders>
              <w:bottom w:val="single" w:sz="8" w:color="auto"/>
            </w:tcBorders>
            <w:shd w:val="clear" w:color="auto" w:fill="CFF0FC"/>
          </w:tcPr>
          <w:p>
            <w:pPr>
              <w:spacing w:after="0"/>
              <w:rPr>
                <w:sz w:val="18"/>
                <w:szCs w:val="18"/>
                <w:color w:val="auto"/>
              </w:rPr>
            </w:pPr>
          </w:p>
        </w:tc>
        <w:tc>
          <w:tcPr>
            <w:tcW w:w="3240" w:type="dxa"/>
            <w:vAlign w:val="bottom"/>
            <w:tcBorders>
              <w:bottom w:val="single" w:sz="8" w:color="auto"/>
            </w:tcBorders>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(Losses), Net</w:t>
            </w: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(453)</w:t>
            </w:r>
          </w:p>
        </w:tc>
        <w:tc>
          <w:tcPr>
            <w:tcW w:w="5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1"/>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35,482</w:t>
            </w:r>
          </w:p>
        </w:tc>
        <w:tc>
          <w:tcPr>
            <w:tcW w:w="4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19,455</w:t>
            </w:r>
          </w:p>
        </w:tc>
        <w:tc>
          <w:tcPr>
            <w:tcW w:w="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8,353</w:t>
            </w: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December 31, 2020, and December 31, 2019,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swap agreements, foreign exchange contracts, and conversion rate swap agreements.</w:t>
      </w:r>
    </w:p>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19 </w:t>
      </w:r>
      <w:r>
        <w:rPr>
          <w:rFonts w:ascii="Times New Roman" w:cs="Times New Roman" w:eastAsia="Times New Roman" w:hAnsi="Times New Roman"/>
          <w:sz w:val="18"/>
          <w:szCs w:val="18"/>
          <w:i w:val="1"/>
          <w:iCs w:val="1"/>
          <w:color w:val="auto"/>
        </w:rPr>
        <w:t>Balance Sheet Offsetting</w:t>
      </w:r>
      <w:r>
        <w:rPr>
          <w:rFonts w:ascii="Times New Roman" w:cs="Times New Roman" w:eastAsia="Times New Roman" w:hAnsi="Times New Roman"/>
          <w:sz w:val="18"/>
          <w:szCs w:val="18"/>
          <w:color w:val="auto"/>
        </w:rPr>
        <w:t xml:space="preserve"> for more information.</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3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The majority of the Company’s swap agreements executed with third party financial institutions are now required to be cleared through one of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As certain sales of Visa Class B restricted shares were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In September 2019, Visa announced a reduction of the conversion ratio from 1.6298 to 1.6228 effective September 27, 2019. As a result, the Company recorded a $0.5 million liability in September 2019 which represented the amount paid to the buyers of the Visa Class B shares in October 2019. In June 2018, Visa announced a reduction of the conversion ratio from 1.6483 to 1.6298 effective June 28, 2018. As a result, the Company recorded a $1.0 million liability in June 2018 which represented the amount paid to the buyers of the Visa Class B shares in July 2018. As of December 31, 2020, the conversion rate swap agreement was valued at zero (i.e., no contingent liability recorded) as further reductions to the conversion ratio were deemed neither probable nor reasonably estimable by management. See Note 3 </w:t>
      </w: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for more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Affordable Housing Projects Tax Credit Partnerships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makes equity investments in various limited partnerships or limited liability companies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6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and related unfunded commitments were $138.9 million and $76.3 million as of December 31, 2020, and December 31, 2019, respectively, and are included in other assets in the consolidated statements of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the expected payments for unfunded affordable housing commitments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4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426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21,698</w:t>
            </w:r>
          </w:p>
        </w:tc>
      </w:tr>
      <w:tr>
        <w:trPr>
          <w:trHeight w:val="21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42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6,571</w:t>
            </w:r>
          </w:p>
        </w:tc>
      </w:tr>
      <w:tr>
        <w:trPr>
          <w:trHeight w:val="21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4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15,588</w:t>
            </w:r>
          </w:p>
        </w:tc>
      </w:tr>
      <w:tr>
        <w:trPr>
          <w:trHeight w:val="21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42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w:t>
            </w:r>
          </w:p>
        </w:tc>
      </w:tr>
      <w:tr>
        <w:trPr>
          <w:trHeight w:val="21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4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4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8,877</w:t>
            </w:r>
          </w:p>
        </w:tc>
      </w:tr>
      <w:tr>
        <w:trPr>
          <w:trHeight w:val="211"/>
        </w:trPr>
        <w:tc>
          <w:tcPr>
            <w:tcW w:w="56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tc>
        <w:tc>
          <w:tcPr>
            <w:tcW w:w="426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52,959</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tax credits and other tax benefits recognized and amortization expense related to affordable housing for the years ended December 31, 2020, December 31, 2019, and December 31,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9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Yield Method</w:t>
            </w:r>
          </w:p>
        </w:tc>
        <w:tc>
          <w:tcPr>
            <w:tcW w:w="1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5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19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11,752</w:t>
            </w:r>
          </w:p>
        </w:tc>
        <w:tc>
          <w:tcPr>
            <w:tcW w:w="6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11,719</w:t>
            </w:r>
          </w:p>
        </w:tc>
        <w:tc>
          <w:tcPr>
            <w:tcW w:w="6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13,572</w:t>
            </w:r>
          </w:p>
        </w:tc>
      </w:tr>
      <w:tr>
        <w:trPr>
          <w:trHeight w:val="21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19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8,586</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7,566</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8,311</w:t>
            </w:r>
          </w:p>
        </w:tc>
      </w:tr>
      <w:tr>
        <w:trPr>
          <w:trHeight w:val="216"/>
        </w:trPr>
        <w:tc>
          <w:tcPr>
            <w:tcW w:w="5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Proportional Amortization Method</w:t>
            </w:r>
          </w:p>
        </w:tc>
        <w:tc>
          <w:tcPr>
            <w:tcW w:w="1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5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19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6,633</w:t>
            </w:r>
          </w:p>
        </w:tc>
        <w:tc>
          <w:tcPr>
            <w:tcW w:w="6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3,014</w:t>
            </w:r>
          </w:p>
        </w:tc>
        <w:tc>
          <w:tcPr>
            <w:tcW w:w="6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1,641</w:t>
            </w:r>
          </w:p>
        </w:tc>
      </w:tr>
      <w:tr>
        <w:trPr>
          <w:trHeight w:val="219"/>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19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5,729</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2,578</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related to LIHTC investments for the years ended December 31, 2020, December 31, 2019, and December 31,</w:t>
      </w:r>
    </w:p>
    <w:p>
      <w:pPr>
        <w:spacing w:after="0" w:line="27"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2018. During the first quarter of 2018, the Company recorded a $2.0 million adjustment to increase its LIHTC investments. This adjustment resulted in a decrease to provision for income tax.</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Balance Sheet Offsetting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marketable securities, is posted by the party (i.e., the Company or the financial institution counterparty) with net liability positions in accordance with contract thresholds. The Company had a net liability positions with its financial institution counterparties totaling $17.2 million and $5.1 million as of December 31, 2020, and December 31, 2019, respectively. See Note 17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Parties to a centrally cleared over-the-counter derivative exchange daily payments that reflect the daily change in value of the derivative. Effective 2017, these payments, commonly referred to as variation margin, will be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17 </w:t>
      </w:r>
      <w:r>
        <w:rPr>
          <w:rFonts w:ascii="Times New Roman" w:cs="Times New Roman" w:eastAsia="Times New Roman" w:hAnsi="Times New Roman"/>
          <w:sz w:val="18"/>
          <w:szCs w:val="18"/>
          <w:i w:val="1"/>
          <w:iCs w:val="1"/>
          <w:color w:val="auto"/>
        </w:rPr>
        <w:t>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for more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w:t>
      </w:r>
    </w:p>
    <w:p>
      <w:pPr>
        <w:spacing w:after="0" w:line="2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contractual maturities of the Company’s repurchase agreements as of December 31, 2020, and December 31, 2019, disaggregated by the class of collateral pledged.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8"/>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Remaining Contractual Maturity of Repurchase Agreements</w:t>
            </w:r>
          </w:p>
        </w:tc>
        <w:tc>
          <w:tcPr>
            <w:tcW w:w="820" w:type="dxa"/>
            <w:vAlign w:val="bottom"/>
            <w:tcBorders>
              <w:bottom w:val="single" w:sz="8" w:color="auto"/>
            </w:tcBorders>
          </w:tcPr>
          <w:p>
            <w:pPr>
              <w:spacing w:after="0"/>
              <w:rPr>
                <w:sz w:val="18"/>
                <w:szCs w:val="18"/>
                <w:color w:val="auto"/>
              </w:rPr>
            </w:pPr>
          </w:p>
        </w:tc>
      </w:tr>
      <w:tr>
        <w:trPr>
          <w:trHeight w:val="197"/>
        </w:trPr>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Up to</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After</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5"/>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91-365 days</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Class of Collateral Pledged: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c>
          <w:tcPr>
            <w:tcW w:w="4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590</w:t>
            </w: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83,599</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20,210</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103,809</w:t>
            </w:r>
          </w:p>
        </w:tc>
      </w:tr>
      <w:tr>
        <w:trPr>
          <w:trHeight w:val="213"/>
        </w:trPr>
        <w:tc>
          <w:tcPr>
            <w:tcW w:w="4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491,401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4,790</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496,191</w:t>
            </w:r>
          </w:p>
        </w:tc>
      </w:tr>
      <w:tr>
        <w:trPr>
          <w:trHeight w:val="209"/>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575,000</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25,490</w:t>
            </w:r>
          </w:p>
        </w:tc>
        <w:tc>
          <w:tcPr>
            <w:tcW w:w="4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600,590</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9"/>
        </w:trPr>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Class of Collateral Pledged: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199,173</w:t>
            </w:r>
          </w:p>
        </w:tc>
        <w:tc>
          <w:tcPr>
            <w:tcW w:w="4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38,065</w:t>
            </w:r>
          </w:p>
        </w:tc>
        <w:tc>
          <w:tcPr>
            <w:tcW w:w="4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237,238</w:t>
            </w: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1,100</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c>
          <w:tcPr>
            <w:tcW w:w="4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2,790</w:t>
            </w:r>
          </w:p>
        </w:tc>
      </w:tr>
      <w:tr>
        <w:trPr>
          <w:trHeight w:val="21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13"/>
        </w:trPr>
        <w:tc>
          <w:tcPr>
            <w:tcW w:w="4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1,516</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25,827</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88,391</w:t>
            </w:r>
          </w:p>
        </w:tc>
        <w:tc>
          <w:tcPr>
            <w:tcW w:w="4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115,734</w:t>
            </w:r>
          </w:p>
        </w:tc>
      </w:tr>
      <w:tr>
        <w:trPr>
          <w:trHeight w:val="216"/>
        </w:trPr>
        <w:tc>
          <w:tcPr>
            <w:tcW w:w="49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3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248,544</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248,544</w:t>
            </w:r>
          </w:p>
        </w:tc>
      </w:tr>
      <w:tr>
        <w:trPr>
          <w:trHeight w:val="210"/>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2,616</w:t>
            </w: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c>
          <w:tcPr>
            <w:tcW w:w="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375,490</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604,306</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assets and liabilities subject to an enforceable master netting arrangement, or repurchase agreements, as of December 31, 2020, and December 31, 2019. The swap agreements we have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(v) = (iii)-</w:t>
            </w:r>
          </w:p>
        </w:tc>
      </w:tr>
      <w:tr>
        <w:trPr>
          <w:trHeight w:val="215"/>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(i)</w:t>
            </w:r>
          </w:p>
        </w:tc>
        <w:tc>
          <w:tcPr>
            <w:tcW w:w="20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(ii)</w:t>
            </w: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(iii) = (i)-(ii)</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(iv)</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(iv)</w:t>
            </w:r>
          </w:p>
        </w:tc>
      </w:tr>
      <w:tr>
        <w:trPr>
          <w:trHeight w:val="197"/>
        </w:trPr>
        <w:tc>
          <w:tcPr>
            <w:tcW w:w="3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Gross Amounts Not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Offset</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 the Statements of</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Condition</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0"/>
        </w:trPr>
        <w:tc>
          <w:tcPr>
            <w:tcW w:w="3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0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Presented in</w:t>
            </w:r>
          </w:p>
        </w:tc>
        <w:tc>
          <w:tcPr>
            <w:tcW w:w="10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 the</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Offset in the</w:t>
            </w:r>
          </w:p>
        </w:tc>
        <w:tc>
          <w:tcPr>
            <w:tcW w:w="20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the</w:t>
            </w:r>
          </w:p>
        </w:tc>
        <w:tc>
          <w:tcPr>
            <w:tcW w:w="10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 Master</w:t>
            </w:r>
          </w:p>
        </w:tc>
        <w:tc>
          <w:tcPr>
            <w:tcW w:w="2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9"/>
        </w:trPr>
        <w:tc>
          <w:tcPr>
            <w:tcW w:w="3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7"/>
              </w:rPr>
              <w:t>Statements</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20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10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6"/>
              </w:rPr>
              <w:t>Collateral</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22"/>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2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of Condition</w:t>
            </w:r>
          </w:p>
        </w:tc>
        <w:tc>
          <w:tcPr>
            <w:tcW w:w="11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of Condition</w:t>
            </w:r>
          </w:p>
        </w:tc>
        <w:tc>
          <w:tcPr>
            <w:tcW w:w="12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of Condition</w:t>
            </w: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Arrangements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Pledged </w:t>
            </w:r>
            <w:r>
              <w:rPr>
                <w:rFonts w:ascii="Times New Roman" w:cs="Times New Roman" w:eastAsia="Times New Roman" w:hAnsi="Times New Roman"/>
                <w:sz w:val="25"/>
                <w:szCs w:val="25"/>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3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3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3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17,202</w:t>
            </w: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17,202</w:t>
            </w:r>
          </w:p>
        </w:tc>
        <w:tc>
          <w:tcPr>
            <w:tcW w:w="1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7,911</w:t>
            </w: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9,286</w:t>
            </w:r>
          </w:p>
        </w:tc>
      </w:tr>
      <w:tr>
        <w:trPr>
          <w:trHeight w:val="219"/>
        </w:trPr>
        <w:tc>
          <w:tcPr>
            <w:tcW w:w="3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3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Private Institutions</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600,000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600,000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4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Government Entities</w:t>
            </w:r>
          </w:p>
        </w:tc>
        <w:tc>
          <w:tcPr>
            <w:tcW w:w="1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590</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590</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Repurchase Agreements</w:t>
            </w:r>
          </w:p>
        </w:tc>
        <w:tc>
          <w:tcPr>
            <w:tcW w:w="1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600,590</w:t>
            </w:r>
          </w:p>
        </w:tc>
        <w:tc>
          <w:tcPr>
            <w:tcW w:w="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600,590</w:t>
            </w: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600,590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3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3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584</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3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5,361</w:t>
            </w: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2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3,818</w:t>
            </w: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959</w:t>
            </w:r>
          </w:p>
        </w:tc>
      </w:tr>
      <w:tr>
        <w:trPr>
          <w:trHeight w:val="219"/>
        </w:trPr>
        <w:tc>
          <w:tcPr>
            <w:tcW w:w="3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3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Private Institutions</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600,000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600,000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4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Government Entities</w:t>
            </w:r>
          </w:p>
        </w:tc>
        <w:tc>
          <w:tcPr>
            <w:tcW w:w="1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4,306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4,306</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4,306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Repurchase Agreements</w:t>
            </w:r>
          </w:p>
        </w:tc>
        <w:tc>
          <w:tcPr>
            <w:tcW w:w="1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604,306</w:t>
            </w:r>
          </w:p>
        </w:tc>
        <w:tc>
          <w:tcPr>
            <w:tcW w:w="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604,306</w:t>
            </w: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604,306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pacing w:after="0" w:line="85" w:lineRule="exact"/>
        <w:rPr>
          <w:sz w:val="20"/>
          <w:szCs w:val="20"/>
          <w:color w:val="auto"/>
        </w:rPr>
      </w:pPr>
    </w:p>
    <w:p>
      <w:pPr>
        <w:jc w:val="both"/>
        <w:ind w:left="200" w:right="180" w:hanging="192"/>
        <w:spacing w:after="0" w:line="241" w:lineRule="auto"/>
        <w:tabs>
          <w:tab w:leader="none" w:pos="20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application of collateral cannot reduce the net amount below zero. Therefore, excess collateral is not reflected in this table. For repurchase agreements with private institutions, the fair value of investment securities pledged was $635.2 million and $645.3 million as of December 31, 2020, and December 31, 2019, respectively. For repurchase agreements with government entities, the fair value of investment securities pledged was $2.5 million and $5.5 million as of December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Commitments, Contingencies, and Guarantees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commitments as of December 31, 2020,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5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1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Unfunded Commitments to Extend Credit</w:t>
            </w:r>
          </w:p>
        </w:tc>
        <w:tc>
          <w:tcPr>
            <w:tcW w:w="35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2,787,123</w:t>
            </w:r>
          </w:p>
        </w:tc>
      </w:tr>
      <w:tr>
        <w:trPr>
          <w:trHeight w:val="213"/>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Standby Letters of Credit</w:t>
            </w:r>
          </w:p>
        </w:tc>
        <w:tc>
          <w:tcPr>
            <w:tcW w:w="358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100,186</w:t>
            </w:r>
          </w:p>
        </w:tc>
      </w:tr>
      <w:tr>
        <w:trPr>
          <w:trHeight w:val="216"/>
        </w:trPr>
        <w:tc>
          <w:tcPr>
            <w:tcW w:w="6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Letters of Credit</w:t>
            </w:r>
          </w:p>
        </w:tc>
        <w:tc>
          <w:tcPr>
            <w:tcW w:w="35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10,511</w:t>
            </w:r>
          </w:p>
        </w:tc>
      </w:tr>
      <w:tr>
        <w:trPr>
          <w:trHeight w:val="210"/>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2,897,820</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 to Extend Credit</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and Commercial Letters of Credit</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 Assets valued at $73.3 million secured certain specifically identified standby letters of credit as of December 31, 2020. As of December 31, 2020, the standby and commercial letters of credit had remaining terms ranging from 1 to 14 months.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Company, along with other members of Visa, are parties to Loss and Judgment Sharing Agreements (the “Agreements”), which provide that the Company along with other member banks of Visa, will share, based on their proportionate interests in Visa, in any losses from certain litigation specified in the Agreements. In March 2008, Visa funded an escrow account from its initial public offering to settle claims covered under the Agreements. In connection with the initial public offering, the Company received restricted Class B common stock in Visa. Should the escrow account established by Visa not be sufficient to cover litigation claims specified in the Agreements, Visa is entitled to fund additional amounts to the escrow account by reducing each member bank’s Class B conversion ratio to unrestricted Class A shares. As of December 31, 2020, management believes that the Company’s indemnification of Visa, related to the costs of these lawsuits, will be sufficiently funded from the escrow account or through future reductions in the conversion ratio. See Note 3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September 9, 2016, a purported class action lawsuit was filed by a Bank customer primarily alleging Bank of Hawaii’s practice of determining whether consumer deposit accounts were overdrawn based on “available balance” (which deducts debit card transactions that have taken place but which have not yet been posted) was not properly applied or disclosed to customers. On December 6, 2019, the parties executed a settlement agreement subject to court approval. The settlement provides for forgiveness of certain related and previously charged off overdraft fees, and a payment by the Company of $8.0 million into a class settlement fund the proceeds of which will be used to refund class members, and to pay attorneys’ fees, administrative and other costs, in exchange for a complete release of all claims asserted against the Company. Although the Company previously established a $2.0 million reserve relating to this claim, the reserve has been increased to a total of $8.0 million as of December 31, 2020. On December 22, 2020, the Court issued an Order Granting Final Approval of Class Action Settlement and the settlement became effective on January 21, 2021. Refunds to current customers were issued by the Bank on January 26, 2021, and the Claims Administrator is in the process of issuing refunds to class members with closed accounts.</w:t>
      </w:r>
    </w:p>
    <w:p>
      <w:pPr>
        <w:spacing w:after="0" w:line="16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utilizing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Representation and Warranty Provisions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sells residential mortgage loans in the secondary market primarily to the Fannie Mae. The Company also pools FHA insured and VA guaranteed residential mortgage loans for sale to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December 31, 2020, the unpaid principal balance of residential mortgage loans sold by the Company was $2.5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Repurchase demands are typically reviewed on an individual loan by loan basis to validate the claims made by the investor or insurer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if a contractually required repurchase event has occurred. The Company manages the risk associated with potential repurchases or other forms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settlement through its underwriting and quality assurance practices and by servicing mortgage loans to meet investor and secondary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For the year ended December 31, 2020, the Company repurchased forty residential mortgage loans with an aggregate unpaid principal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totaling $13.4 million as a result of the representation and warranty provisions contained in these contracts. The loans were delinquent as to principal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at the time of repurchase, however, no material losses were incurred related to these repurchases. As of December 31, 2020, there were no pending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requests related to representation and warranty provisions.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Residential Mortgage Loan Servicing Activities</w:t>
      </w:r>
    </w:p>
    <w:p>
      <w:pPr>
        <w:spacing w:after="0" w:line="20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year ended December 31, 2020, the Company had no repurchase requests related to loan servicing activities. As of December 31, 2020, there were no pending repurchase requests related to loan servicing activities.</w:t>
      </w:r>
    </w:p>
    <w:p>
      <w:pPr>
        <w:spacing w:after="0" w:line="1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December 31, 2020, management believes that this exposure is not material due to the historical level of repurchase requests and loss trends and thus has not established a liability for losses related to mortgage loan repurchases. As of December 31, 2020,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Fair Value of Assets and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and key inputs used to measure assets and liabilities recorded at fair value on a recurring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 quarterly basis, management reviews the pricing information received from the Company’s third-party pricing service. This review process includes a comparison to a second source. The Company’s third-party pricing service has also established processes for us to submit inquiries regarding quoted prices. Periodically, based on these reviews, the Company will challenge the quoted prices provided by the Company’s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 Generally, we do not adjust the price from the third-party service provider. On a quarterly basis, management also reviews a sample of securities priced by the Company’s third-party pricing service to review the significant assumptions and valuation methodologies used by the service. The information provided is comprised of market reference data, which may include reported trades; bids, offers, or broker/dealer quotes; benchmark yields and spreads; as well as other reference data as</w:t>
      </w:r>
    </w:p>
    <w:p>
      <w:pPr>
        <w:spacing w:after="0" w:line="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appropriate. Based on this review, management determines whether the current placement of the security in the fair value hierarchy is appropriate or whether transfers may be warranted.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Servicing Rights</w:t>
      </w:r>
    </w:p>
    <w:p>
      <w:pPr>
        <w:spacing w:after="0" w:line="20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we believe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Derivative financial instruments recorded at fair value on a recurring basis are comprised of interest rate lock commitments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October 2020, the Company revised its discounted cash flow valuation methodology for cleared interest rate swaps with financial institution counterparties (and the related customer interest rate swaps) to align with changes made by central clearinghouses when they migrated from the Effective Federal Funds Rate to the Secured Overnight Financing Rate for discounting, price alignment, and margining purposes. The changes in valuation methodology are applied prospectively as a change in accounting estimate and are immaterial to the Company’s financial statements. The valuation methodology for uncleared interest rate swaps remain based on the Effective Federal Funds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December 31, 2020, and December 31, 2019, the conversion rate swap agreements were valued at zero as reductions to the conversion ratio were neither probable nor reasonably estimable by management. See Note 17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of high credit quality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balances of assets and liabilities measured at fair value on a recurring basis as of December 31, 2020, and December 31,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5220" w:type="dxa"/>
            <w:vAlign w:val="bottom"/>
          </w:tcPr>
          <w:p>
            <w:pPr>
              <w:spacing w:after="0"/>
              <w:rPr>
                <w:sz w:val="17"/>
                <w:szCs w:val="17"/>
                <w:color w:val="auto"/>
              </w:rPr>
            </w:pPr>
          </w:p>
        </w:tc>
        <w:tc>
          <w:tcPr>
            <w:tcW w:w="1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or Liabilities</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5"/>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4"/>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8"/>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2"/>
        </w:trPr>
        <w:tc>
          <w:tcPr>
            <w:tcW w:w="5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Debt Securities Issued by the U.S. Treasury</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5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Government Agencies</w:t>
            </w:r>
          </w:p>
        </w:tc>
        <w:tc>
          <w:tcPr>
            <w:tcW w:w="7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921</w:t>
            </w:r>
          </w:p>
        </w:tc>
        <w:tc>
          <w:tcPr>
            <w:tcW w:w="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173,324</w:t>
            </w:r>
          </w:p>
        </w:tc>
        <w:tc>
          <w:tcPr>
            <w:tcW w:w="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174,245</w:t>
            </w: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24,840</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24,840</w:t>
            </w:r>
          </w:p>
        </w:tc>
      </w:tr>
      <w:tr>
        <w:trPr>
          <w:trHeight w:val="202"/>
        </w:trPr>
        <w:tc>
          <w:tcPr>
            <w:tcW w:w="5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Debt Securities Issued by</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5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U.S. Government-Sponsored Enterprises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1,062</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1,062</w:t>
            </w: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224,605</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224,605</w:t>
            </w:r>
          </w:p>
        </w:tc>
      </w:tr>
      <w:tr>
        <w:trPr>
          <w:trHeight w:val="213"/>
        </w:trPr>
        <w:tc>
          <w:tcPr>
            <w:tcW w:w="5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1,594,815</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1,594,815</w:t>
            </w:r>
          </w:p>
        </w:tc>
      </w:tr>
      <w:tr>
        <w:trPr>
          <w:trHeight w:val="213"/>
        </w:trPr>
        <w:tc>
          <w:tcPr>
            <w:tcW w:w="52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1,518,283</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1,518,283</w:t>
            </w:r>
          </w:p>
        </w:tc>
      </w:tr>
      <w:tr>
        <w:trPr>
          <w:trHeight w:val="216"/>
        </w:trPr>
        <w:tc>
          <w:tcPr>
            <w:tcW w:w="522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253,839</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253,839</w:t>
            </w:r>
          </w:p>
        </w:tc>
      </w:tr>
      <w:tr>
        <w:trPr>
          <w:trHeight w:val="210"/>
        </w:trPr>
        <w:tc>
          <w:tcPr>
            <w:tcW w:w="5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3,366,937</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3,366,937</w:t>
            </w:r>
          </w:p>
        </w:tc>
      </w:tr>
      <w:tr>
        <w:trPr>
          <w:trHeight w:val="209"/>
        </w:trPr>
        <w:tc>
          <w:tcPr>
            <w:tcW w:w="5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Investment Securities Available-for-Sale</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3,790,768</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3,791,689</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82,565</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82,565</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Servicing Rights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958</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958</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53,410</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53,410</w:t>
            </w:r>
          </w:p>
        </w:tc>
      </w:tr>
      <w:tr>
        <w:trPr>
          <w:trHeight w:val="219"/>
        </w:trPr>
        <w:tc>
          <w:tcPr>
            <w:tcW w:w="5220" w:type="dxa"/>
            <w:vAlign w:val="bottom"/>
            <w:tcBorders>
              <w:bottom w:val="single" w:sz="8" w:color="auto"/>
            </w:tcBorders>
            <w:shd w:val="clear" w:color="auto" w:fill="CFF0FC"/>
          </w:tcPr>
          <w:p>
            <w:pPr>
              <w:spacing w:after="0" w:line="219" w:lineRule="exact"/>
              <w:rPr>
                <w:sz w:val="20"/>
                <w:szCs w:val="20"/>
                <w:color w:val="auto"/>
              </w:rPr>
            </w:pPr>
            <w:r>
              <w:rPr>
                <w:rFonts w:ascii="Times New Roman" w:cs="Times New Roman" w:eastAsia="Times New Roman" w:hAnsi="Times New Roman"/>
                <w:sz w:val="15"/>
                <w:szCs w:val="15"/>
                <w:color w:val="auto"/>
              </w:rPr>
              <w:t xml:space="preserve">Derivatives </w:t>
            </w:r>
            <w:r>
              <w:rPr>
                <w:rFonts w:ascii="Times New Roman" w:cs="Times New Roman" w:eastAsia="Times New Roman" w:hAnsi="Times New Roman"/>
                <w:sz w:val="25"/>
                <w:szCs w:val="25"/>
                <w:color w:val="auto"/>
                <w:vertAlign w:val="superscript"/>
              </w:rPr>
              <w:t>1</w:t>
            </w: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878</w:t>
            </w: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95,289</w:t>
            </w: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96,167</w:t>
            </w:r>
          </w:p>
        </w:tc>
      </w:tr>
      <w:tr>
        <w:trPr>
          <w:trHeight w:val="194"/>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 Measured at Fair Value on a</w:t>
            </w: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Recurring Basis as of December 31, 2020</w:t>
            </w:r>
          </w:p>
        </w:tc>
        <w:tc>
          <w:tcPr>
            <w:tcW w:w="7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54,331</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3,874,211</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96,247</w:t>
            </w: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4,024,789</w:t>
            </w:r>
          </w:p>
        </w:tc>
      </w:tr>
      <w:tr>
        <w:trPr>
          <w:trHeight w:val="19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6"/>
        </w:trPr>
        <w:tc>
          <w:tcPr>
            <w:tcW w:w="522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5"/>
                <w:szCs w:val="15"/>
                <w:color w:val="auto"/>
              </w:rPr>
              <w:t xml:space="preserve">Derivatives </w:t>
            </w:r>
            <w:r>
              <w:rPr>
                <w:rFonts w:ascii="Times New Roman" w:cs="Times New Roman" w:eastAsia="Times New Roman" w:hAnsi="Times New Roman"/>
                <w:sz w:val="25"/>
                <w:szCs w:val="25"/>
                <w:color w:val="auto"/>
                <w:vertAlign w:val="superscript"/>
              </w:rPr>
              <w:t>1</w:t>
            </w:r>
          </w:p>
        </w:tc>
        <w:tc>
          <w:tcPr>
            <w:tcW w:w="7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752</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17,409</w:t>
            </w: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18,161</w:t>
            </w:r>
          </w:p>
        </w:tc>
      </w:tr>
      <w:tr>
        <w:trPr>
          <w:trHeight w:val="194"/>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Measured at Fair Value on a</w:t>
            </w:r>
          </w:p>
        </w:tc>
        <w:tc>
          <w:tcPr>
            <w:tcW w:w="7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215"/>
        </w:trPr>
        <w:tc>
          <w:tcPr>
            <w:tcW w:w="5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Recurring Basis as of December 31, 2020</w:t>
            </w:r>
          </w:p>
        </w:tc>
        <w:tc>
          <w:tcPr>
            <w:tcW w:w="74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752</w:t>
            </w:r>
          </w:p>
        </w:tc>
        <w:tc>
          <w:tcPr>
            <w:tcW w:w="2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17,409</w:t>
            </w: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18,161</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8"/>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8"/>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5"/>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Debt Securities Issued by the U.S. Treasury</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6"/>
        </w:trPr>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and Government Agencies</w:t>
            </w:r>
          </w:p>
        </w:tc>
        <w:tc>
          <w:tcPr>
            <w:tcW w:w="7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1,155</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219,976</w:t>
            </w:r>
          </w:p>
        </w:tc>
        <w:tc>
          <w:tcPr>
            <w:tcW w:w="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221,131</w:t>
            </w:r>
          </w:p>
        </w:tc>
      </w:tr>
      <w:tr>
        <w:trPr>
          <w:trHeight w:val="213"/>
        </w:trPr>
        <w:tc>
          <w:tcPr>
            <w:tcW w:w="5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55,097</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55,097</w:t>
            </w: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22,147</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22,147</w:t>
            </w:r>
          </w:p>
        </w:tc>
      </w:tr>
      <w:tr>
        <w:trPr>
          <w:trHeight w:val="213"/>
        </w:trPr>
        <w:tc>
          <w:tcPr>
            <w:tcW w:w="5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336,321</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336,321</w:t>
            </w: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3"/>
        </w:trPr>
        <w:tc>
          <w:tcPr>
            <w:tcW w:w="52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1,172,826</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1,172,826</w:t>
            </w:r>
          </w:p>
        </w:tc>
      </w:tr>
      <w:tr>
        <w:trPr>
          <w:trHeight w:val="219"/>
        </w:trPr>
        <w:tc>
          <w:tcPr>
            <w:tcW w:w="5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586,761</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586,761</w:t>
            </w:r>
          </w:p>
        </w:tc>
      </w:tr>
      <w:tr>
        <w:trPr>
          <w:trHeight w:val="213"/>
        </w:trPr>
        <w:tc>
          <w:tcPr>
            <w:tcW w:w="52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224,720</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224,720</w:t>
            </w:r>
          </w:p>
        </w:tc>
      </w:tr>
      <w:tr>
        <w:trPr>
          <w:trHeight w:val="209"/>
        </w:trPr>
        <w:tc>
          <w:tcPr>
            <w:tcW w:w="52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1,984,307</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1,984,307</w:t>
            </w:r>
          </w:p>
        </w:tc>
      </w:tr>
      <w:tr>
        <w:trPr>
          <w:trHeight w:val="209"/>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Investment Securities Available-for-Sale</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2,617,848</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2,619,003</w:t>
            </w:r>
          </w:p>
        </w:tc>
      </w:tr>
      <w:tr>
        <w:trPr>
          <w:trHeight w:val="212"/>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 Held for Sale</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39,062</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39,062</w:t>
            </w: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Mortgage Servicing Rights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1,126</w:t>
            </w:r>
          </w:p>
        </w:tc>
        <w:tc>
          <w:tcPr>
            <w:tcW w:w="42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1,126</w:t>
            </w:r>
          </w:p>
        </w:tc>
      </w:tr>
      <w:tr>
        <w:trPr>
          <w:trHeight w:val="21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41,464</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41,464</w:t>
            </w:r>
          </w:p>
        </w:tc>
      </w:tr>
      <w:tr>
        <w:trPr>
          <w:trHeight w:val="216"/>
        </w:trPr>
        <w:tc>
          <w:tcPr>
            <w:tcW w:w="522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5"/>
                <w:szCs w:val="15"/>
                <w:color w:val="auto"/>
              </w:rPr>
              <w:t xml:space="preserve">Derivatives </w:t>
            </w:r>
            <w:r>
              <w:rPr>
                <w:rFonts w:ascii="Times New Roman" w:cs="Times New Roman" w:eastAsia="Times New Roman" w:hAnsi="Times New Roman"/>
                <w:sz w:val="25"/>
                <w:szCs w:val="25"/>
                <w:color w:val="auto"/>
                <w:vertAlign w:val="superscript"/>
              </w:rPr>
              <w:t>1</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308</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28,623</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28,931</w:t>
            </w:r>
          </w:p>
        </w:tc>
      </w:tr>
      <w:tr>
        <w:trPr>
          <w:trHeight w:val="194"/>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 Measured at Fair Value on a</w:t>
            </w:r>
          </w:p>
        </w:tc>
        <w:tc>
          <w:tcPr>
            <w:tcW w:w="7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215"/>
        </w:trPr>
        <w:tc>
          <w:tcPr>
            <w:tcW w:w="5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Recurring Basis as of December 31, 2019</w:t>
            </w:r>
          </w:p>
        </w:tc>
        <w:tc>
          <w:tcPr>
            <w:tcW w:w="74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42,619</w:t>
            </w:r>
          </w:p>
        </w:tc>
        <w:tc>
          <w:tcPr>
            <w:tcW w:w="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2,657,218</w:t>
            </w:r>
          </w:p>
        </w:tc>
        <w:tc>
          <w:tcPr>
            <w:tcW w:w="2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29,749</w:t>
            </w: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2,729,586</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15"/>
                <w:szCs w:val="15"/>
                <w:color w:val="auto"/>
              </w:rPr>
              <w:t>1</w:t>
            </w:r>
          </w:p>
        </w:tc>
        <w:tc>
          <w:tcPr>
            <w:tcW w:w="74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6,050</w:t>
            </w: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6,377</w:t>
            </w:r>
          </w:p>
        </w:tc>
      </w:tr>
      <w:tr>
        <w:trPr>
          <w:trHeight w:val="201"/>
        </w:trPr>
        <w:tc>
          <w:tcPr>
            <w:tcW w:w="52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Liabilities Measured at Fair Value on a</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8"/>
        </w:trPr>
        <w:tc>
          <w:tcPr>
            <w:tcW w:w="5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Recurring Basis as of December 31, 2019</w:t>
            </w:r>
          </w:p>
        </w:tc>
        <w:tc>
          <w:tcPr>
            <w:tcW w:w="7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6,050</w:t>
            </w: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6,377</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200" w:hanging="192"/>
        <w:spacing w:after="0"/>
        <w:tabs>
          <w:tab w:leader="none" w:pos="20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fair value of each class of derivatives is shown in Note 17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21" w:right="3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2020, and December 31, 2019, the changes in Level 3 assets and liabilities measured at fair value on a recurring basis were as follows:</w:t>
      </w:r>
    </w:p>
    <w:tbl>
      <w:tblPr>
        <w:tblLayout w:type="fixed"/>
        <w:tblInd w:w="0" w:type="dxa"/>
        <w:tblCellMar>
          <w:top w:w="0" w:type="dxa"/>
          <w:left w:w="0" w:type="dxa"/>
          <w:bottom w:w="0" w:type="dxa"/>
          <w:right w:w="0" w:type="dxa"/>
        </w:tblCellMar>
      </w:tblPr>
      <w:tr>
        <w:trPr>
          <w:trHeight w:val="200"/>
        </w:trPr>
        <w:tc>
          <w:tcPr>
            <w:tcW w:w="59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42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Net Derivative</w:t>
            </w:r>
          </w:p>
        </w:tc>
      </w:tr>
      <w:tr>
        <w:trPr>
          <w:trHeight w:val="199"/>
        </w:trPr>
        <w:tc>
          <w:tcPr>
            <w:tcW w:w="59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Servicing</w:t>
            </w:r>
          </w:p>
        </w:tc>
        <w:tc>
          <w:tcPr>
            <w:tcW w:w="42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Assets and</w:t>
            </w:r>
          </w:p>
        </w:tc>
      </w:tr>
      <w:tr>
        <w:trPr>
          <w:trHeight w:val="222"/>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Rights </w:t>
            </w:r>
            <w:r>
              <w:rPr>
                <w:rFonts w:ascii="Times New Roman" w:cs="Times New Roman" w:eastAsia="Times New Roman" w:hAnsi="Times New Roman"/>
                <w:sz w:val="25"/>
                <w:szCs w:val="25"/>
                <w:b w:val="1"/>
                <w:b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
              <w:spacing w:after="0" w:line="222" w:lineRule="exact"/>
              <w:rPr>
                <w:sz w:val="20"/>
                <w:szCs w:val="20"/>
                <w:color w:val="auto"/>
              </w:rPr>
            </w:pPr>
            <w:r>
              <w:rPr>
                <w:rFonts w:ascii="Times New Roman" w:cs="Times New Roman" w:eastAsia="Times New Roman" w:hAnsi="Times New Roman"/>
                <w:sz w:val="15"/>
                <w:szCs w:val="15"/>
                <w:b w:val="1"/>
                <w:bCs w:val="1"/>
                <w:color w:val="auto"/>
              </w:rPr>
              <w:t xml:space="preserve">Liabilities </w:t>
            </w:r>
            <w:r>
              <w:rPr>
                <w:rFonts w:ascii="Times New Roman" w:cs="Times New Roman" w:eastAsia="Times New Roman" w:hAnsi="Times New Roman"/>
                <w:sz w:val="25"/>
                <w:szCs w:val="25"/>
                <w:b w:val="1"/>
                <w:bCs w:val="1"/>
                <w:color w:val="auto"/>
                <w:vertAlign w:val="superscript"/>
              </w:rPr>
              <w:t>2</w:t>
            </w: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2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4"/>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2020</w:t>
            </w:r>
          </w:p>
        </w:tc>
        <w:tc>
          <w:tcPr>
            <w:tcW w:w="2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1,126</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22,573</w:t>
            </w:r>
          </w:p>
        </w:tc>
      </w:tr>
      <w:tr>
        <w:trPr>
          <w:trHeight w:val="218"/>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Realized and Unrealized Net Gains (Losses):</w:t>
            </w:r>
          </w:p>
        </w:tc>
        <w:tc>
          <w:tcPr>
            <w:tcW w:w="2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3"/>
        </w:trPr>
        <w:tc>
          <w:tcPr>
            <w:tcW w:w="5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Included in Net Income</w:t>
            </w:r>
          </w:p>
        </w:tc>
        <w:tc>
          <w:tcPr>
            <w:tcW w:w="2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w:t>
            </w:r>
          </w:p>
        </w:tc>
        <w:tc>
          <w:tcPr>
            <w:tcW w:w="4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22,219</w:t>
            </w:r>
          </w:p>
        </w:tc>
      </w:tr>
      <w:tr>
        <w:trPr>
          <w:trHeight w:val="21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Transfers to Loans Held for Sale</w:t>
            </w:r>
          </w:p>
        </w:tc>
        <w:tc>
          <w:tcPr>
            <w:tcW w:w="2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(18,681)</w:t>
            </w:r>
          </w:p>
        </w:tc>
      </w:tr>
      <w:tr>
        <w:trPr>
          <w:trHeight w:val="213"/>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Variation Margin Payments</w:t>
            </w:r>
          </w:p>
        </w:tc>
        <w:tc>
          <w:tcPr>
            <w:tcW w:w="2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51,769</w:t>
            </w:r>
          </w:p>
        </w:tc>
      </w:tr>
      <w:tr>
        <w:trPr>
          <w:trHeight w:val="211"/>
        </w:trPr>
        <w:tc>
          <w:tcPr>
            <w:tcW w:w="5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224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958</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77,880</w:t>
            </w: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2"/>
        </w:trPr>
        <w:tc>
          <w:tcPr>
            <w:tcW w:w="594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Unrealized Net Gains (Losses) Included in Net Income</w:t>
            </w:r>
          </w:p>
        </w:tc>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55"/>
        </w:trPr>
        <w:tc>
          <w:tcPr>
            <w:tcW w:w="5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Related to Assets Still Held as of December 31, 2020</w:t>
            </w:r>
          </w:p>
        </w:tc>
        <w:tc>
          <w:tcPr>
            <w:tcW w:w="2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77,880</w:t>
            </w:r>
          </w:p>
        </w:tc>
      </w:tr>
      <w:tr>
        <w:trPr>
          <w:trHeight w:val="199"/>
        </w:trPr>
        <w:tc>
          <w:tcPr>
            <w:tcW w:w="5940" w:type="dxa"/>
            <w:vAlign w:val="bottom"/>
            <w:shd w:val="clear" w:color="auto" w:fill="CFF0FC"/>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14"/>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2019</w:t>
            </w: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8"/>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2019</w:t>
            </w:r>
          </w:p>
        </w:tc>
        <w:tc>
          <w:tcPr>
            <w:tcW w:w="224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1,290</w:t>
            </w:r>
          </w:p>
        </w:tc>
        <w:tc>
          <w:tcPr>
            <w:tcW w:w="4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4,416</w:t>
            </w: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Realized and Unrealized Net Gains (Losses):</w:t>
            </w: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5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Included in Net Income</w:t>
            </w:r>
          </w:p>
        </w:tc>
        <w:tc>
          <w:tcPr>
            <w:tcW w:w="2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12,138</w:t>
            </w: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Transfers to Loans Held for Sale</w:t>
            </w:r>
          </w:p>
        </w:tc>
        <w:tc>
          <w:tcPr>
            <w:tcW w:w="22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(11,776)</w:t>
            </w:r>
          </w:p>
        </w:tc>
      </w:tr>
      <w:tr>
        <w:trPr>
          <w:trHeight w:val="216"/>
        </w:trPr>
        <w:tc>
          <w:tcPr>
            <w:tcW w:w="5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Variation Margin Payments</w:t>
            </w:r>
          </w:p>
        </w:tc>
        <w:tc>
          <w:tcPr>
            <w:tcW w:w="2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17,795</w:t>
            </w:r>
          </w:p>
        </w:tc>
      </w:tr>
      <w:tr>
        <w:trPr>
          <w:trHeight w:val="250"/>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2019</w:t>
            </w:r>
          </w:p>
        </w:tc>
        <w:tc>
          <w:tcPr>
            <w:tcW w:w="2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1,126</w:t>
            </w:r>
          </w:p>
        </w:tc>
        <w:tc>
          <w:tcPr>
            <w:tcW w:w="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22,573</w:t>
            </w:r>
          </w:p>
        </w:tc>
      </w:tr>
      <w:tr>
        <w:trPr>
          <w:trHeight w:val="182"/>
        </w:trPr>
        <w:tc>
          <w:tcPr>
            <w:tcW w:w="594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Unrealized Net Gains (Losses) Included in Net Income</w:t>
            </w:r>
          </w:p>
        </w:tc>
        <w:tc>
          <w:tcPr>
            <w:tcW w:w="22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215"/>
        </w:trPr>
        <w:tc>
          <w:tcPr>
            <w:tcW w:w="59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Related to Assets Still Held as of December 31, 2019</w:t>
            </w:r>
          </w:p>
        </w:tc>
        <w:tc>
          <w:tcPr>
            <w:tcW w:w="224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22,573</w:t>
            </w: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0" w:hanging="192"/>
        <w:spacing w:after="0"/>
        <w:tabs>
          <w:tab w:leader="none" w:pos="20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Realized and unrealized gains and losses related to mortgage servicing rights are reported as a component of mortgage banking income in the Company’s consolidated statements of income.</w:t>
      </w:r>
    </w:p>
    <w:p>
      <w:pPr>
        <w:spacing w:after="0" w:line="3" w:lineRule="exact"/>
        <w:rPr>
          <w:rFonts w:ascii="Times New Roman" w:cs="Times New Roman" w:eastAsia="Times New Roman" w:hAnsi="Times New Roman"/>
          <w:sz w:val="12"/>
          <w:szCs w:val="12"/>
          <w:color w:val="auto"/>
        </w:rPr>
      </w:pPr>
    </w:p>
    <w:p>
      <w:pPr>
        <w:ind w:left="200" w:hanging="1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4"/>
          <w:szCs w:val="14"/>
          <w:color w:val="auto"/>
        </w:rPr>
        <w:t>Realized and unrealized gains and losses related to interest rate lock commitments are reported as a component of mortgage banking income in the Company’s consolidated statements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4"/>
          <w:szCs w:val="14"/>
          <w:color w:val="auto"/>
        </w:rPr>
        <w:t>income. Realized and unrealized gains and losses related to interest rate swap agreements are reported as a component of other noninterest income in the Company’s consolidated statements of income.</w:t>
      </w:r>
    </w:p>
    <w:p>
      <w:pPr>
        <w:spacing w:after="0" w:line="28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or nonrecurring basis as of December 31, 2020, and December 31, 2019, the significant unobservable inputs used in the fair value measurements were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00" w:type="dxa"/>
            <w:vAlign w:val="bottom"/>
          </w:tcPr>
          <w:p>
            <w:pPr>
              <w:spacing w:after="0"/>
              <w:rPr>
                <w:sz w:val="13"/>
                <w:szCs w:val="13"/>
                <w:color w:val="auto"/>
              </w:rPr>
            </w:pPr>
          </w:p>
        </w:tc>
        <w:tc>
          <w:tcPr>
            <w:tcW w:w="17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15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9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jc w:val="right"/>
              <w:ind w:right="137"/>
              <w:spacing w:after="0" w:line="122"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20" w:type="dxa"/>
            <w:vAlign w:val="bottom"/>
          </w:tcPr>
          <w:p>
            <w:pPr>
              <w:spacing w:after="0"/>
              <w:rPr>
                <w:sz w:val="10"/>
                <w:szCs w:val="10"/>
                <w:color w:val="auto"/>
              </w:rPr>
            </w:pPr>
          </w:p>
        </w:tc>
        <w:tc>
          <w:tcPr>
            <w:tcW w:w="68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840" w:type="dxa"/>
            <w:vAlign w:val="bottom"/>
          </w:tcPr>
          <w:p>
            <w:pPr>
              <w:jc w:val="right"/>
              <w:ind w:right="117"/>
              <w:spacing w:after="0" w:line="122"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540" w:type="dxa"/>
            <w:vAlign w:val="bottom"/>
          </w:tcPr>
          <w:p>
            <w:pPr>
              <w:jc w:val="right"/>
              <w:ind w:right="57"/>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55"/>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7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15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140" w:type="dxa"/>
            <w:vAlign w:val="bottom"/>
            <w:tcBorders>
              <w:bottom w:val="single" w:sz="8" w:color="auto"/>
            </w:tcBorders>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Range</w:t>
            </w:r>
          </w:p>
        </w:tc>
        <w:tc>
          <w:tcPr>
            <w:tcW w:w="8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Average</w:t>
            </w:r>
            <w:r>
              <w:rPr>
                <w:rFonts w:ascii="Times New Roman" w:cs="Times New Roman" w:eastAsia="Times New Roman" w:hAnsi="Times New Roman"/>
                <w:sz w:val="10"/>
                <w:szCs w:val="10"/>
                <w:b w:val="1"/>
                <w:bCs w:val="1"/>
                <w:color w:val="auto"/>
              </w:rPr>
              <w:t>1</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Average</w:t>
            </w:r>
            <w:r>
              <w:rPr>
                <w:rFonts w:ascii="Times New Roman" w:cs="Times New Roman" w:eastAsia="Times New Roman" w:hAnsi="Times New Roman"/>
                <w:sz w:val="10"/>
                <w:szCs w:val="10"/>
                <w:b w:val="1"/>
                <w:bCs w:val="1"/>
                <w:color w:val="auto"/>
              </w:rPr>
              <w:t>1</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24"/>
        </w:trPr>
        <w:tc>
          <w:tcPr>
            <w:tcW w:w="240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Mortgage Servicing Rights</w:t>
            </w:r>
          </w:p>
        </w:tc>
        <w:tc>
          <w:tcPr>
            <w:tcW w:w="1740" w:type="dxa"/>
            <w:vAlign w:val="bottom"/>
            <w:shd w:val="clear" w:color="auto" w:fill="CFF0FC"/>
          </w:tcPr>
          <w:p>
            <w:pPr>
              <w:spacing w:after="0"/>
              <w:rPr>
                <w:sz w:val="10"/>
                <w:szCs w:val="10"/>
                <w:color w:val="auto"/>
              </w:rPr>
            </w:pPr>
          </w:p>
        </w:tc>
        <w:tc>
          <w:tcPr>
            <w:tcW w:w="1580" w:type="dxa"/>
            <w:vAlign w:val="bottom"/>
            <w:shd w:val="clear" w:color="auto" w:fill="CFF0FC"/>
          </w:tcPr>
          <w:p>
            <w:pPr>
              <w:jc w:val="right"/>
              <w:ind w:right="257"/>
              <w:spacing w:after="0" w:line="124" w:lineRule="exact"/>
              <w:rPr>
                <w:sz w:val="20"/>
                <w:szCs w:val="20"/>
                <w:color w:val="auto"/>
              </w:rPr>
            </w:pPr>
            <w:r>
              <w:rPr>
                <w:rFonts w:ascii="Times New Roman" w:cs="Times New Roman" w:eastAsia="Times New Roman" w:hAnsi="Times New Roman"/>
                <w:sz w:val="13"/>
                <w:szCs w:val="13"/>
                <w:color w:val="auto"/>
              </w:rPr>
              <w:t>Constant Prepayment</w:t>
            </w:r>
          </w:p>
        </w:tc>
        <w:tc>
          <w:tcPr>
            <w:tcW w:w="7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00" w:type="dxa"/>
            <w:vAlign w:val="bottom"/>
            <w:shd w:val="clear" w:color="auto" w:fill="CFF0FC"/>
          </w:tcPr>
          <w:p>
            <w:pPr>
              <w:spacing w:after="0"/>
              <w:rPr>
                <w:sz w:val="13"/>
                <w:szCs w:val="13"/>
                <w:color w:val="auto"/>
              </w:rPr>
            </w:pPr>
          </w:p>
        </w:tc>
        <w:tc>
          <w:tcPr>
            <w:tcW w:w="17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Discounted Cash Flow</w:t>
            </w:r>
          </w:p>
        </w:tc>
        <w:tc>
          <w:tcPr>
            <w:tcW w:w="158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Rate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40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15.89%</w:t>
            </w:r>
          </w:p>
        </w:tc>
        <w:tc>
          <w:tcPr>
            <w:tcW w:w="9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14.42%</w:t>
            </w:r>
          </w:p>
        </w:tc>
        <w:tc>
          <w:tcPr>
            <w:tcW w:w="3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19,652</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w:t>
            </w:r>
          </w:p>
        </w:tc>
        <w:tc>
          <w:tcPr>
            <w:tcW w:w="2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26,840</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Discount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6.28%</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5.81%</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Net Derivative Assets and Liabilities:</w:t>
            </w:r>
          </w:p>
        </w:tc>
        <w:tc>
          <w:tcPr>
            <w:tcW w:w="1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Interest Rate Lock Commitments</w:t>
            </w:r>
          </w:p>
        </w:tc>
        <w:tc>
          <w:tcPr>
            <w:tcW w:w="17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Pricing Model</w:t>
            </w:r>
          </w:p>
        </w:tc>
        <w:tc>
          <w:tcPr>
            <w:tcW w:w="158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Closing Ratio</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84.10%</w:t>
            </w:r>
          </w:p>
        </w:tc>
        <w:tc>
          <w:tcPr>
            <w:tcW w:w="400" w:type="dxa"/>
            <w:vAlign w:val="bottom"/>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99.00%</w:t>
            </w:r>
          </w:p>
        </w:tc>
        <w:tc>
          <w:tcPr>
            <w:tcW w:w="9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90.76%</w:t>
            </w:r>
          </w:p>
        </w:tc>
        <w:tc>
          <w:tcPr>
            <w:tcW w:w="3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4,947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92.24%</w:t>
            </w:r>
          </w:p>
        </w:tc>
        <w:tc>
          <w:tcPr>
            <w:tcW w:w="2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1,280</w:t>
            </w:r>
          </w:p>
        </w:tc>
        <w:tc>
          <w:tcPr>
            <w:tcW w:w="0" w:type="dxa"/>
            <w:vAlign w:val="bottom"/>
          </w:tcPr>
          <w:p>
            <w:pPr>
              <w:spacing w:after="0"/>
              <w:rPr>
                <w:sz w:val="1"/>
                <w:szCs w:val="1"/>
                <w:color w:val="auto"/>
              </w:rPr>
            </w:pPr>
          </w:p>
        </w:tc>
      </w:tr>
      <w:tr>
        <w:trPr>
          <w:trHeight w:val="164"/>
        </w:trPr>
        <w:tc>
          <w:tcPr>
            <w:tcW w:w="2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Rate Swap Agreements</w:t>
            </w:r>
          </w:p>
        </w:tc>
        <w:tc>
          <w:tcPr>
            <w:tcW w:w="1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Discounted Cash Flow</w:t>
            </w:r>
          </w:p>
        </w:tc>
        <w:tc>
          <w:tcPr>
            <w:tcW w:w="15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Credit Factor</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0.49%</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0.29%</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72,933</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21,293</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00" w:right="120" w:hanging="91"/>
        <w:spacing w:after="0" w:line="261" w:lineRule="auto"/>
        <w:tabs>
          <w:tab w:leader="none" w:pos="101"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Unobservable inputs for mortgage servicing rights and interest rate lock commitments were weighted by loan amount. Unobservable inputs for interest rate swap agreements were weighted by fair value.</w:t>
      </w:r>
    </w:p>
    <w:p>
      <w:pPr>
        <w:spacing w:after="0" w:line="1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 to historical prepayment data. The Treasury Division also compares the fair value of the Company’s mortgage servicing rights to a value calculated by an independent third party.</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Discussions are held with members from the Treasury, Mortgage Banking, and Controllers Divisions, along with the independent third 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our secondary marketing system using historical data and the ratio is periodically reviewed by the Company for reasonableness.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unobservable input used in the fair value measurement of the Company’s interest rate swap agreements is the credit spread. This factor represents the risk that a counterparty is either unable or unwilling to settle a transaction in accordance with the underlying contractual terms. A significant increase (decrease) in the credit spread could result in a significantly lower (higher) fair value measurement. The credit spread is based upon the creditworthiness of the borrower and is input into a proprietary model that calculates fair value using probability of default, loss given default, and exposure at default.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The following table represents the assets measured at fair value on a nonrecurring basis as of December 31, 2020.</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6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20" w:type="dxa"/>
            <w:vAlign w:val="bottom"/>
          </w:tcPr>
          <w:p>
            <w:pPr>
              <w:spacing w:after="0"/>
              <w:rPr>
                <w:sz w:val="17"/>
                <w:szCs w:val="17"/>
                <w:color w:val="auto"/>
              </w:rPr>
            </w:pPr>
          </w:p>
        </w:tc>
        <w:tc>
          <w:tcPr>
            <w:tcW w:w="13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56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Valuation</w:t>
            </w:r>
          </w:p>
        </w:tc>
      </w:tr>
      <w:tr>
        <w:trPr>
          <w:trHeight w:val="215"/>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Hierarchy</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21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0"/>
        </w:trPr>
        <w:tc>
          <w:tcPr>
            <w:tcW w:w="5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Mortgage Servicing Rights - amortization method</w:t>
            </w:r>
          </w:p>
        </w:tc>
        <w:tc>
          <w:tcPr>
            <w:tcW w:w="2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Level 3</w:t>
            </w: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18,694</w:t>
            </w:r>
          </w:p>
        </w:tc>
        <w:tc>
          <w:tcPr>
            <w:tcW w:w="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(3,892)</w:t>
            </w:r>
          </w:p>
        </w:tc>
      </w:tr>
    </w:tbl>
    <w:p>
      <w:pPr>
        <w:spacing w:after="0" w:line="1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2020, the Company recorded a total impairment charge of $7.0 million during the fourth quarter of 2020 to write-down the net book value of 12 branches, cash-only ATMs, and a residual value of a leveraged lease. The impairment charge (included in net occupancy expense $3.6 million, interest and fees on loans and leases $3.0 million, and net equipment expense $0.4 million in the Company's consolidated statements of income) was recorded in the fourth quarter of 2020. The Company fully wrote-down the net book value of right-of-use assets and lease hold improvements due to the planned branch closures. The carrying value of the ATMs and leveraged lease were reduced to estimated fair value less cost to sell based on recent appraisals, market conditions, and/or management judgment. Due to the use of significant unobservable inputs combined with significant management judgment regarding the fair value of the assets, the carrying value was deemed a Level 3 measurement. For the year ended December 31, 2019, the Company recorded a $0.2 million impairment charge to fully write-down the net book value of aircraft parts that were previously on lease agreements. An impairment charge (included in other noninterest expense in the Company's consolidated statements of income) was recorded in the third quarter of 2019 to reduce the carrying value to estimated fair value less cost to sell based on recent appraisals, market conditions, and management judgment. Due to the use of significant unobservable inputs combined with significant management judgment regarding the fair value of the equipment held for sale, the carrying value was deemed a Level 3 measurement.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3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unpaid principal balance of the Company’s residential mortgage loans held for sale as of December 31, 2020, and December 31, 2019.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Less</w:t>
            </w:r>
          </w:p>
        </w:tc>
      </w:t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46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4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Unpaid</w:t>
            </w:r>
          </w:p>
        </w:tc>
        <w:tc>
          <w:tcPr>
            <w:tcW w:w="46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Unpaid</w:t>
            </w:r>
          </w:p>
        </w:tc>
      </w:tr>
      <w:tr>
        <w:trPr>
          <w:trHeight w:val="21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2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1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8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3"/>
        </w:trPr>
        <w:tc>
          <w:tcPr>
            <w:tcW w:w="4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Loans Held for Sale</w:t>
            </w:r>
          </w:p>
        </w:tc>
        <w:tc>
          <w:tcPr>
            <w:tcW w:w="2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82,565</w:t>
            </w:r>
          </w:p>
        </w:tc>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78,577</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3,988</w:t>
            </w:r>
          </w:p>
        </w:tc>
      </w:tr>
      <w:tr>
        <w:trPr>
          <w:trHeight w:val="219"/>
        </w:trPr>
        <w:tc>
          <w:tcPr>
            <w:tcW w:w="410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4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Loans Held for Sale</w:t>
            </w:r>
          </w:p>
        </w:tc>
        <w:tc>
          <w:tcPr>
            <w:tcW w:w="28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39,062</w:t>
            </w:r>
          </w:p>
        </w:tc>
        <w:tc>
          <w:tcPr>
            <w:tcW w:w="4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38,293</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769</w:t>
            </w:r>
          </w:p>
        </w:tc>
      </w:tr>
    </w:tbl>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Changes in the estimated fair value of residential mortgage loans held for sale are reported as a component of mortgage banking income in the Company’s consolidated statements of income. For the years ended December 31, 2020, and December 31, 2019, the net gains or losses from the change in fair value of the Company’s residential mortgage loans held for sale were not 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presents the carrying amount, fair value, and placement in the fair value hierarchy of the Company’s financial instruments not recorded at fair value on a recurring basis as of December 31, 2020, and December 31, 2019.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300" w:type="dxa"/>
            <w:vAlign w:val="bottom"/>
          </w:tcPr>
          <w:p>
            <w:pPr>
              <w:spacing w:after="0"/>
              <w:rPr>
                <w:sz w:val="12"/>
                <w:szCs w:val="12"/>
                <w:color w:val="auto"/>
              </w:rPr>
            </w:pPr>
          </w:p>
        </w:tc>
        <w:tc>
          <w:tcPr>
            <w:tcW w:w="94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300" w:type="dxa"/>
            <w:vAlign w:val="bottom"/>
          </w:tcPr>
          <w:p>
            <w:pPr>
              <w:spacing w:after="0"/>
              <w:rPr>
                <w:sz w:val="12"/>
                <w:szCs w:val="12"/>
                <w:color w:val="auto"/>
              </w:rPr>
            </w:pPr>
          </w:p>
        </w:tc>
        <w:tc>
          <w:tcPr>
            <w:tcW w:w="940" w:type="dxa"/>
            <w:vAlign w:val="bottom"/>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Assets or</w:t>
            </w:r>
          </w:p>
        </w:tc>
        <w:tc>
          <w:tcPr>
            <w:tcW w:w="300" w:type="dxa"/>
            <w:vAlign w:val="bottom"/>
          </w:tcPr>
          <w:p>
            <w:pPr>
              <w:spacing w:after="0"/>
              <w:rPr>
                <w:sz w:val="12"/>
                <w:szCs w:val="12"/>
                <w:color w:val="auto"/>
              </w:rPr>
            </w:pPr>
          </w:p>
        </w:tc>
        <w:tc>
          <w:tcPr>
            <w:tcW w:w="940" w:type="dxa"/>
            <w:vAlign w:val="bottom"/>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20" w:type="dxa"/>
            <w:vAlign w:val="bottom"/>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88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2"/>
                <w:szCs w:val="12"/>
                <w:color w:val="auto"/>
              </w:rPr>
            </w:pPr>
          </w:p>
        </w:tc>
        <w:tc>
          <w:tcPr>
            <w:tcW w:w="940" w:type="dxa"/>
            <w:vAlign w:val="bottom"/>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20" w:type="dxa"/>
            <w:vAlign w:val="bottom"/>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0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3,262,727</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3,348,693</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7,500</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3,341,193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Loans</w:t>
            </w:r>
          </w:p>
        </w:tc>
        <w:tc>
          <w:tcPr>
            <w:tcW w:w="104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11,536,011</w:t>
            </w:r>
          </w:p>
        </w:tc>
        <w:tc>
          <w:tcPr>
            <w:tcW w:w="300" w:type="dxa"/>
            <w:vAlign w:val="bottom"/>
          </w:tcPr>
          <w:p>
            <w:pPr>
              <w:spacing w:after="0"/>
              <w:rPr>
                <w:sz w:val="18"/>
                <w:szCs w:val="18"/>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12,019,151</w:t>
            </w: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12,019,151</w:t>
            </w: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Deposits</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1,662,063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1,667,774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1,667,774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04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600,590</w:t>
            </w:r>
          </w:p>
        </w:tc>
        <w:tc>
          <w:tcPr>
            <w:tcW w:w="300" w:type="dxa"/>
            <w:vAlign w:val="bottom"/>
          </w:tcPr>
          <w:p>
            <w:pPr>
              <w:spacing w:after="0"/>
              <w:rPr>
                <w:sz w:val="18"/>
                <w:szCs w:val="18"/>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649,039</w:t>
            </w: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649,039</w:t>
            </w:r>
          </w:p>
        </w:tc>
        <w:tc>
          <w:tcPr>
            <w:tcW w:w="22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Other Debt </w:t>
            </w:r>
            <w:r>
              <w:rPr>
                <w:rFonts w:ascii="Times New Roman" w:cs="Times New Roman" w:eastAsia="Times New Roman" w:hAnsi="Times New Roman"/>
                <w:sz w:val="25"/>
                <w:szCs w:val="25"/>
                <w:color w:val="auto"/>
                <w:vertAlign w:val="superscript"/>
              </w:rPr>
              <w:t>1</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50,000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51,546</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51,546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0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3,042,294</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3,062,882</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275,663</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2,787,219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Loans</w:t>
            </w:r>
          </w:p>
        </w:tc>
        <w:tc>
          <w:tcPr>
            <w:tcW w:w="104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10,664,885</w:t>
            </w:r>
          </w:p>
        </w:tc>
        <w:tc>
          <w:tcPr>
            <w:tcW w:w="300" w:type="dxa"/>
            <w:vAlign w:val="bottom"/>
          </w:tcPr>
          <w:p>
            <w:pPr>
              <w:spacing w:after="0"/>
              <w:rPr>
                <w:sz w:val="18"/>
                <w:szCs w:val="18"/>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10,873,208</w:t>
            </w: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10,873,208</w:t>
            </w: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Deposits</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1,802,431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1,800,773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1,800,773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04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604,306</w:t>
            </w:r>
          </w:p>
        </w:tc>
        <w:tc>
          <w:tcPr>
            <w:tcW w:w="300" w:type="dxa"/>
            <w:vAlign w:val="bottom"/>
          </w:tcPr>
          <w:p>
            <w:pPr>
              <w:spacing w:after="0"/>
              <w:rPr>
                <w:sz w:val="18"/>
                <w:szCs w:val="18"/>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627,780</w:t>
            </w: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627,780</w:t>
            </w:r>
          </w:p>
        </w:tc>
        <w:tc>
          <w:tcPr>
            <w:tcW w:w="22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Other Debt </w:t>
            </w:r>
            <w:r>
              <w:rPr>
                <w:rFonts w:ascii="Times New Roman" w:cs="Times New Roman" w:eastAsia="Times New Roman" w:hAnsi="Times New Roman"/>
                <w:sz w:val="25"/>
                <w:szCs w:val="25"/>
                <w:color w:val="auto"/>
                <w:vertAlign w:val="superscript"/>
              </w:rPr>
              <w:t>1</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75,000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75,581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75,581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4"/>
          <w:szCs w:val="14"/>
          <w:color w:val="auto"/>
        </w:rPr>
        <w:t>Excludes finance lease obligations.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Revenue Recognition</w:t>
      </w:r>
    </w:p>
    <w:p>
      <w:pPr>
        <w:spacing w:after="0" w:line="18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 xml:space="preserve">On January 1, 2018, the Company adopted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and all subsequent ASUs that modified Topic 606. As stated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implementation of the new standard did not have a material impact on the measurement or recognition of revenue; as such, a cumulative effect adjustment to opening retained earnings was not deemed</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necessary. Results for reporting periods beginning after January 1, 2018, are presented under Topic 606, while prior period amounts were not adjusted and continue to be reported in accordance with the Company’s historic accounting under Topic 605.</w:t>
      </w:r>
    </w:p>
    <w:p>
      <w:pPr>
        <w:spacing w:after="0" w:line="1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Topic 606 does not apply to revenue associated with financial instruments, including revenue from loans and securities, which comprise the majority of the Company’s revenue. In addition, certain noninterest income streams such as fees associated with mortgage servicing rights, financial guarantees, and derivatives are also not in the scope of the new guidance. Topic 606 is applicable to noninterest revenue streams such as trust and asset management income, deposit related fees, interchange fees, merchant income, and annuity and insurance commissions. However, the recognition of these revenue streams did not change significantly upon adoption of Topic 606. Substantially all of the Company’s revenue is generated from contracts with customers. Noninterest revenue streams in-scope of Topic 606 are discussed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 and Asset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and asset management income is primarily comprised of fees earned from the management and administration of trusts and other customer</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Charges on Deposit Accounts</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Fees, Exchange, and Other Service Charges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Fees, exchange, and other service charges are primarily comprised of debit card income, ATM fees, merchant services income, credit card commissions and other service charges. Debit card income is primarily comprised of interchange fees earned whenever the Company’s debit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Credit card commissions related to the Company’s co-branded credit cards with Hawaiian Airlines are primarily earned through card customer spending and new card account openings.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Annuity and Insurance</w:t>
      </w:r>
    </w:p>
    <w:p>
      <w:pPr>
        <w:spacing w:after="0" w:line="20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presents noninterest income, segregated by revenue streams in-scope and out-of-scope of Topic 606, for the years ended December 31, 2020, December 31, 2019, and December 31,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4"/>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4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In-scope of Topic 606:</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Trust and Asset Management</w:t>
            </w:r>
          </w:p>
        </w:tc>
        <w:tc>
          <w:tcPr>
            <w:tcW w:w="1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43,456</w:t>
            </w:r>
          </w:p>
        </w:tc>
        <w:tc>
          <w:tcPr>
            <w:tcW w:w="66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44,233</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43,877</w:t>
            </w:r>
          </w:p>
        </w:tc>
      </w:tr>
      <w:tr>
        <w:trPr>
          <w:trHeight w:val="230"/>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66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13,042</w:t>
            </w:r>
          </w:p>
        </w:tc>
        <w:tc>
          <w:tcPr>
            <w:tcW w:w="4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13,165</w:t>
            </w:r>
          </w:p>
        </w:tc>
      </w:tr>
      <w:tr>
        <w:trPr>
          <w:trHeight w:val="229"/>
        </w:trPr>
        <w:tc>
          <w:tcPr>
            <w:tcW w:w="5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Fees, Exchange, and Other Service Charges</w:t>
            </w:r>
          </w:p>
        </w:tc>
        <w:tc>
          <w:tcPr>
            <w:tcW w:w="14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36,005</w:t>
            </w:r>
          </w:p>
        </w:tc>
        <w:tc>
          <w:tcPr>
            <w:tcW w:w="6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46,381</w:t>
            </w: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46,350</w:t>
            </w:r>
          </w:p>
        </w:tc>
      </w:tr>
      <w:tr>
        <w:trPr>
          <w:trHeight w:val="229"/>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Annuity and Insurance</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66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6,813</w:t>
            </w:r>
          </w:p>
        </w:tc>
        <w:tc>
          <w:tcPr>
            <w:tcW w:w="4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5,615</w:t>
            </w:r>
          </w:p>
        </w:tc>
      </w:tr>
      <w:tr>
        <w:trPr>
          <w:trHeight w:val="230"/>
        </w:trPr>
        <w:tc>
          <w:tcPr>
            <w:tcW w:w="518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6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9,633</w:t>
            </w:r>
          </w:p>
        </w:tc>
        <w:tc>
          <w:tcPr>
            <w:tcW w:w="4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9,652</w:t>
            </w:r>
          </w:p>
        </w:tc>
      </w:tr>
      <w:tr>
        <w:trPr>
          <w:trHeight w:val="223"/>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Noninterest Income (in-scope of Topic 606)</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103,051</w:t>
            </w:r>
          </w:p>
        </w:tc>
        <w:tc>
          <w:tcPr>
            <w:tcW w:w="66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120,102</w:t>
            </w:r>
          </w:p>
        </w:tc>
        <w:tc>
          <w:tcPr>
            <w:tcW w:w="4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118,659</w:t>
            </w:r>
          </w:p>
        </w:tc>
      </w:tr>
      <w:tr>
        <w:trPr>
          <w:trHeight w:val="230"/>
        </w:trPr>
        <w:tc>
          <w:tcPr>
            <w:tcW w:w="51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Noninterest Income (out-of-scope of Topic 606)</w:t>
            </w:r>
          </w:p>
        </w:tc>
        <w:tc>
          <w:tcPr>
            <w:tcW w:w="14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81,358</w:t>
            </w:r>
          </w:p>
        </w:tc>
        <w:tc>
          <w:tcPr>
            <w:tcW w:w="6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63,236</w:t>
            </w:r>
          </w:p>
        </w:tc>
        <w:tc>
          <w:tcPr>
            <w:tcW w:w="4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50,264</w:t>
            </w:r>
          </w:p>
        </w:tc>
      </w:tr>
      <w:tr>
        <w:trPr>
          <w:trHeight w:val="223"/>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18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184,409</w:t>
            </w:r>
          </w:p>
        </w:tc>
        <w:tc>
          <w:tcPr>
            <w:tcW w:w="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183,338</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168,923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December 31, 2020 and December 31, 2019, the Company did not have any significant contract balances.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Leases</w:t>
      </w:r>
    </w:p>
    <w:p>
      <w:pPr>
        <w:spacing w:after="0" w:line="20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A lease is defined as a contract, or part of a contract, that conveys the right to control the use of identified property, plant or equipment for a period of time in exchange for consideration. On January 1, 2019, the Company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and all subsequent ASUs that modified Topic 842. For the Company, Topic 842 primarily affected the accounting treatment for operating lease agreements in which the Company is the lessee.</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Substantially all of the leases in which the Company is the lessee are comprised of real estate property for branches, ATM locations, and office space with terms extending through 2052. Portions of certain properties are subleased for terms extending through 2033. Substantially all of the Company’s leases are classified as operating leases, and therefore, were previously not recognized on the Company’s consolidated statements of condition. With the adoption of Topic 842, operating lease agreements are required to be recognized on the consolidated statements of condition as right-of-use (“ROU”) assets and corresponding lease liabilities. The Company has one existing finance lease (previously referred to as a capital lease) for a portion of the Company’s principal offices with a lease term through 2052. As this lease was previously required to be recorded on the Company’s consolidated statements of condition, Topic 842 did not materially impact the accounting for this lease.</w:t>
      </w:r>
    </w:p>
    <w:p>
      <w:pPr>
        <w:spacing w:after="0" w:line="14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consolidated statements of condition classification of the Company’s ROU assets and lease liabilities. The Company elected not to include short-term leases (i.e., leases with initial terms of twelve months or less), or equipment leases (deemed immaterial) on the consolidated statements of condition.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6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Lease Right-of-Use Assets</w:t>
            </w:r>
          </w:p>
        </w:tc>
        <w:tc>
          <w:tcPr>
            <w:tcW w:w="412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8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99,542</w:t>
            </w:r>
          </w:p>
        </w:tc>
        <w:tc>
          <w:tcPr>
            <w:tcW w:w="6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100,838</w:t>
            </w:r>
          </w:p>
        </w:tc>
      </w:tr>
      <w:tr>
        <w:trPr>
          <w:trHeight w:val="216"/>
        </w:trPr>
        <w:tc>
          <w:tcPr>
            <w:tcW w:w="3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412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8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2,304</w:t>
            </w:r>
          </w:p>
        </w:tc>
        <w:tc>
          <w:tcPr>
            <w:tcW w:w="6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2,376</w:t>
            </w:r>
          </w:p>
        </w:tc>
      </w:tr>
      <w:tr>
        <w:trPr>
          <w:trHeight w:val="250"/>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Lease Right-of-Use Assets</w:t>
            </w:r>
          </w:p>
        </w:tc>
        <w:tc>
          <w:tcPr>
            <w:tcW w:w="4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101,846</w:t>
            </w:r>
          </w:p>
        </w:tc>
        <w:tc>
          <w:tcPr>
            <w:tcW w:w="6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103,214</w:t>
            </w:r>
          </w:p>
        </w:tc>
      </w:tr>
      <w:tr>
        <w:trPr>
          <w:trHeight w:val="198"/>
        </w:trPr>
        <w:tc>
          <w:tcPr>
            <w:tcW w:w="3640" w:type="dxa"/>
            <w:vAlign w:val="bottom"/>
            <w:shd w:val="clear" w:color="auto" w:fill="CFF0FC"/>
          </w:tcPr>
          <w:p>
            <w:pPr>
              <w:spacing w:after="0"/>
              <w:rPr>
                <w:sz w:val="17"/>
                <w:szCs w:val="17"/>
                <w:color w:val="auto"/>
              </w:rPr>
            </w:pPr>
          </w:p>
        </w:tc>
        <w:tc>
          <w:tcPr>
            <w:tcW w:w="4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14"/>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Lease Liabilities</w:t>
            </w:r>
          </w:p>
        </w:tc>
        <w:tc>
          <w:tcPr>
            <w:tcW w:w="4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2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107,412</w:t>
            </w:r>
          </w:p>
        </w:tc>
        <w:tc>
          <w:tcPr>
            <w:tcW w:w="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108,210</w:t>
            </w:r>
          </w:p>
        </w:tc>
      </w:tr>
      <w:tr>
        <w:trPr>
          <w:trHeight w:val="213"/>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Finance lease liabilities</w:t>
            </w:r>
          </w:p>
        </w:tc>
        <w:tc>
          <w:tcPr>
            <w:tcW w:w="41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Other Debt</w:t>
            </w:r>
          </w:p>
        </w:tc>
        <w:tc>
          <w:tcPr>
            <w:tcW w:w="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10,481</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10,565</w:t>
            </w:r>
          </w:p>
        </w:tc>
      </w:tr>
      <w:tr>
        <w:trPr>
          <w:trHeight w:val="211"/>
        </w:trPr>
        <w:tc>
          <w:tcPr>
            <w:tcW w:w="3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4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117,893</w:t>
            </w:r>
          </w:p>
        </w:tc>
        <w:tc>
          <w:tcPr>
            <w:tcW w:w="6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118,775</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calculated amount of the ROU assets and lease liabilities in the table above are impacted by the length of the lease term and the discount rate used to present value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Regarding the discount rate, Topic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2019, the rate for the remaining lease term as of January 1, 2019, was used. For the Company’s only finance lease, the Company utilized its incremental borrowing rate at lease inception.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Weighted-average remaining lease term</w:t>
            </w:r>
          </w:p>
        </w:tc>
        <w:tc>
          <w:tcPr>
            <w:tcW w:w="4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3"/>
        </w:trPr>
        <w:tc>
          <w:tcPr>
            <w:tcW w:w="5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leases</w:t>
            </w:r>
          </w:p>
        </w:tc>
        <w:tc>
          <w:tcPr>
            <w:tcW w:w="4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17.0 years</w:t>
            </w: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16.8 years</w:t>
            </w:r>
          </w:p>
        </w:tc>
      </w:tr>
      <w:tr>
        <w:trPr>
          <w:trHeight w:val="219"/>
        </w:trPr>
        <w:tc>
          <w:tcPr>
            <w:tcW w:w="5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Finance leases</w:t>
            </w:r>
          </w:p>
        </w:tc>
        <w:tc>
          <w:tcPr>
            <w:tcW w:w="42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32.0 years</w:t>
            </w:r>
          </w:p>
        </w:tc>
        <w:tc>
          <w:tcPr>
            <w:tcW w:w="1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33.0 years</w:t>
            </w: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Weighted-average discount rate</w:t>
            </w:r>
          </w:p>
        </w:tc>
        <w:tc>
          <w:tcPr>
            <w:tcW w:w="4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8"/>
        </w:trPr>
        <w:tc>
          <w:tcPr>
            <w:tcW w:w="5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leases</w:t>
            </w:r>
          </w:p>
        </w:tc>
        <w:tc>
          <w:tcPr>
            <w:tcW w:w="42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3.61%</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10"/>
        </w:trPr>
        <w:tc>
          <w:tcPr>
            <w:tcW w:w="5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Finance leases</w:t>
            </w:r>
          </w:p>
        </w:tc>
        <w:tc>
          <w:tcPr>
            <w:tcW w:w="4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7.04%</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represents lease costs and other lease information. As the Company elected, for all classes of underlying assets, not to separate lease and non-lease components and instead to account for them as a single lease component, the variable lease cost primarily represents variable payments such as common area maintenance and utilities. Variable lease cost also includes payments for ATM location leases in which payments are based on a percentage of ATM transactions (i.e., ATM surcharge fees), rather than a fixed amount.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09"/>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Lease Costs</w:t>
            </w:r>
          </w:p>
        </w:tc>
        <w:tc>
          <w:tcPr>
            <w:tcW w:w="18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6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 cost</w:t>
            </w:r>
          </w:p>
        </w:tc>
        <w:tc>
          <w:tcPr>
            <w:tcW w:w="18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12,281</w:t>
            </w:r>
          </w:p>
        </w:tc>
        <w:tc>
          <w:tcPr>
            <w:tcW w:w="7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12,616</w:t>
            </w:r>
          </w:p>
        </w:tc>
      </w:tr>
      <w:tr>
        <w:trPr>
          <w:trHeight w:val="21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Variable lease cost</w:t>
            </w:r>
          </w:p>
        </w:tc>
        <w:tc>
          <w:tcPr>
            <w:tcW w:w="18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5,549</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3,504</w:t>
            </w:r>
          </w:p>
        </w:tc>
      </w:tr>
      <w:tr>
        <w:trPr>
          <w:trHeight w:val="213"/>
        </w:trPr>
        <w:tc>
          <w:tcPr>
            <w:tcW w:w="6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lease cost</w:t>
            </w:r>
          </w:p>
        </w:tc>
        <w:tc>
          <w:tcPr>
            <w:tcW w:w="188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587</w:t>
            </w:r>
          </w:p>
        </w:tc>
        <w:tc>
          <w:tcPr>
            <w:tcW w:w="7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591</w:t>
            </w:r>
          </w:p>
        </w:tc>
      </w:tr>
      <w:tr>
        <w:trPr>
          <w:trHeight w:val="21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Finance lease cost</w:t>
            </w:r>
          </w:p>
        </w:tc>
        <w:tc>
          <w:tcPr>
            <w:tcW w:w="18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16"/>
        </w:trPr>
        <w:tc>
          <w:tcPr>
            <w:tcW w:w="6420" w:type="dxa"/>
            <w:vAlign w:val="bottom"/>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Interest on lease liabilities </w:t>
            </w:r>
            <w:r>
              <w:rPr>
                <w:rFonts w:ascii="Times New Roman" w:cs="Times New Roman" w:eastAsia="Times New Roman" w:hAnsi="Times New Roman"/>
                <w:sz w:val="25"/>
                <w:szCs w:val="25"/>
                <w:color w:val="auto"/>
                <w:vertAlign w:val="superscript"/>
              </w:rPr>
              <w:t>1</w:t>
            </w:r>
          </w:p>
        </w:tc>
        <w:tc>
          <w:tcPr>
            <w:tcW w:w="188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741</w:t>
            </w:r>
          </w:p>
        </w:tc>
        <w:tc>
          <w:tcPr>
            <w:tcW w:w="7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747</w:t>
            </w:r>
          </w:p>
        </w:tc>
      </w:tr>
      <w:tr>
        <w:trPr>
          <w:trHeight w:val="216"/>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8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72</w:t>
            </w: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6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Sublease income</w:t>
            </w:r>
          </w:p>
        </w:tc>
        <w:tc>
          <w:tcPr>
            <w:tcW w:w="1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(7,804)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w:t>
            </w:r>
          </w:p>
        </w:tc>
      </w:tr>
      <w:tr>
        <w:trPr>
          <w:trHeight w:val="211"/>
        </w:trPr>
        <w:tc>
          <w:tcPr>
            <w:tcW w:w="6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lease cost</w:t>
            </w:r>
          </w:p>
        </w:tc>
        <w:tc>
          <w:tcPr>
            <w:tcW w:w="188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11,426</w:t>
            </w:r>
          </w:p>
        </w:tc>
        <w:tc>
          <w:tcPr>
            <w:tcW w:w="70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9,249</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8"/>
        </w:trPr>
        <w:tc>
          <w:tcPr>
            <w:tcW w:w="64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18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6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8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12,349</w:t>
            </w:r>
          </w:p>
        </w:tc>
        <w:tc>
          <w:tcPr>
            <w:tcW w:w="7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12,779</w:t>
            </w:r>
          </w:p>
        </w:tc>
      </w:tr>
      <w:tr>
        <w:trPr>
          <w:trHeight w:val="213"/>
        </w:trPr>
        <w:tc>
          <w:tcPr>
            <w:tcW w:w="6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88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741</w:t>
            </w:r>
          </w:p>
        </w:tc>
        <w:tc>
          <w:tcPr>
            <w:tcW w:w="7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747</w:t>
            </w:r>
          </w:p>
        </w:tc>
      </w:tr>
      <w:tr>
        <w:trPr>
          <w:trHeight w:val="21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8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84</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6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188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11,185</w:t>
            </w:r>
          </w:p>
        </w:tc>
        <w:tc>
          <w:tcPr>
            <w:tcW w:w="7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4,101</w:t>
            </w:r>
          </w:p>
        </w:tc>
      </w:tr>
      <w:tr>
        <w:trPr>
          <w:trHeight w:val="219"/>
        </w:trPr>
        <w:tc>
          <w:tcPr>
            <w:tcW w:w="6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Right-of-use assets obtained in exchange for new finance lease liabilities</w:t>
            </w:r>
          </w:p>
        </w:tc>
        <w:tc>
          <w:tcPr>
            <w:tcW w:w="18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bl>
    <w:p>
      <w:pPr>
        <w:spacing w:after="0" w:line="85" w:lineRule="exact"/>
        <w:rPr>
          <w:sz w:val="20"/>
          <w:szCs w:val="20"/>
          <w:color w:val="auto"/>
        </w:rPr>
      </w:pPr>
    </w:p>
    <w:p>
      <w:pPr>
        <w:ind w:left="200" w:hanging="192"/>
        <w:spacing w:after="0"/>
        <w:tabs>
          <w:tab w:leader="none" w:pos="20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Included in other debt interest expense in the Company’s consolidated statements of income. All other lease costs in this table are included in net occupancy expense.</w:t>
      </w:r>
    </w:p>
    <w:p>
      <w:pPr>
        <w:spacing w:after="0" w:line="1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Rental expense for operating leases for the year ended December 31, 2018 was $19.3 million. Sublease income for the year ended December 31, 2018 was $7.6 million.</w:t>
      </w:r>
    </w:p>
    <w:p>
      <w:pPr>
        <w:spacing w:after="0" w:line="135"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color w:val="auto"/>
        </w:rPr>
        <w:t>On January 22, 2021, the Board of Directors of Bank of Hawaii Corporation approved the permanently closure of 12 branches primarily located within local supermarkets in order to increase efficiency and meet changing customer needs. The branch closures are expected to be completed, subject to applicable regulatory requirements, by May 31, 2021. As a result, the Company recorded a total charge of $5.6 million during the fourth quarter of</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2020. This aggregate charge included a $2.5 million impairment charge to write off the related ROU assets. The adjustment to the related lease liabilities was not material.</w:t>
      </w:r>
    </w:p>
    <w:p>
      <w:pPr>
        <w:spacing w:after="0" w:line="14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Future minimum payments for finance leases and operating leases with initial or remaining terms of one year or more as of December 31, 2020,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22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825</w:t>
            </w:r>
          </w:p>
        </w:tc>
        <w:tc>
          <w:tcPr>
            <w:tcW w:w="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11,124</w:t>
            </w: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22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825</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10,627</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2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825</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9,904</w:t>
            </w: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2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825</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9,190</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2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825</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8,843</w:t>
            </w:r>
          </w:p>
        </w:tc>
      </w:tr>
      <w:tr>
        <w:trPr>
          <w:trHeight w:val="213"/>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2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22,280</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100,371</w:t>
            </w:r>
          </w:p>
        </w:tc>
      </w:tr>
      <w:tr>
        <w:trPr>
          <w:trHeight w:val="212"/>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Future Minimum Lease Payments</w:t>
            </w:r>
          </w:p>
        </w:tc>
        <w:tc>
          <w:tcPr>
            <w:tcW w:w="2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26,405</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150,059</w:t>
            </w:r>
          </w:p>
        </w:tc>
      </w:tr>
      <w:tr>
        <w:trPr>
          <w:trHeight w:val="213"/>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Amounts Representing Interest</w:t>
            </w:r>
          </w:p>
        </w:tc>
        <w:tc>
          <w:tcPr>
            <w:tcW w:w="2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(15,924)</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(42,647)</w:t>
            </w:r>
          </w:p>
        </w:tc>
      </w:tr>
      <w:tr>
        <w:trPr>
          <w:trHeight w:val="210"/>
        </w:trPr>
        <w:tc>
          <w:tcPr>
            <w:tcW w:w="57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Present Value of Net Future Minimum Lease Payments</w:t>
            </w:r>
          </w:p>
        </w:tc>
        <w:tc>
          <w:tcPr>
            <w:tcW w:w="22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10,481</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107,412</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as lessor, leases and subleases certain properties to third party lessees. Rental income for these operating leases were $10.3 million, $10.7 million, and $8.7 million for the years ended December 31, 2020, and December 31, 2019, and December 31, 2018,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income under operating leases, including subleases, as of December 31, 2020,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Minimum Rental</w:t>
            </w:r>
          </w:p>
        </w:tc>
      </w:tr>
      <w:tr>
        <w:trPr>
          <w:trHeight w:val="218"/>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Income</w:t>
            </w: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4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4,994</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438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4,019</w:t>
            </w:r>
          </w:p>
        </w:tc>
      </w:tr>
      <w:tr>
        <w:trPr>
          <w:trHeight w:val="21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4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2,761</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438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1,361</w:t>
            </w:r>
          </w:p>
        </w:tc>
      </w:tr>
      <w:tr>
        <w:trPr>
          <w:trHeight w:val="21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4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699</w:t>
            </w:r>
          </w:p>
        </w:tc>
      </w:tr>
      <w:tr>
        <w:trPr>
          <w:trHeight w:val="213"/>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4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4,333</w:t>
            </w:r>
          </w:p>
        </w:tc>
      </w:tr>
      <w:tr>
        <w:trPr>
          <w:trHeight w:val="210"/>
        </w:trPr>
        <w:tc>
          <w:tcPr>
            <w:tcW w:w="5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18,167</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Bank of Hawaii Corporation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financial statements of the Parent were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9"/>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from Bank of Hawaii</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134,000</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26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185,000</w:t>
            </w:r>
          </w:p>
        </w:tc>
      </w:tr>
      <w:tr>
        <w:trPr>
          <w:trHeight w:val="229"/>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 Securities Gains (Losses), Net</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4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(850)</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0"/>
        </w:trPr>
        <w:tc>
          <w:tcPr>
            <w:tcW w:w="5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5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Income</w:t>
            </w: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147,490</w:t>
            </w: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219,411</w:t>
            </w:r>
          </w:p>
        </w:tc>
        <w:tc>
          <w:tcPr>
            <w:tcW w:w="2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184,379</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Intercompany Salaries and Services</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734</w:t>
            </w:r>
          </w:p>
        </w:tc>
      </w:tr>
      <w:tr>
        <w:trPr>
          <w:trHeight w:val="229"/>
        </w:trPr>
        <w:tc>
          <w:tcPr>
            <w:tcW w:w="5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Expenses</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1,701</w:t>
            </w:r>
          </w:p>
        </w:tc>
      </w:tr>
      <w:tr>
        <w:trPr>
          <w:trHeight w:val="223"/>
        </w:trPr>
        <w:tc>
          <w:tcPr>
            <w:tcW w:w="5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Noninterest Expense</w:t>
            </w: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2,435</w:t>
            </w:r>
          </w:p>
        </w:tc>
      </w:tr>
      <w:tr>
        <w:trPr>
          <w:trHeight w:val="205"/>
        </w:trPr>
        <w:tc>
          <w:tcPr>
            <w:tcW w:w="5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Income Before Income Tax Benefit and Equity in Undistributed Income</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Subsidiaries</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144,868</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216,961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181,944</w:t>
            </w: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92"/>
              <w:spacing w:after="0"/>
              <w:rPr>
                <w:sz w:val="20"/>
                <w:szCs w:val="20"/>
                <w:color w:val="auto"/>
              </w:rPr>
            </w:pPr>
            <w:r>
              <w:rPr>
                <w:rFonts w:ascii="Times New Roman" w:cs="Times New Roman" w:eastAsia="Times New Roman" w:hAnsi="Times New Roman"/>
                <w:sz w:val="18"/>
                <w:szCs w:val="18"/>
                <w:color w:val="auto"/>
              </w:rPr>
              <w:t>(2,395)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2,229</w:t>
            </w:r>
          </w:p>
        </w:tc>
      </w:tr>
      <w:tr>
        <w:trPr>
          <w:trHeight w:val="230"/>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35,429</w:t>
            </w:r>
          </w:p>
        </w:tc>
      </w:tr>
      <w:tr>
        <w:trPr>
          <w:trHeight w:val="223"/>
        </w:trPr>
        <w:tc>
          <w:tcPr>
            <w:tcW w:w="5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Borders>
              <w:bottom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153,804</w:t>
            </w:r>
          </w:p>
        </w:tc>
        <w:tc>
          <w:tcPr>
            <w:tcW w:w="4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225,913</w:t>
            </w:r>
          </w:p>
        </w:tc>
        <w:tc>
          <w:tcPr>
            <w:tcW w:w="2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219,602</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192,738</w:t>
            </w: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245,844</w:t>
            </w: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210,751</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3"/>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Condition</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5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spacing w:after="0"/>
              <w:rPr>
                <w:sz w:val="18"/>
                <w:szCs w:val="18"/>
                <w:color w:val="auto"/>
              </w:rPr>
            </w:pPr>
          </w:p>
        </w:tc>
      </w:tr>
      <w:tr>
        <w:trPr>
          <w:trHeight w:val="208"/>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25"/>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with Bank of Hawaii</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66,704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37,056</w:t>
            </w: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2,501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4,974</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14,129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14,129</w:t>
            </w: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12,305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12,401</w:t>
            </w:r>
          </w:p>
        </w:tc>
      </w:tr>
      <w:tr>
        <w:trPr>
          <w:trHeight w:val="230"/>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in Net Assets of Subsidiaries</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1,290,455</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1,229,775</w:t>
            </w:r>
          </w:p>
        </w:tc>
      </w:tr>
      <w:tr>
        <w:trPr>
          <w:trHeight w:val="223"/>
        </w:trPr>
        <w:tc>
          <w:tcPr>
            <w:tcW w:w="5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1,386,094</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1,298,335</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5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10,613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11,445</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11,587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11,503</w:t>
            </w:r>
          </w:p>
        </w:tc>
      </w:tr>
      <w:tr>
        <w:trPr>
          <w:trHeight w:val="229"/>
        </w:trPr>
        <w:tc>
          <w:tcPr>
            <w:tcW w:w="5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1,374,507</w:t>
            </w:r>
          </w:p>
        </w:tc>
        <w:tc>
          <w:tcPr>
            <w:tcW w:w="2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1,286,832</w:t>
            </w:r>
          </w:p>
        </w:tc>
      </w:tr>
      <w:tr>
        <w:trPr>
          <w:trHeight w:val="223"/>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1,386,094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1,298,335</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3" w:name="page134"/>
    <w:bookmarkEnd w:id="1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153,804</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225,913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219,602</w:t>
            </w:r>
          </w:p>
        </w:tc>
      </w:tr>
      <w:tr>
        <w:trPr>
          <w:trHeight w:val="211"/>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34"/>
        </w:trPr>
        <w:tc>
          <w:tcPr>
            <w:tcW w:w="5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Activities:</w:t>
            </w:r>
          </w:p>
        </w:tc>
        <w:tc>
          <w:tcPr>
            <w:tcW w:w="7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30"/>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795</w:t>
            </w:r>
          </w:p>
        </w:tc>
        <w:tc>
          <w:tcPr>
            <w:tcW w:w="460" w:type="dxa"/>
            <w:vAlign w:val="bottom"/>
          </w:tcPr>
          <w:p>
            <w:pPr>
              <w:spacing w:after="0"/>
              <w:rPr>
                <w:sz w:val="19"/>
                <w:szCs w:val="19"/>
                <w:color w:val="auto"/>
              </w:rPr>
            </w:pPr>
          </w:p>
        </w:tc>
        <w:tc>
          <w:tcPr>
            <w:tcW w:w="12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760</w:t>
            </w:r>
          </w:p>
        </w:tc>
        <w:tc>
          <w:tcPr>
            <w:tcW w:w="3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630</w:t>
            </w:r>
          </w:p>
        </w:tc>
      </w:tr>
      <w:tr>
        <w:trPr>
          <w:trHeight w:val="229"/>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(Gains) Losses on Sales of Investment Securities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(13,336)</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850</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819</w:t>
            </w:r>
          </w:p>
        </w:tc>
      </w:tr>
      <w:tr>
        <w:trPr>
          <w:trHeight w:val="229"/>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(11,331)</w:t>
            </w:r>
          </w:p>
        </w:tc>
        <w:tc>
          <w:tcPr>
            <w:tcW w:w="46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(7,134)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(35,429)</w:t>
            </w:r>
          </w:p>
        </w:tc>
      </w:tr>
      <w:tr>
        <w:trPr>
          <w:trHeight w:val="230"/>
        </w:trPr>
        <w:tc>
          <w:tcPr>
            <w:tcW w:w="58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Change in Other Assets and Other Liabilities</w:t>
            </w:r>
          </w:p>
        </w:tc>
        <w:tc>
          <w:tcPr>
            <w:tcW w:w="7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870</w:t>
            </w:r>
          </w:p>
        </w:tc>
      </w:tr>
      <w:tr>
        <w:trPr>
          <w:trHeight w:val="223"/>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129,864</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220,254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186,492</w:t>
            </w:r>
          </w:p>
        </w:tc>
      </w:tr>
      <w:tr>
        <w:trPr>
          <w:trHeight w:val="223"/>
        </w:trPr>
        <w:tc>
          <w:tcPr>
            <w:tcW w:w="5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(Expenses related to) Sales of Investment Securities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18,336</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4,259</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9"/>
        </w:trPr>
        <w:tc>
          <w:tcPr>
            <w:tcW w:w="5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Purchase of Investment Securities Held-to-Maturity</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(2,501)</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(4,933)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7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15,835</w:t>
            </w: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(674)</w:t>
            </w: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3"/>
        </w:trPr>
        <w:tc>
          <w:tcPr>
            <w:tcW w:w="5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9,389</w:t>
            </w:r>
          </w:p>
        </w:tc>
        <w:tc>
          <w:tcPr>
            <w:tcW w:w="460" w:type="dxa"/>
            <w:vAlign w:val="bottom"/>
          </w:tcPr>
          <w:p>
            <w:pPr>
              <w:spacing w:after="0"/>
              <w:rPr>
                <w:sz w:val="19"/>
                <w:szCs w:val="19"/>
                <w:color w:val="auto"/>
              </w:rPr>
            </w:pPr>
          </w:p>
        </w:tc>
        <w:tc>
          <w:tcPr>
            <w:tcW w:w="12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7,872</w:t>
            </w:r>
          </w:p>
        </w:tc>
        <w:tc>
          <w:tcPr>
            <w:tcW w:w="3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7,873</w:t>
            </w:r>
          </w:p>
        </w:tc>
      </w:tr>
      <w:tr>
        <w:trPr>
          <w:trHeight w:val="229"/>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(18,006)</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(137,649)</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(91,988)</w:t>
            </w:r>
          </w:p>
        </w:tc>
      </w:tr>
      <w:tr>
        <w:trPr>
          <w:trHeight w:val="230"/>
        </w:trPr>
        <w:tc>
          <w:tcPr>
            <w:tcW w:w="5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Cash Dividends Paid</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(107,434)</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(105,478)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(98,496)</w:t>
            </w:r>
          </w:p>
        </w:tc>
      </w:tr>
      <w:tr>
        <w:trPr>
          <w:trHeight w:val="223"/>
        </w:trPr>
        <w:tc>
          <w:tcPr>
            <w:tcW w:w="5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7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(116,051)</w:t>
            </w: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(235,255)</w:t>
            </w: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(182,611)</w:t>
            </w:r>
          </w:p>
        </w:tc>
      </w:tr>
      <w:tr>
        <w:trPr>
          <w:trHeight w:val="223"/>
        </w:trPr>
        <w:tc>
          <w:tcPr>
            <w:tcW w:w="5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29,648</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(15,675)</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3,062</w:t>
            </w:r>
          </w:p>
        </w:tc>
      </w:tr>
      <w:tr>
        <w:trPr>
          <w:trHeight w:val="230"/>
        </w:trPr>
        <w:tc>
          <w:tcPr>
            <w:tcW w:w="5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37,056</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52,731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49,669</w:t>
            </w:r>
          </w:p>
        </w:tc>
      </w:tr>
      <w:tr>
        <w:trPr>
          <w:trHeight w:val="223"/>
        </w:trPr>
        <w:tc>
          <w:tcPr>
            <w:tcW w:w="5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160" w:type="dxa"/>
            <w:vAlign w:val="bottom"/>
            <w:tcBorders>
              <w:bottom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66,704</w:t>
            </w:r>
          </w:p>
        </w:tc>
        <w:tc>
          <w:tcPr>
            <w:tcW w:w="4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37,056</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52,731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376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8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December 31, 2020.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December 31, 2020.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8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effective internal control over financial reporting. Internal control is designed to provide reasonable assurance to the Company’s management and board of directors regarding the preparation of reliable published financial statements. Internal control over financial reporting includes self-monitoring mechanisms, and actions are taken to correct deficiencies as they are identified.</w:t>
      </w:r>
    </w:p>
    <w:p>
      <w:pPr>
        <w:spacing w:after="0" w:line="35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Because of inherent limitations in any system of internal control, no matter how well designed, misstatements due to error or fraud may occur and not be detected, including the possibility of the circumvention or overriding of controls. Accordingly, even effective internal control over financial reporting can provide only reasonable assurance with respect to financial statement preparation. Further, because of changes in conditions, internal control effectiveness may vary over time.</w:t>
      </w:r>
    </w:p>
    <w:p>
      <w:pPr>
        <w:spacing w:after="0" w:line="1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Management assessed the Company’s internal control over financial reporting as of December 31, 2020. This assessment was based on criteria for effective internal control over financial reporting described in “Internal Control – Integrated Framework” issued by the Committee of Sponsoring Organizations of the Treadway Commission (2013 framework). Based on this assessment, the Chief Executive Officer and Chief Financial Officer assert that the Company maintained effective internal control over financial reporting as of December 31, 2020, based on the specified criteria.</w:t>
      </w:r>
    </w:p>
    <w:p>
      <w:pPr>
        <w:spacing w:after="0" w:line="13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2020, has been audited by Ernst &amp; Young LLP, the independent registered public accounting firm who also has audited the Company’s consolidated financial statements included in this Annual Report on Form 10-K. Ernst &amp; Young LLP’s attestation report on the Company’s internal control over financial reporting appears on the following page and is incorporated by reference herein.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quarter ended December 31, 2020, that have materially affected or are reasonably likely to materially affect the Company’s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333333"/>
        </w:rPr>
        <w:t>Report of Independent Registered Public Accounting Firm</w:t>
      </w:r>
    </w:p>
    <w:p>
      <w:pPr>
        <w:spacing w:after="0" w:line="202" w:lineRule="exact"/>
        <w:rPr>
          <w:sz w:val="20"/>
          <w:szCs w:val="20"/>
          <w:color w:val="auto"/>
        </w:rPr>
      </w:pPr>
    </w:p>
    <w:p>
      <w:pPr>
        <w:ind w:right="5500"/>
        <w:spacing w:after="0" w:line="477" w:lineRule="auto"/>
        <w:rPr>
          <w:sz w:val="20"/>
          <w:szCs w:val="20"/>
          <w:color w:val="auto"/>
        </w:rPr>
      </w:pPr>
      <w:r>
        <w:rPr>
          <w:rFonts w:ascii="Times New Roman" w:cs="Times New Roman" w:eastAsia="Times New Roman" w:hAnsi="Times New Roman"/>
          <w:sz w:val="18"/>
          <w:szCs w:val="18"/>
          <w:color w:val="333333"/>
        </w:rPr>
        <w:t xml:space="preserve">To the Shareholders and the Board of Directors of Bank of Hawaii Corporation </w:t>
      </w:r>
      <w:r>
        <w:rPr>
          <w:rFonts w:ascii="Times New Roman" w:cs="Times New Roman" w:eastAsia="Times New Roman" w:hAnsi="Times New Roman"/>
          <w:sz w:val="18"/>
          <w:szCs w:val="18"/>
          <w:b w:val="1"/>
          <w:bCs w:val="1"/>
          <w:color w:val="333333"/>
        </w:rPr>
        <w:t>Opinion on Internal Control Over Financial Reporting</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333333"/>
        </w:rPr>
        <w:t>We have audited Bank of Hawaii Corporation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Bank of Hawaii Corporation and subsidiaries (the Company) maintained, in all material respects, effective internal control over financial reporting as of December 31, 2020, based on the COSO criteria.</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consolidated statements of condition of the Company as of December 31, 2020 and 2019, the related consolidated statements of income, comprehensive income, shareholders’ equity and cash flows for each of the three years in the period ended December 31, 2020, and the related notes and our report dated March 1, 2021 expressed an unqualified opinion thereon.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Honolulu, Hawaii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1, 2021</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Certain information regarding the executive officers of the Parent is included under the caption “Executive Officers of the Registrant” in Part I, Item 1 of this report. Other information required by this Item is incorporated herein by reference to the Bank of Hawaii Corporation Proxy Statement for the 2021 annual meeting of shareholders to be filed with the SEC within 120 days after the end of the Company’s fiscal year to which this report relates.</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Parent’s Board of Directors has determined that Mark A. Burak, John C. Erickson, Victor K. Nichols, and Raymond P. Vara, Jr., members of the Parent’s Audit and Risk Committee, are audit committee financial experts within the meaning of Item 407(d)(5) of Regulation S-K. All members on the Audit and Risk Committee are independent and are financially literate within the meaning of Section 10A(m)(3) of the Exchange Act and the rules of the New York Stock Exchange, as applicable.</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Parent has adopted a written code of ethics within the meaning of Item 406 of Regulation S-K that applies to the Parent’s Chief Executive Officer, Chief Financial Officer, and Chief Accounting Officer. A copy of the Code of Ethics for Senior Financial Officers is available on the Company’s website, www.boh.com. The Parent intends to provide disclosure of any change to, or waiver from, the Parent’s Code of Ethics for Senior Financial Officers via its website.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Bank of Hawaii Corporation Proxy Statement for the 2021 annual meeting of shareholders to be filed with the SEC within 120 days after the end of the Company’s fiscal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Bank of Hawaii Corporation Proxy Statement for the 2021 annual meeting of shareholders to be filed with the SEC within 120 days after the end of the Company’s fiscal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Bank of Hawaii Corporation Proxy Statement for the 2021 annual meeting of shareholders to be filed with the SEC within 120 days after the end of the Company’s fiscal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Bank of Hawaii Corporation Proxy Statement for the 2021 annual meeting of shareholders to be filed with the SEC within 120 days after the end of the Company’s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Financial Statements and Schedules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Bank of Hawaii Corporation and Subsidiaries are included in Item 8 of this report:</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Consolidated Statements of Income – Years ended December 31, 2020, December 31, 2019, and December 31, 2018</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Consolidated Statements of Comprehensive Income – Years ended December 31, 2020, December 31, 2019, and December 31, 2018</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Consolidated Statements of Condition – December 31, 2020, and December 31, 2019</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Consolidated Statements of Shareholders’ Equity – Years ended December 31, 2020, December 31, 2019, and December 31, 2018</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2020, December 31, 2019, and December 31, 2018</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stipulated by Article 9 of Regulation S-X and all other schedules to the financial statements of the registrant required by Article 5 of Regulation S-X are not required under the related instructions or are inapplicable and, therefore, have been omitted.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Table</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740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w:t>
            </w:r>
          </w:p>
        </w:tc>
        <w:tc>
          <w:tcPr>
            <w:tcW w:w="97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Certificate of Incorporation of Bank of Hawaii Corporation (f/k/a Pacific Century Financial Corporation and Bancorp Hawaii, Inc.), as</w:t>
              </w:r>
            </w:hyperlink>
          </w:p>
        </w:tc>
        <w:tc>
          <w:tcPr>
            <w:tcW w:w="46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8"/>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amended (incorporated by reference from Exhibit 3.1 to Bank of Hawaii Corporation’s Annual Report on Form 10-K for its fiscal year</w:t>
              </w:r>
            </w:hyperlink>
          </w:p>
        </w:tc>
      </w:tr>
      <w:tr>
        <w:trPr>
          <w:trHeight w:val="196"/>
        </w:trPr>
        <w:tc>
          <w:tcPr>
            <w:tcW w:w="1080" w:type="dxa"/>
            <w:vAlign w:val="bottom"/>
          </w:tcPr>
          <w:p>
            <w:pPr>
              <w:spacing w:after="0"/>
              <w:rPr>
                <w:sz w:val="17"/>
                <w:szCs w:val="17"/>
                <w:color w:val="auto"/>
              </w:rPr>
            </w:pPr>
          </w:p>
        </w:tc>
        <w:tc>
          <w:tcPr>
            <w:tcW w:w="96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ended December 31, 2005, as filed on February 28, 2006 (the “2005 10-K”)).</w:t>
              </w:r>
            </w:hyperlink>
          </w:p>
        </w:tc>
        <w:tc>
          <w:tcPr>
            <w:tcW w:w="480" w:type="dxa"/>
            <w:vAlign w:val="bottom"/>
            <w:gridSpan w:val="11"/>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w:t>
            </w:r>
          </w:p>
        </w:tc>
        <w:tc>
          <w:tcPr>
            <w:tcW w:w="9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Certificate of Amendment of Certificate of Incorporation of Bank of Hawaii Corporation (incorporated by reference from Exhibit 3.1 to</w:t>
              </w:r>
            </w:hyperlink>
          </w:p>
        </w:tc>
        <w:tc>
          <w:tcPr>
            <w:tcW w:w="380" w:type="dxa"/>
            <w:vAlign w:val="bottom"/>
            <w:gridSpan w:val="7"/>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160" w:type="dxa"/>
            <w:vAlign w:val="bottom"/>
            <w:gridSpan w:val="28"/>
          </w:tcPr>
          <w:p>
            <w:pPr>
              <w:spacing w:after="0"/>
              <w:rPr>
                <w:rFonts w:ascii="Times New Roman" w:cs="Times New Roman" w:eastAsia="Times New Roman" w:hAnsi="Times New Roman"/>
                <w:sz w:val="18"/>
                <w:szCs w:val="18"/>
                <w:u w:val="single" w:color="auto"/>
                <w:color w:val="0000EE"/>
              </w:rPr>
            </w:pPr>
            <w:hyperlink r:id="rId166">
              <w:r>
                <w:rPr>
                  <w:rFonts w:ascii="Times New Roman" w:cs="Times New Roman" w:eastAsia="Times New Roman" w:hAnsi="Times New Roman"/>
                  <w:sz w:val="18"/>
                  <w:szCs w:val="18"/>
                  <w:u w:val="single" w:color="auto"/>
                  <w:color w:val="0000EE"/>
                </w:rPr>
                <w:t>Bank of Hawaii Corporation’s Current Report on Form 8-K filed on April 30, 2008 (the “April 30, 2008 8-K”)).</w:t>
              </w:r>
            </w:hyperlink>
          </w:p>
        </w:tc>
      </w:tr>
      <w:tr>
        <w:trPr>
          <w:trHeight w:val="338"/>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3.3</w:t>
            </w:r>
          </w:p>
        </w:tc>
        <w:tc>
          <w:tcPr>
            <w:tcW w:w="10160" w:type="dxa"/>
            <w:vAlign w:val="bottom"/>
            <w:gridSpan w:val="28"/>
          </w:tcPr>
          <w:p>
            <w:pPr>
              <w:spacing w:after="0"/>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Amended and Restated By-Laws of Bank of Hawaii Corporation (incorporated by reference from Exhibit 3.2 to the April 30, 2008 8-K).</w:t>
              </w:r>
            </w:hyperlink>
          </w:p>
        </w:tc>
      </w:tr>
      <w:tr>
        <w:trPr>
          <w:trHeight w:val="297"/>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w:t>
            </w:r>
          </w:p>
        </w:tc>
        <w:tc>
          <w:tcPr>
            <w:tcW w:w="10160" w:type="dxa"/>
            <w:vAlign w:val="bottom"/>
            <w:gridSpan w:val="28"/>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Amended and Restated By-Laws of Bank of Hawaii Corporation (incorporated by reference from Exhibit 3.2 to Bank of Hawaii</w:t>
              </w:r>
            </w:hyperlink>
          </w:p>
        </w:tc>
      </w:tr>
      <w:tr>
        <w:trPr>
          <w:trHeight w:val="196"/>
        </w:trPr>
        <w:tc>
          <w:tcPr>
            <w:tcW w:w="1080" w:type="dxa"/>
            <w:vAlign w:val="bottom"/>
          </w:tcPr>
          <w:p>
            <w:pPr>
              <w:spacing w:after="0"/>
              <w:rPr>
                <w:sz w:val="17"/>
                <w:szCs w:val="17"/>
                <w:color w:val="auto"/>
              </w:rPr>
            </w:pPr>
          </w:p>
        </w:tc>
        <w:tc>
          <w:tcPr>
            <w:tcW w:w="92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Corporation’s Current Report on Form 8-K filed on November 19, 2013).</w:t>
              </w:r>
            </w:hyperlink>
          </w:p>
        </w:tc>
        <w:tc>
          <w:tcPr>
            <w:tcW w:w="940" w:type="dxa"/>
            <w:vAlign w:val="bottom"/>
            <w:gridSpan w:val="16"/>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3.5</w:t>
            </w:r>
          </w:p>
        </w:tc>
        <w:tc>
          <w:tcPr>
            <w:tcW w:w="10160" w:type="dxa"/>
            <w:vAlign w:val="bottom"/>
            <w:gridSpan w:val="28"/>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Amended and Restated By-Laws of Bank of Hawaii Corporation (incorporated by reference from Exhibit 3.2 to Bank of Hawaii</w:t>
              </w:r>
            </w:hyperlink>
          </w:p>
        </w:tc>
      </w:tr>
      <w:tr>
        <w:trPr>
          <w:trHeight w:val="196"/>
        </w:trPr>
        <w:tc>
          <w:tcPr>
            <w:tcW w:w="1080" w:type="dxa"/>
            <w:vAlign w:val="bottom"/>
          </w:tcPr>
          <w:p>
            <w:pPr>
              <w:spacing w:after="0"/>
              <w:rPr>
                <w:sz w:val="17"/>
                <w:szCs w:val="17"/>
                <w:color w:val="auto"/>
              </w:rPr>
            </w:pPr>
          </w:p>
        </w:tc>
        <w:tc>
          <w:tcPr>
            <w:tcW w:w="92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Corporation’s Current Report on Form 8-K filed on October 24, 2018).</w:t>
              </w:r>
            </w:hyperlink>
          </w:p>
        </w:tc>
        <w:tc>
          <w:tcPr>
            <w:tcW w:w="940" w:type="dxa"/>
            <w:vAlign w:val="bottom"/>
            <w:gridSpan w:val="16"/>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0"/>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w:t>
            </w:r>
          </w:p>
        </w:tc>
        <w:tc>
          <w:tcPr>
            <w:tcW w:w="10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Bank of Hawaii Corporation and its consolidated subsidiaries are not filed as</w:t>
            </w:r>
          </w:p>
        </w:tc>
      </w:tr>
      <w:tr>
        <w:trPr>
          <w:trHeight w:val="216"/>
        </w:trPr>
        <w:tc>
          <w:tcPr>
            <w:tcW w:w="1080" w:type="dxa"/>
            <w:vAlign w:val="bottom"/>
          </w:tcPr>
          <w:p>
            <w:pPr>
              <w:spacing w:after="0"/>
              <w:rPr>
                <w:sz w:val="18"/>
                <w:szCs w:val="18"/>
                <w:color w:val="auto"/>
              </w:rPr>
            </w:pPr>
          </w:p>
        </w:tc>
        <w:tc>
          <w:tcPr>
            <w:tcW w:w="10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exhibits because the amount of debt authorized under any such instruments does not exceed 10% of the total assets of Bank of Hawaii</w:t>
            </w:r>
          </w:p>
        </w:tc>
      </w:tr>
      <w:tr>
        <w:trPr>
          <w:trHeight w:val="216"/>
        </w:trPr>
        <w:tc>
          <w:tcPr>
            <w:tcW w:w="1080" w:type="dxa"/>
            <w:vAlign w:val="bottom"/>
          </w:tcPr>
          <w:p>
            <w:pPr>
              <w:spacing w:after="0"/>
              <w:rPr>
                <w:sz w:val="18"/>
                <w:szCs w:val="18"/>
                <w:color w:val="auto"/>
              </w:rPr>
            </w:pPr>
          </w:p>
        </w:tc>
        <w:tc>
          <w:tcPr>
            <w:tcW w:w="10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Corporation and its consolidated subsidiaries. Bank of Hawaii Corporation agrees to furnish a copy of any such instrument to the</w:t>
            </w:r>
          </w:p>
        </w:tc>
      </w:tr>
      <w:tr>
        <w:trPr>
          <w:trHeight w:val="234"/>
        </w:trPr>
        <w:tc>
          <w:tcPr>
            <w:tcW w:w="1080" w:type="dxa"/>
            <w:vAlign w:val="bottom"/>
          </w:tcPr>
          <w:p>
            <w:pPr>
              <w:spacing w:after="0"/>
              <w:rPr>
                <w:sz w:val="20"/>
                <w:szCs w:val="20"/>
                <w:color w:val="auto"/>
              </w:rPr>
            </w:pPr>
          </w:p>
        </w:tc>
        <w:tc>
          <w:tcPr>
            <w:tcW w:w="101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Commission upon request.</w:t>
            </w:r>
          </w:p>
        </w:tc>
      </w:tr>
      <w:tr>
        <w:trPr>
          <w:trHeight w:val="338"/>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4.2</w:t>
            </w:r>
          </w:p>
        </w:tc>
        <w:tc>
          <w:tcPr>
            <w:tcW w:w="10160" w:type="dxa"/>
            <w:vAlign w:val="bottom"/>
            <w:gridSpan w:val="28"/>
          </w:tcPr>
          <w:p>
            <w:pPr>
              <w:spacing w:after="0"/>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Description of Common Stock (incorporated by reference from Exhibit 4.2 to the 2020 10-K)</w:t>
              </w:r>
            </w:hyperlink>
          </w:p>
        </w:tc>
      </w:tr>
      <w:tr>
        <w:trPr>
          <w:trHeight w:val="338"/>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gridSpan w:val="28"/>
          </w:tcPr>
          <w:p>
            <w:pPr>
              <w:spacing w:after="0"/>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Bank of Hawaii Corporation’s Executive Incentive Plan, as amended (incorporated by reference from Exhibit 10.2 to the 2005 10-K).*</w:t>
              </w:r>
            </w:hyperlink>
          </w:p>
        </w:tc>
      </w:tr>
      <w:tr>
        <w:trPr>
          <w:trHeight w:val="297"/>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w:t>
            </w:r>
          </w:p>
        </w:tc>
        <w:tc>
          <w:tcPr>
            <w:tcW w:w="9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Bank of Hawaii Corporation’s Executive Base Salary Deferral Plan (incorporated by reference from Exhibit 10.1 to the Bank of Hawaii</w:t>
              </w:r>
            </w:hyperlink>
          </w:p>
        </w:tc>
        <w:tc>
          <w:tcPr>
            <w:tcW w:w="400" w:type="dxa"/>
            <w:vAlign w:val="bottom"/>
            <w:gridSpan w:val="8"/>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Corporation’s Current Report on Form 8-K filed on December 22, 2005).*</w:t>
              </w:r>
            </w:hyperlink>
          </w:p>
        </w:tc>
        <w:tc>
          <w:tcPr>
            <w:tcW w:w="4800" w:type="dxa"/>
            <w:vAlign w:val="bottom"/>
            <w:gridSpan w:val="20"/>
          </w:tcPr>
          <w:p>
            <w:pPr>
              <w:spacing w:after="0"/>
              <w:rPr>
                <w:sz w:val="17"/>
                <w:szCs w:val="17"/>
                <w:color w:val="auto"/>
              </w:rPr>
            </w:pPr>
          </w:p>
        </w:tc>
      </w:tr>
      <w:tr>
        <w:trPr>
          <w:trHeight w:val="318"/>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w:t>
            </w:r>
          </w:p>
        </w:tc>
        <w:tc>
          <w:tcPr>
            <w:tcW w:w="10160" w:type="dxa"/>
            <w:vAlign w:val="bottom"/>
            <w:gridSpan w:val="28"/>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Bank of Hawaii Corporation’s Directors’ Deferred Compensation Plan, as amended (incorporated by reference from Exhibit 10.7 to the</w:t>
              </w:r>
            </w:hyperlink>
          </w:p>
        </w:tc>
      </w:tr>
      <w:tr>
        <w:trPr>
          <w:trHeight w:val="196"/>
        </w:trPr>
        <w:tc>
          <w:tcPr>
            <w:tcW w:w="1080" w:type="dxa"/>
            <w:vAlign w:val="bottom"/>
          </w:tcPr>
          <w:p>
            <w:pPr>
              <w:spacing w:after="0"/>
              <w:rPr>
                <w:sz w:val="17"/>
                <w:szCs w:val="17"/>
                <w:color w:val="auto"/>
              </w:rPr>
            </w:pPr>
          </w:p>
        </w:tc>
        <w:tc>
          <w:tcPr>
            <w:tcW w:w="97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2005 10-K).*</w:t>
              </w:r>
            </w:hyperlink>
          </w:p>
        </w:tc>
        <w:tc>
          <w:tcPr>
            <w:tcW w:w="420" w:type="dxa"/>
            <w:vAlign w:val="bottom"/>
            <w:gridSpan w:val="9"/>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gridSpan w:val="28"/>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Bank of Hawaii Corporation’s Director Stock Compensation Program, as amended (incorporated by reference from Exhibit 10.8 to the 2005</w:t>
              </w:r>
            </w:hyperlink>
          </w:p>
        </w:tc>
      </w:tr>
      <w:tr>
        <w:trPr>
          <w:trHeight w:val="196"/>
        </w:trPr>
        <w:tc>
          <w:tcPr>
            <w:tcW w:w="108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74">
              <w:r>
                <w:rPr>
                  <w:rFonts w:ascii="Times New Roman" w:cs="Times New Roman" w:eastAsia="Times New Roman" w:hAnsi="Times New Roman"/>
                  <w:sz w:val="18"/>
                  <w:szCs w:val="18"/>
                  <w:color w:val="0000EE"/>
                  <w:w w:val="95"/>
                </w:rPr>
                <w:t>10-K).*</w:t>
              </w:r>
            </w:hyperlink>
          </w:p>
        </w:tc>
        <w:tc>
          <w:tcPr>
            <w:tcW w:w="9520" w:type="dxa"/>
            <w:vAlign w:val="bottom"/>
            <w:tcBorders>
              <w:top w:val="single" w:sz="8" w:color="0000EE"/>
            </w:tcBorders>
            <w:gridSpan w:val="25"/>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10.5</w:t>
            </w:r>
          </w:p>
        </w:tc>
        <w:tc>
          <w:tcPr>
            <w:tcW w:w="10160" w:type="dxa"/>
            <w:vAlign w:val="bottom"/>
            <w:gridSpan w:val="28"/>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Bank of Hawaii Corporation’s Amended and Restated Director Stock Compensation Plan (incorporated by reference from Appendix B to</w:t>
              </w:r>
            </w:hyperlink>
          </w:p>
        </w:tc>
      </w:tr>
      <w:tr>
        <w:trPr>
          <w:trHeight w:val="196"/>
        </w:trPr>
        <w:tc>
          <w:tcPr>
            <w:tcW w:w="1080" w:type="dxa"/>
            <w:vAlign w:val="bottom"/>
          </w:tcPr>
          <w:p>
            <w:pPr>
              <w:spacing w:after="0"/>
              <w:rPr>
                <w:sz w:val="17"/>
                <w:szCs w:val="17"/>
                <w:color w:val="auto"/>
              </w:rPr>
            </w:pPr>
          </w:p>
        </w:tc>
        <w:tc>
          <w:tcPr>
            <w:tcW w:w="98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Bank of Hawaii Corporation’s Definitive Proxy Statement on Schedule 14A for the 2005 Annual Meeting of Shareholders filed on</w:t>
              </w:r>
            </w:hyperlink>
          </w:p>
        </w:tc>
        <w:tc>
          <w:tcPr>
            <w:tcW w:w="28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75">
              <w:r>
                <w:rPr>
                  <w:rFonts w:ascii="Times New Roman" w:cs="Times New Roman" w:eastAsia="Times New Roman" w:hAnsi="Times New Roman"/>
                  <w:sz w:val="18"/>
                  <w:szCs w:val="18"/>
                  <w:color w:val="0000EE"/>
                  <w:w w:val="98"/>
                </w:rPr>
                <w:t>March 17, 2005).*</w:t>
              </w:r>
            </w:hyperlink>
          </w:p>
        </w:tc>
        <w:tc>
          <w:tcPr>
            <w:tcW w:w="8040" w:type="dxa"/>
            <w:vAlign w:val="bottom"/>
            <w:tcBorders>
              <w:top w:val="single" w:sz="8" w:color="0000EE"/>
            </w:tcBorders>
            <w:gridSpan w:val="9"/>
          </w:tcPr>
          <w:p>
            <w:pPr>
              <w:spacing w:after="0"/>
              <w:rPr>
                <w:sz w:val="17"/>
                <w:szCs w:val="17"/>
                <w:color w:val="auto"/>
              </w:rPr>
            </w:pPr>
          </w:p>
        </w:tc>
        <w:tc>
          <w:tcPr>
            <w:tcW w:w="780" w:type="dxa"/>
            <w:vAlign w:val="bottom"/>
            <w:gridSpan w:val="15"/>
          </w:tcPr>
          <w:p>
            <w:pPr>
              <w:spacing w:after="0"/>
              <w:rPr>
                <w:sz w:val="17"/>
                <w:szCs w:val="17"/>
                <w:color w:val="auto"/>
              </w:rPr>
            </w:pPr>
          </w:p>
        </w:tc>
      </w:tr>
      <w:tr>
        <w:trPr>
          <w:trHeight w:val="318"/>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10.7</w:t>
            </w:r>
          </w:p>
        </w:tc>
        <w:tc>
          <w:tcPr>
            <w:tcW w:w="9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Bank of Hawaii Corporation’s 2004 Stock and Incentive Compensation Plan (incorporated by reference from Appendix C to Bank of</w:t>
              </w:r>
            </w:hyperlink>
          </w:p>
        </w:tc>
        <w:tc>
          <w:tcPr>
            <w:tcW w:w="580" w:type="dxa"/>
            <w:vAlign w:val="bottom"/>
            <w:gridSpan w:val="1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8"/>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Hawaii Corporation’s Definitive Proxy Statement on Schedule 14A for the 2004 Annual Meeting of Shareholders, as filed on March 18,</w:t>
              </w:r>
            </w:hyperlink>
          </w:p>
        </w:tc>
      </w:tr>
      <w:tr>
        <w:trPr>
          <w:trHeight w:val="196"/>
        </w:trPr>
        <w:tc>
          <w:tcPr>
            <w:tcW w:w="108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76">
              <w:r>
                <w:rPr>
                  <w:rFonts w:ascii="Times New Roman" w:cs="Times New Roman" w:eastAsia="Times New Roman" w:hAnsi="Times New Roman"/>
                  <w:sz w:val="18"/>
                  <w:szCs w:val="18"/>
                  <w:color w:val="0000EE"/>
                  <w:w w:val="93"/>
                </w:rPr>
                <w:t>2004).*</w:t>
              </w:r>
            </w:hyperlink>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10.8</w:t>
            </w:r>
          </w:p>
        </w:tc>
        <w:tc>
          <w:tcPr>
            <w:tcW w:w="10160" w:type="dxa"/>
            <w:vAlign w:val="bottom"/>
            <w:gridSpan w:val="28"/>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Amendment 2007-1 to the Bank of Hawaii Corporation 2004 Stock and Incentive Compensation Plan (incorporated by reference from</w:t>
              </w:r>
            </w:hyperlink>
          </w:p>
        </w:tc>
      </w:tr>
      <w:tr>
        <w:trPr>
          <w:trHeight w:val="237"/>
        </w:trPr>
        <w:tc>
          <w:tcPr>
            <w:tcW w:w="1080" w:type="dxa"/>
            <w:vAlign w:val="bottom"/>
          </w:tcPr>
          <w:p>
            <w:pPr>
              <w:spacing w:after="0"/>
              <w:rPr>
                <w:sz w:val="20"/>
                <w:szCs w:val="20"/>
                <w:color w:val="auto"/>
              </w:rPr>
            </w:pPr>
          </w:p>
        </w:tc>
        <w:tc>
          <w:tcPr>
            <w:tcW w:w="9660" w:type="dxa"/>
            <w:vAlign w:val="bottom"/>
            <w:tcBorders>
              <w:top w:val="single" w:sz="8" w:color="0000EE"/>
            </w:tcBorders>
            <w:gridSpan w:val="16"/>
          </w:tcPr>
          <w:p>
            <w:pPr>
              <w:spacing w:after="0"/>
              <w:rPr>
                <w:rFonts w:ascii="Times New Roman" w:cs="Times New Roman" w:eastAsia="Times New Roman" w:hAnsi="Times New Roman"/>
                <w:sz w:val="18"/>
                <w:szCs w:val="18"/>
                <w:u w:val="single" w:color="auto"/>
                <w:color w:val="0000EE"/>
              </w:rPr>
            </w:pPr>
            <w:hyperlink r:id="rId177">
              <w:r>
                <w:rPr>
                  <w:rFonts w:ascii="Times New Roman" w:cs="Times New Roman" w:eastAsia="Times New Roman" w:hAnsi="Times New Roman"/>
                  <w:sz w:val="18"/>
                  <w:szCs w:val="18"/>
                  <w:u w:val="single" w:color="auto"/>
                  <w:color w:val="0000EE"/>
                </w:rPr>
                <w:t>Exhibit 10.13 to the Bank of Hawaii Corporation’s Annual Report on Form 10-K, as filed on February 25, 2008 (the “2007 10-K”)).*</w:t>
              </w:r>
            </w:hyperlink>
          </w:p>
        </w:tc>
        <w:tc>
          <w:tcPr>
            <w:tcW w:w="500" w:type="dxa"/>
            <w:vAlign w:val="bottom"/>
            <w:gridSpan w:val="12"/>
          </w:tcPr>
          <w:p>
            <w:pPr>
              <w:spacing w:after="0"/>
              <w:rPr>
                <w:sz w:val="20"/>
                <w:szCs w:val="20"/>
                <w:color w:val="auto"/>
              </w:rPr>
            </w:pPr>
          </w:p>
        </w:tc>
      </w:tr>
      <w:tr>
        <w:trPr>
          <w:trHeight w:val="297"/>
        </w:trPr>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10.9</w:t>
            </w:r>
          </w:p>
        </w:tc>
        <w:tc>
          <w:tcPr>
            <w:tcW w:w="100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Amendment 2007-1 to the Bank of Hawaii Corporation Executive Incentive Plan (incorporated by reference from Exhibit 10.16 to the 2007</w:t>
              </w:r>
            </w:hyperlink>
          </w:p>
        </w:tc>
        <w:tc>
          <w:tcPr>
            <w:tcW w:w="10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78">
              <w:r>
                <w:rPr>
                  <w:rFonts w:ascii="Times New Roman" w:cs="Times New Roman" w:eastAsia="Times New Roman" w:hAnsi="Times New Roman"/>
                  <w:sz w:val="18"/>
                  <w:szCs w:val="18"/>
                  <w:color w:val="0000EE"/>
                  <w:w w:val="95"/>
                </w:rPr>
                <w:t>10-K).*</w:t>
              </w:r>
            </w:hyperlink>
          </w:p>
        </w:tc>
        <w:tc>
          <w:tcPr>
            <w:tcW w:w="9600" w:type="dxa"/>
            <w:vAlign w:val="bottom"/>
            <w:gridSpan w:val="26"/>
          </w:tcPr>
          <w:p>
            <w:pPr>
              <w:spacing w:after="0"/>
              <w:rPr>
                <w:sz w:val="17"/>
                <w:szCs w:val="17"/>
                <w:color w:val="auto"/>
              </w:rPr>
            </w:pPr>
          </w:p>
        </w:tc>
      </w:tr>
      <w:tr>
        <w:trPr>
          <w:trHeight w:val="318"/>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10.10</w:t>
            </w:r>
          </w:p>
        </w:tc>
        <w:tc>
          <w:tcPr>
            <w:tcW w:w="95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Board Resolution for Amendment to the Restricted Stock and Option Awards under the Bank of Hawaii Corporation’s Amended and</w:t>
              </w:r>
            </w:hyperlink>
          </w:p>
        </w:tc>
        <w:tc>
          <w:tcPr>
            <w:tcW w:w="600" w:type="dxa"/>
            <w:vAlign w:val="bottom"/>
            <w:gridSpan w:val="1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9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Restated Director Stock Compensation Plan (incorporated by reference from Exhibit 10.1 to Bank of Hawaii Corporation’s Current Report</w:t>
              </w:r>
            </w:hyperlink>
          </w:p>
        </w:tc>
        <w:tc>
          <w:tcPr>
            <w:tcW w:w="18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28"/>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on Form 8-K, as filed on July 28, 2008).*</w:t>
              </w:r>
            </w:hyperlink>
          </w:p>
        </w:tc>
      </w:tr>
      <w:tr>
        <w:trPr>
          <w:trHeight w:val="20"/>
        </w:trPr>
        <w:tc>
          <w:tcPr>
            <w:tcW w:w="1080" w:type="dxa"/>
            <w:vAlign w:val="bottom"/>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4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Bank of Hawaii Corporation’s Amended and Restated Change-In-Control Retention Plan, (incorporated by reference from Exhibit 10.1 to</w:t>
              </w:r>
            </w:hyperlink>
          </w:p>
        </w:tc>
        <w:tc>
          <w:tcPr>
            <w:tcW w:w="24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Bank of Hawaii Corporation’s Current Report on Form 8-K, as filed on December 18, 2009).*</w:t>
              </w:r>
            </w:hyperlink>
          </w:p>
        </w:tc>
        <w:tc>
          <w:tcPr>
            <w:tcW w:w="3380" w:type="dxa"/>
            <w:vAlign w:val="bottom"/>
            <w:gridSpan w:val="17"/>
          </w:tcPr>
          <w:p>
            <w:pPr>
              <w:spacing w:after="0"/>
              <w:rPr>
                <w:sz w:val="17"/>
                <w:szCs w:val="17"/>
                <w:color w:val="auto"/>
              </w:rPr>
            </w:pPr>
          </w:p>
        </w:tc>
      </w:tr>
      <w:tr>
        <w:trPr>
          <w:trHeight w:val="318"/>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10.12</w:t>
            </w:r>
          </w:p>
        </w:tc>
        <w:tc>
          <w:tcPr>
            <w:tcW w:w="10160" w:type="dxa"/>
            <w:vAlign w:val="bottom"/>
            <w:gridSpan w:val="28"/>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Amendment 2010-1 to the Bank of Hawaii Corporation Executive Incentive Plan (incorporated by reference from Exhibit 10.1 to the Bank</w:t>
              </w:r>
            </w:hyperlink>
          </w:p>
        </w:tc>
      </w:tr>
      <w:tr>
        <w:trPr>
          <w:trHeight w:val="196"/>
        </w:trPr>
        <w:tc>
          <w:tcPr>
            <w:tcW w:w="1080" w:type="dxa"/>
            <w:vAlign w:val="bottom"/>
          </w:tcPr>
          <w:p>
            <w:pPr>
              <w:spacing w:after="0"/>
              <w:rPr>
                <w:sz w:val="17"/>
                <w:szCs w:val="17"/>
                <w:color w:val="auto"/>
              </w:rPr>
            </w:pPr>
          </w:p>
        </w:tc>
        <w:tc>
          <w:tcPr>
            <w:tcW w:w="99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of Hawaii Corporation’s Current Report on Form 8-K, as filed on July 26, 2010).*</w:t>
              </w:r>
            </w:hyperlink>
          </w:p>
        </w:tc>
        <w:tc>
          <w:tcPr>
            <w:tcW w:w="180" w:type="dxa"/>
            <w:vAlign w:val="bottom"/>
            <w:gridSpan w:val="3"/>
          </w:tcPr>
          <w:p>
            <w:pPr>
              <w:spacing w:after="0"/>
              <w:rPr>
                <w:sz w:val="17"/>
                <w:szCs w:val="17"/>
                <w:color w:val="auto"/>
              </w:rPr>
            </w:pPr>
          </w:p>
        </w:tc>
      </w:tr>
      <w:tr>
        <w:trPr>
          <w:trHeight w:val="574"/>
        </w:trPr>
        <w:tc>
          <w:tcPr>
            <w:tcW w:w="1080" w:type="dxa"/>
            <w:vAlign w:val="bottom"/>
          </w:tcPr>
          <w:p>
            <w:pPr>
              <w:spacing w:after="0"/>
              <w:rPr>
                <w:sz w:val="24"/>
                <w:szCs w:val="24"/>
                <w:color w:val="auto"/>
              </w:rPr>
            </w:pPr>
          </w:p>
        </w:tc>
        <w:tc>
          <w:tcPr>
            <w:tcW w:w="5100" w:type="dxa"/>
            <w:vAlign w:val="bottom"/>
            <w:tcBorders>
              <w:top w:val="single" w:sz="8" w:color="0000EE"/>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80" w:hanging="922"/>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84">
        <w:r>
          <w:rPr>
            <w:rFonts w:ascii="Times New Roman" w:cs="Times New Roman" w:eastAsia="Times New Roman" w:hAnsi="Times New Roman"/>
            <w:sz w:val="18"/>
            <w:szCs w:val="18"/>
            <w:u w:val="single" w:color="auto"/>
            <w:color w:val="0000EE"/>
          </w:rPr>
          <w:t>Bank of Hawaii Corporation’s 2004 Stock and Incentive Compensation Plan –Share Appreciation Replacement Program - 2011</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Nonqualified Stock Option Agreement (incorporated by reference from Bank of Hawaii Corporation’s Current Report on Form 8-K, as filed</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on November 22, 2011).*</w:t>
        </w:r>
      </w:hyperlink>
    </w:p>
    <w:p>
      <w:pPr>
        <w:spacing w:after="0" w:line="81" w:lineRule="exact"/>
        <w:rPr>
          <w:rFonts w:ascii="Times New Roman" w:cs="Times New Roman" w:eastAsia="Times New Roman" w:hAnsi="Times New Roman"/>
          <w:sz w:val="18"/>
          <w:szCs w:val="18"/>
          <w:u w:val="single" w:color="auto"/>
          <w:color w:val="0000EE"/>
        </w:rPr>
      </w:pPr>
    </w:p>
    <w:p>
      <w:pPr>
        <w:ind w:left="1080" w:right="140" w:hanging="921"/>
        <w:spacing w:after="0" w:line="266"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85">
        <w:r>
          <w:rPr>
            <w:rFonts w:ascii="Times New Roman" w:cs="Times New Roman" w:eastAsia="Times New Roman" w:hAnsi="Times New Roman"/>
            <w:sz w:val="18"/>
            <w:szCs w:val="18"/>
            <w:u w:val="single" w:color="auto"/>
            <w:color w:val="0000EE"/>
          </w:rPr>
          <w:t>Bank of Hawaii Corporation’s 2004 Stock and Incentive Compensation Plan - Form of 2012 Restricted Stock In Lieu Of Base Salary Grant</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Agreement (incorporated by reference from Exhibit 10.3 to Bank of Hawaii Corporation’s Current Report on Form 8-K, as filed on</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January 23, 2012).*</w:t>
        </w:r>
      </w:hyperlink>
    </w:p>
    <w:p>
      <w:pPr>
        <w:spacing w:after="0" w:line="81" w:lineRule="exact"/>
        <w:rPr>
          <w:rFonts w:ascii="Times New Roman" w:cs="Times New Roman" w:eastAsia="Times New Roman" w:hAnsi="Times New Roman"/>
          <w:sz w:val="18"/>
          <w:szCs w:val="18"/>
          <w:u w:val="single" w:color="auto"/>
          <w:color w:val="0000EE"/>
        </w:rPr>
      </w:pPr>
    </w:p>
    <w:p>
      <w:pPr>
        <w:ind w:left="1080" w:right="100" w:hanging="921"/>
        <w:spacing w:after="0" w:line="312" w:lineRule="auto"/>
        <w:tabs>
          <w:tab w:leader="none" w:pos="1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86">
        <w:r>
          <w:rPr>
            <w:rFonts w:ascii="Times New Roman" w:cs="Times New Roman" w:eastAsia="Times New Roman" w:hAnsi="Times New Roman"/>
            <w:sz w:val="17"/>
            <w:szCs w:val="17"/>
            <w:u w:val="single" w:color="auto"/>
            <w:color w:val="0000EE"/>
          </w:rPr>
          <w:t>Bank of Hawaii Corporation’s 2004 Stock and Incentive Compensation Plan – Form of 2012 Nonqualified Stock Option Grant Agreement</w:t>
        </w:r>
      </w:hyperlink>
      <w:r>
        <w:rPr>
          <w:rFonts w:ascii="Times New Roman" w:cs="Times New Roman" w:eastAsia="Times New Roman" w:hAnsi="Times New Roman"/>
          <w:sz w:val="17"/>
          <w:szCs w:val="17"/>
          <w:u w:val="single" w:color="auto"/>
          <w:color w:val="0000EE"/>
        </w:rPr>
        <w:t xml:space="preserve"> </w:t>
      </w:r>
      <w:hyperlink r:id="rId186">
        <w:r>
          <w:rPr>
            <w:rFonts w:ascii="Times New Roman" w:cs="Times New Roman" w:eastAsia="Times New Roman" w:hAnsi="Times New Roman"/>
            <w:sz w:val="17"/>
            <w:szCs w:val="17"/>
            <w:u w:val="single" w:color="auto"/>
            <w:color w:val="0000EE"/>
          </w:rPr>
          <w:t>(incorporated by reference from Exhibit 10.4 to Bank of Hawaii Corporation’s Current Report on Form 8-K, as filed on January 23, 2012).*</w:t>
        </w:r>
      </w:hyperlink>
    </w:p>
    <w:p>
      <w:pPr>
        <w:spacing w:after="0" w:line="45" w:lineRule="exact"/>
        <w:rPr>
          <w:sz w:val="20"/>
          <w:szCs w:val="20"/>
          <w:color w:val="auto"/>
        </w:rPr>
      </w:pPr>
    </w:p>
    <w:p>
      <w:pPr>
        <w:ind w:left="160"/>
        <w:spacing w:after="0"/>
        <w:tabs>
          <w:tab w:leader="none" w:pos="1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87">
        <w:r>
          <w:rPr>
            <w:rFonts w:ascii="Times New Roman" w:cs="Times New Roman" w:eastAsia="Times New Roman" w:hAnsi="Times New Roman"/>
            <w:sz w:val="17"/>
            <w:szCs w:val="17"/>
            <w:u w:val="single" w:color="auto"/>
            <w:color w:val="0000EE"/>
          </w:rPr>
          <w:t>Bank of Hawaii Corporation’s 2004 Stock and Incentive Compensation Plan - Form of 2014 Restricted Stock Grant Agreement - Ho, Biggs</w:t>
        </w:r>
      </w:hyperlink>
    </w:p>
    <w:p>
      <w:pPr>
        <w:spacing w:after="0" w:line="27" w:lineRule="exact"/>
        <w:rPr>
          <w:sz w:val="20"/>
          <w:szCs w:val="20"/>
          <w:color w:val="auto"/>
        </w:rPr>
      </w:pPr>
    </w:p>
    <w:p>
      <w:pPr>
        <w:ind w:left="1080" w:right="240" w:hanging="6"/>
        <w:spacing w:after="0" w:line="260" w:lineRule="auto"/>
        <w:tabs>
          <w:tab w:leader="none" w:pos="1265" w:val="left"/>
        </w:tabs>
        <w:numPr>
          <w:ilvl w:val="0"/>
          <w:numId w:val="64"/>
        </w:numPr>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Sellers (incorporated by reference from Exhibit 10.1 to Bank of Hawaii Corporation’s Current Report on Form 8-K, as filed on January</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29, 2014).*</w:t>
        </w:r>
      </w:hyperlink>
    </w:p>
    <w:p>
      <w:pPr>
        <w:spacing w:after="0" w:line="74"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10.17</w:t>
            </w:r>
          </w:p>
        </w:tc>
        <w:tc>
          <w:tcPr>
            <w:tcW w:w="100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Bank of Hawaii Corporation’s 2004 Stock and Incentive Compensation Plan - Form of 2014 Restricted Stock Grant Agreement - Lucien &amp;</w:t>
              </w:r>
            </w:hyperlink>
          </w:p>
        </w:tc>
        <w:tc>
          <w:tcPr>
            <w:tcW w:w="14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Rossi (incorporated by reference from Exhibit 10.2 to Bank of Hawaii Corporation’s Current Report on Form 8-K, as filed on January 29,</w:t>
              </w:r>
            </w:hyperlink>
          </w:p>
        </w:tc>
      </w:tr>
      <w:tr>
        <w:trPr>
          <w:trHeight w:val="196"/>
        </w:trPr>
        <w:tc>
          <w:tcPr>
            <w:tcW w:w="108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88">
              <w:r>
                <w:rPr>
                  <w:rFonts w:ascii="Times New Roman" w:cs="Times New Roman" w:eastAsia="Times New Roman" w:hAnsi="Times New Roman"/>
                  <w:sz w:val="18"/>
                  <w:szCs w:val="18"/>
                  <w:color w:val="0000EE"/>
                  <w:w w:val="97"/>
                </w:rPr>
                <w:t>2014).*</w:t>
              </w:r>
            </w:hyperlink>
          </w:p>
        </w:tc>
        <w:tc>
          <w:tcPr>
            <w:tcW w:w="860" w:type="dxa"/>
            <w:vAlign w:val="bottom"/>
            <w:tcBorders>
              <w:top w:val="single" w:sz="8" w:color="0000EE"/>
            </w:tcBorders>
          </w:tcPr>
          <w:p>
            <w:pPr>
              <w:spacing w:after="0"/>
              <w:rPr>
                <w:sz w:val="17"/>
                <w:szCs w:val="17"/>
                <w:color w:val="auto"/>
              </w:rPr>
            </w:pPr>
          </w:p>
        </w:tc>
        <w:tc>
          <w:tcPr>
            <w:tcW w:w="8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10.18</w:t>
            </w:r>
          </w:p>
        </w:tc>
        <w:tc>
          <w:tcPr>
            <w:tcW w:w="100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Bank of Hawaii Corporation’s 2004 Stock and Incentive Compensation Plan - Form of 2014 Restricted Stock Unit Grant Agreement - Ho,</w:t>
              </w:r>
            </w:hyperlink>
          </w:p>
        </w:tc>
        <w:tc>
          <w:tcPr>
            <w:tcW w:w="16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Biggs &amp; Sellers (incorporated by reference from Exhibit 10.3 to Bank of Hawaii Corporation’s Current Report on Form 8-K, as filed on</w:t>
              </w:r>
            </w:hyperlink>
          </w:p>
        </w:tc>
        <w:tc>
          <w:tcPr>
            <w:tcW w:w="38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January 29, 2014).*</w:t>
              </w:r>
            </w:hyperlink>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7"/>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10.19</w:t>
            </w:r>
          </w:p>
        </w:tc>
        <w:tc>
          <w:tcPr>
            <w:tcW w:w="96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Bank of Hawaii Corporation’s 2004 Stock and Incentive Compensation Plan - Form of 2014 Restricted Stock Unit Grant Agreement -</w:t>
              </w:r>
            </w:hyperlink>
          </w:p>
        </w:tc>
        <w:tc>
          <w:tcPr>
            <w:tcW w:w="500" w:type="dxa"/>
            <w:vAlign w:val="bottom"/>
            <w:gridSpan w:val="1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Lucien &amp; Rossi (incorporated by reference from Exhibit 10.4 to Bank of Hawaii Corporation’s Current Report on Form 8-K, as filed on</w:t>
              </w:r>
            </w:hyperlink>
          </w:p>
        </w:tc>
        <w:tc>
          <w:tcPr>
            <w:tcW w:w="38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January 29, 2014).*</w:t>
              </w:r>
            </w:hyperlink>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10.20</w:t>
            </w:r>
          </w:p>
        </w:tc>
        <w:tc>
          <w:tcPr>
            <w:tcW w:w="96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Bank of Hawaii Corporation’s 2004 Stock and Incentive Compensation Plan - Form of Special Incentive Agreement - Rossi &amp; Sellers</w:t>
              </w:r>
            </w:hyperlink>
          </w:p>
        </w:tc>
        <w:tc>
          <w:tcPr>
            <w:tcW w:w="520" w:type="dxa"/>
            <w:vAlign w:val="bottom"/>
            <w:gridSpan w:val="13"/>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160" w:type="dxa"/>
            <w:vAlign w:val="bottom"/>
            <w:gridSpan w:val="18"/>
          </w:tcPr>
          <w:p>
            <w:pPr>
              <w:spacing w:after="0"/>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(incorporated by reference from Exhibit 10.5 to Bank of Hawaii Corporation’s Current Report on Form 8-K, as filed on January 29, 2014).*</w:t>
              </w:r>
            </w:hyperlink>
          </w:p>
        </w:tc>
      </w:tr>
      <w:tr>
        <w:trPr>
          <w:trHeight w:val="297"/>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10.21</w:t>
            </w:r>
          </w:p>
        </w:tc>
        <w:tc>
          <w:tcPr>
            <w:tcW w:w="10160" w:type="dxa"/>
            <w:vAlign w:val="bottom"/>
            <w:gridSpan w:val="18"/>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Bank of Hawaii Corporation’s 2014 Stock and Incentive Plan (incorporated by reference from Appendix A to Bank of Hawaii Corporation’s</w:t>
              </w:r>
            </w:hyperlink>
          </w:p>
        </w:tc>
      </w:tr>
      <w:tr>
        <w:trPr>
          <w:trHeight w:val="237"/>
        </w:trPr>
        <w:tc>
          <w:tcPr>
            <w:tcW w:w="1080" w:type="dxa"/>
            <w:vAlign w:val="bottom"/>
          </w:tcPr>
          <w:p>
            <w:pPr>
              <w:spacing w:after="0"/>
              <w:rPr>
                <w:sz w:val="20"/>
                <w:szCs w:val="20"/>
                <w:color w:val="auto"/>
              </w:rPr>
            </w:pPr>
          </w:p>
        </w:tc>
        <w:tc>
          <w:tcPr>
            <w:tcW w:w="10080" w:type="dxa"/>
            <w:vAlign w:val="bottom"/>
            <w:tcBorders>
              <w:top w:val="single" w:sz="8" w:color="0000EE"/>
            </w:tcBorders>
            <w:gridSpan w:val="17"/>
          </w:tcPr>
          <w:p>
            <w:pPr>
              <w:spacing w:after="0"/>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Definitive Proxy Statement on Schedule 14A for the 2014 Annual Meeting of Shareholders, as filed on March 14, 2014).*</w:t>
              </w:r>
            </w:hyperlink>
          </w:p>
        </w:tc>
        <w:tc>
          <w:tcPr>
            <w:tcW w:w="80" w:type="dxa"/>
            <w:vAlign w:val="bottom"/>
          </w:tcPr>
          <w:p>
            <w:pPr>
              <w:spacing w:after="0"/>
              <w:rPr>
                <w:sz w:val="20"/>
                <w:szCs w:val="20"/>
                <w:color w:val="auto"/>
              </w:rPr>
            </w:pPr>
          </w:p>
        </w:tc>
      </w:tr>
      <w:tr>
        <w:trPr>
          <w:trHeight w:val="297"/>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10.22</w:t>
            </w:r>
          </w:p>
        </w:tc>
        <w:tc>
          <w:tcPr>
            <w:tcW w:w="10160" w:type="dxa"/>
            <w:vAlign w:val="bottom"/>
            <w:gridSpan w:val="18"/>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Bank of Hawaii Corporation’s 2014 Stock and Incentive Plan - Form of 2015 Restricted Stock Grant Agreement - (incorporated by</w:t>
              </w:r>
            </w:hyperlink>
          </w:p>
        </w:tc>
      </w:tr>
      <w:tr>
        <w:trPr>
          <w:trHeight w:val="237"/>
        </w:trPr>
        <w:tc>
          <w:tcPr>
            <w:tcW w:w="1080" w:type="dxa"/>
            <w:vAlign w:val="bottom"/>
          </w:tcPr>
          <w:p>
            <w:pPr>
              <w:spacing w:after="0"/>
              <w:rPr>
                <w:sz w:val="20"/>
                <w:szCs w:val="20"/>
                <w:color w:val="auto"/>
              </w:rPr>
            </w:pPr>
          </w:p>
        </w:tc>
        <w:tc>
          <w:tcPr>
            <w:tcW w:w="942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reference from Exhibit 10.1 to Bank of Hawaii Corporation’s Current Report on Form 8-K, as filed on January 28, 2015).*</w:t>
              </w:r>
            </w:hyperlink>
          </w:p>
        </w:tc>
        <w:tc>
          <w:tcPr>
            <w:tcW w:w="740" w:type="dxa"/>
            <w:vAlign w:val="bottom"/>
            <w:gridSpan w:val="14"/>
          </w:tcPr>
          <w:p>
            <w:pPr>
              <w:spacing w:after="0"/>
              <w:rPr>
                <w:sz w:val="20"/>
                <w:szCs w:val="20"/>
                <w:color w:val="auto"/>
              </w:rPr>
            </w:pPr>
          </w:p>
        </w:tc>
      </w:tr>
      <w:tr>
        <w:trPr>
          <w:trHeight w:val="297"/>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10.23</w:t>
            </w:r>
          </w:p>
        </w:tc>
        <w:tc>
          <w:tcPr>
            <w:tcW w:w="10160" w:type="dxa"/>
            <w:vAlign w:val="bottom"/>
            <w:gridSpan w:val="18"/>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Bank of Hawaii Corporation’s 2014 Stock and Incentive Plan - Form of 2015 Restricted Stock Unit Grant Agreement - (incorporated by</w:t>
              </w:r>
            </w:hyperlink>
          </w:p>
        </w:tc>
      </w:tr>
      <w:tr>
        <w:trPr>
          <w:trHeight w:val="237"/>
        </w:trPr>
        <w:tc>
          <w:tcPr>
            <w:tcW w:w="1080" w:type="dxa"/>
            <w:vAlign w:val="bottom"/>
          </w:tcPr>
          <w:p>
            <w:pPr>
              <w:spacing w:after="0"/>
              <w:rPr>
                <w:sz w:val="20"/>
                <w:szCs w:val="20"/>
                <w:color w:val="auto"/>
              </w:rPr>
            </w:pPr>
          </w:p>
        </w:tc>
        <w:tc>
          <w:tcPr>
            <w:tcW w:w="9780" w:type="dxa"/>
            <w:vAlign w:val="bottom"/>
            <w:tcBorders>
              <w:top w:val="single" w:sz="8" w:color="0000EE"/>
            </w:tcBorders>
            <w:gridSpan w:val="10"/>
          </w:tcPr>
          <w:p>
            <w:pPr>
              <w:spacing w:after="0"/>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reference from Exhibit 10.2 to Bank of Hawaii Corporation’s Current Report on Form 8-K, as filed on January 28, 2015).*</w:t>
              </w:r>
            </w:hyperlink>
          </w:p>
        </w:tc>
        <w:tc>
          <w:tcPr>
            <w:tcW w:w="380" w:type="dxa"/>
            <w:vAlign w:val="bottom"/>
            <w:gridSpan w:val="8"/>
          </w:tcPr>
          <w:p>
            <w:pPr>
              <w:spacing w:after="0"/>
              <w:rPr>
                <w:sz w:val="20"/>
                <w:szCs w:val="20"/>
                <w:color w:val="auto"/>
              </w:rPr>
            </w:pPr>
          </w:p>
        </w:tc>
      </w:tr>
      <w:tr>
        <w:trPr>
          <w:trHeight w:val="297"/>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10.24</w:t>
            </w:r>
          </w:p>
        </w:tc>
        <w:tc>
          <w:tcPr>
            <w:tcW w:w="97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Bank of Hawaii Corporation’s 2015 Director Stock Compensation Plan (incorporated by reference from Appendix A to Bank of Hawaii</w:t>
              </w:r>
            </w:hyperlink>
          </w:p>
        </w:tc>
        <w:tc>
          <w:tcPr>
            <w:tcW w:w="400" w:type="dxa"/>
            <w:vAlign w:val="bottom"/>
            <w:gridSpan w:val="9"/>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160" w:type="dxa"/>
            <w:vAlign w:val="bottom"/>
            <w:gridSpan w:val="18"/>
          </w:tcPr>
          <w:p>
            <w:pPr>
              <w:spacing w:after="0"/>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Corporation’s Definitive Proxy Statement on Schedule 14A for the 2015 Annual Meeting of Shareholders filed on March 13, 2015).*</w:t>
              </w:r>
            </w:hyperlink>
          </w:p>
        </w:tc>
      </w:tr>
      <w:tr>
        <w:trPr>
          <w:trHeight w:val="297"/>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10.25</w:t>
            </w:r>
          </w:p>
        </w:tc>
        <w:tc>
          <w:tcPr>
            <w:tcW w:w="100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Bank of Hawaii Corporation’s 2014 Stock and Incentive Plan - Form of 2016 Restricted Stock Grant Agreement (incorporated by reference</w:t>
              </w:r>
            </w:hyperlink>
          </w:p>
        </w:tc>
        <w:tc>
          <w:tcPr>
            <w:tcW w:w="120" w:type="dxa"/>
            <w:vAlign w:val="bottom"/>
            <w:gridSpan w:val="2"/>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160" w:type="dxa"/>
            <w:vAlign w:val="bottom"/>
            <w:gridSpan w:val="18"/>
          </w:tcPr>
          <w:p>
            <w:pPr>
              <w:spacing w:after="0"/>
              <w:rPr>
                <w:rFonts w:ascii="Times New Roman" w:cs="Times New Roman" w:eastAsia="Times New Roman" w:hAnsi="Times New Roman"/>
                <w:sz w:val="18"/>
                <w:szCs w:val="18"/>
                <w:u w:val="single" w:color="auto"/>
                <w:color w:val="0000EE"/>
              </w:rPr>
            </w:pPr>
            <w:hyperlink r:id="rId196">
              <w:r>
                <w:rPr>
                  <w:rFonts w:ascii="Times New Roman" w:cs="Times New Roman" w:eastAsia="Times New Roman" w:hAnsi="Times New Roman"/>
                  <w:sz w:val="18"/>
                  <w:szCs w:val="18"/>
                  <w:u w:val="single" w:color="auto"/>
                  <w:color w:val="0000EE"/>
                </w:rPr>
                <w:t>from Exhibit 10.30 to the Bank of Hawaii Corporation’s Annual Report on Form 10-K, as filed on February 29, 2016).*</w:t>
              </w:r>
            </w:hyperlink>
          </w:p>
        </w:tc>
      </w:tr>
      <w:tr>
        <w:trPr>
          <w:trHeight w:val="297"/>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10.26</w:t>
            </w:r>
          </w:p>
        </w:tc>
        <w:tc>
          <w:tcPr>
            <w:tcW w:w="10160" w:type="dxa"/>
            <w:vAlign w:val="bottom"/>
            <w:gridSpan w:val="18"/>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Bank of Hawaii Corporation’s 2014 Stock and Incentive Plan - Form of 2016 Restricted Stock Unit Grant Agreement (incorporated by</w:t>
              </w:r>
            </w:hyperlink>
          </w:p>
        </w:tc>
      </w:tr>
      <w:tr>
        <w:trPr>
          <w:trHeight w:val="237"/>
        </w:trPr>
        <w:tc>
          <w:tcPr>
            <w:tcW w:w="1080" w:type="dxa"/>
            <w:vAlign w:val="bottom"/>
          </w:tcPr>
          <w:p>
            <w:pPr>
              <w:spacing w:after="0"/>
              <w:rPr>
                <w:sz w:val="20"/>
                <w:szCs w:val="20"/>
                <w:color w:val="auto"/>
              </w:rPr>
            </w:pPr>
          </w:p>
        </w:tc>
        <w:tc>
          <w:tcPr>
            <w:tcW w:w="9680" w:type="dxa"/>
            <w:vAlign w:val="bottom"/>
            <w:tcBorders>
              <w:top w:val="single" w:sz="8" w:color="0000EE"/>
            </w:tcBorders>
            <w:gridSpan w:val="7"/>
          </w:tcPr>
          <w:p>
            <w:pPr>
              <w:spacing w:after="0"/>
              <w:rPr>
                <w:rFonts w:ascii="Times New Roman" w:cs="Times New Roman" w:eastAsia="Times New Roman" w:hAnsi="Times New Roman"/>
                <w:sz w:val="18"/>
                <w:szCs w:val="18"/>
                <w:u w:val="single" w:color="auto"/>
                <w:color w:val="0000EE"/>
              </w:rPr>
            </w:pPr>
            <w:hyperlink r:id="rId197">
              <w:r>
                <w:rPr>
                  <w:rFonts w:ascii="Times New Roman" w:cs="Times New Roman" w:eastAsia="Times New Roman" w:hAnsi="Times New Roman"/>
                  <w:sz w:val="18"/>
                  <w:szCs w:val="18"/>
                  <w:u w:val="single" w:color="auto"/>
                  <w:color w:val="0000EE"/>
                </w:rPr>
                <w:t>reference from Exhibit 10.31 to the Bank of Hawaii Corporation’s Annual Report on Form 10-K, as filed on February 29, 2016).*</w:t>
              </w:r>
            </w:hyperlink>
          </w:p>
        </w:tc>
        <w:tc>
          <w:tcPr>
            <w:tcW w:w="480" w:type="dxa"/>
            <w:vAlign w:val="bottom"/>
            <w:gridSpan w:val="11"/>
          </w:tcPr>
          <w:p>
            <w:pPr>
              <w:spacing w:after="0"/>
              <w:rPr>
                <w:sz w:val="20"/>
                <w:szCs w:val="20"/>
                <w:color w:val="auto"/>
              </w:rPr>
            </w:pPr>
          </w:p>
        </w:tc>
      </w:tr>
      <w:tr>
        <w:trPr>
          <w:trHeight w:val="297"/>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10.27</w:t>
            </w:r>
          </w:p>
        </w:tc>
        <w:tc>
          <w:tcPr>
            <w:tcW w:w="10160" w:type="dxa"/>
            <w:vAlign w:val="bottom"/>
            <w:gridSpan w:val="18"/>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Bank of Hawaii Corporation’s 2004 Stock and Incentive Compensation Plan - Amendment of 2011 Nonqualified Stock Option Agreement</w:t>
              </w:r>
            </w:hyperlink>
          </w:p>
        </w:tc>
      </w:tr>
      <w:tr>
        <w:trPr>
          <w:trHeight w:val="196"/>
        </w:trPr>
        <w:tc>
          <w:tcPr>
            <w:tcW w:w="1080" w:type="dxa"/>
            <w:vAlign w:val="bottom"/>
          </w:tcPr>
          <w:p>
            <w:pPr>
              <w:spacing w:after="0"/>
              <w:rPr>
                <w:sz w:val="17"/>
                <w:szCs w:val="17"/>
                <w:color w:val="auto"/>
              </w:rPr>
            </w:pPr>
          </w:p>
        </w:tc>
        <w:tc>
          <w:tcPr>
            <w:tcW w:w="99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(incorporated by reference from Exhibit 10.1 to the Bank of Hawaii Corporation’s Quarterly Report on Form 10-Q, as filed on July 25,</w:t>
              </w:r>
            </w:hyperlink>
          </w:p>
        </w:tc>
        <w:tc>
          <w:tcPr>
            <w:tcW w:w="20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98">
              <w:r>
                <w:rPr>
                  <w:rFonts w:ascii="Times New Roman" w:cs="Times New Roman" w:eastAsia="Times New Roman" w:hAnsi="Times New Roman"/>
                  <w:sz w:val="18"/>
                  <w:szCs w:val="18"/>
                  <w:color w:val="0000EE"/>
                  <w:w w:val="97"/>
                </w:rPr>
                <w:t>2016).*</w:t>
              </w:r>
            </w:hyperlink>
          </w:p>
        </w:tc>
        <w:tc>
          <w:tcPr>
            <w:tcW w:w="860" w:type="dxa"/>
            <w:vAlign w:val="bottom"/>
            <w:tcBorders>
              <w:top w:val="single" w:sz="8" w:color="0000EE"/>
            </w:tcBorders>
          </w:tcPr>
          <w:p>
            <w:pPr>
              <w:spacing w:after="0"/>
              <w:rPr>
                <w:sz w:val="17"/>
                <w:szCs w:val="17"/>
                <w:color w:val="auto"/>
              </w:rPr>
            </w:pPr>
          </w:p>
        </w:tc>
        <w:tc>
          <w:tcPr>
            <w:tcW w:w="8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10.28</w:t>
            </w:r>
          </w:p>
        </w:tc>
        <w:tc>
          <w:tcPr>
            <w:tcW w:w="99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Bank of Hawaii Corporation’s 2004 Stock and Incentive Compensation Plan - Amendment of 2012 Nonqualified Stock Option Agreement</w:t>
              </w:r>
            </w:hyperlink>
          </w:p>
        </w:tc>
        <w:tc>
          <w:tcPr>
            <w:tcW w:w="18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18"/>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(incorporated by reference from Exhibit 10.2 to the Bank of Hawaii Corporation’s Quarterly Report on Form 10-Q, as filed on July 25,</w:t>
              </w:r>
            </w:hyperlink>
          </w:p>
        </w:tc>
      </w:tr>
      <w:tr>
        <w:trPr>
          <w:trHeight w:val="196"/>
        </w:trPr>
        <w:tc>
          <w:tcPr>
            <w:tcW w:w="108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99">
              <w:r>
                <w:rPr>
                  <w:rFonts w:ascii="Times New Roman" w:cs="Times New Roman" w:eastAsia="Times New Roman" w:hAnsi="Times New Roman"/>
                  <w:sz w:val="18"/>
                  <w:szCs w:val="18"/>
                  <w:color w:val="0000EE"/>
                  <w:w w:val="93"/>
                </w:rPr>
                <w:t>2016).*</w:t>
              </w:r>
            </w:hyperlink>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74"/>
        </w:trPr>
        <w:tc>
          <w:tcPr>
            <w:tcW w:w="1080" w:type="dxa"/>
            <w:vAlign w:val="bottom"/>
          </w:tcPr>
          <w:p>
            <w:pPr>
              <w:spacing w:after="0"/>
              <w:rPr>
                <w:sz w:val="24"/>
                <w:szCs w:val="24"/>
                <w:color w:val="auto"/>
              </w:rPr>
            </w:pPr>
          </w:p>
        </w:tc>
        <w:tc>
          <w:tcPr>
            <w:tcW w:w="9420" w:type="dxa"/>
            <w:vAlign w:val="bottom"/>
            <w:gridSpan w:val="4"/>
          </w:tcPr>
          <w:p>
            <w:pPr>
              <w:ind w:left="440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0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Bank of Hawaii Corporation’s 2014 Stock and Incentive Plan - Form of 2017 Restricted Stock Grant Agreement (incorporated by reference</w:t>
              </w:r>
            </w:hyperlink>
          </w:p>
        </w:tc>
        <w:tc>
          <w:tcPr>
            <w:tcW w:w="20" w:type="dxa"/>
            <w:vAlign w:val="bottom"/>
          </w:tcPr>
          <w:p>
            <w:pPr>
              <w:spacing w:after="0"/>
              <w:rPr>
                <w:sz w:val="17"/>
                <w:szCs w:val="17"/>
                <w:color w:val="auto"/>
              </w:rPr>
            </w:pPr>
          </w:p>
        </w:tc>
      </w:tr>
      <w:tr>
        <w:trPr>
          <w:trHeight w:val="237"/>
        </w:trPr>
        <w:tc>
          <w:tcPr>
            <w:tcW w:w="920" w:type="dxa"/>
            <w:vAlign w:val="bottom"/>
          </w:tcPr>
          <w:p>
            <w:pPr>
              <w:spacing w:after="0"/>
              <w:rPr>
                <w:sz w:val="20"/>
                <w:szCs w:val="20"/>
                <w:color w:val="auto"/>
              </w:rPr>
            </w:pPr>
          </w:p>
        </w:tc>
        <w:tc>
          <w:tcPr>
            <w:tcW w:w="10060" w:type="dxa"/>
            <w:vAlign w:val="bottom"/>
            <w:gridSpan w:val="9"/>
          </w:tcPr>
          <w:p>
            <w:pPr>
              <w:spacing w:after="0"/>
              <w:rPr>
                <w:rFonts w:ascii="Times New Roman" w:cs="Times New Roman" w:eastAsia="Times New Roman" w:hAnsi="Times New Roman"/>
                <w:sz w:val="18"/>
                <w:szCs w:val="18"/>
                <w:u w:val="single" w:color="auto"/>
                <w:color w:val="0000EE"/>
              </w:rPr>
            </w:pPr>
            <w:hyperlink r:id="rId202">
              <w:r>
                <w:rPr>
                  <w:rFonts w:ascii="Times New Roman" w:cs="Times New Roman" w:eastAsia="Times New Roman" w:hAnsi="Times New Roman"/>
                  <w:sz w:val="18"/>
                  <w:szCs w:val="18"/>
                  <w:u w:val="single" w:color="auto"/>
                  <w:color w:val="0000EE"/>
                </w:rPr>
                <w:t>from Exhibit 10.1 to the Bank of Hawaii corporation’s Current Report on Form 8-K, as filed on February 27, 2017)*</w:t>
              </w:r>
            </w:hyperlink>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060" w:type="dxa"/>
            <w:vAlign w:val="bottom"/>
            <w:gridSpan w:val="9"/>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Amendment to Bank of Hawaii Corporation’s 2014 Stock and Incentive Plan (incorporated by reference from Appendix A to Bank of</w:t>
              </w:r>
            </w:hyperlink>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9"/>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Hawaii Corporation’s Definitive Proxy Statement on Schedule 14A for the 2017 Annual Meeting of Shareholders, as filed on March 17,</w:t>
              </w:r>
            </w:hyperlink>
          </w:p>
        </w:tc>
      </w:tr>
      <w:tr>
        <w:trPr>
          <w:trHeight w:val="196"/>
        </w:trPr>
        <w:tc>
          <w:tcPr>
            <w:tcW w:w="9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203">
              <w:r>
                <w:rPr>
                  <w:rFonts w:ascii="Times New Roman" w:cs="Times New Roman" w:eastAsia="Times New Roman" w:hAnsi="Times New Roman"/>
                  <w:sz w:val="18"/>
                  <w:szCs w:val="18"/>
                  <w:color w:val="0000EE"/>
                  <w:w w:val="93"/>
                </w:rPr>
                <w:t>2017).*</w:t>
              </w:r>
            </w:hyperlink>
          </w:p>
        </w:tc>
        <w:tc>
          <w:tcPr>
            <w:tcW w:w="1200" w:type="dxa"/>
            <w:vAlign w:val="bottom"/>
            <w:tcBorders>
              <w:top w:val="single" w:sz="8" w:color="0000EE"/>
            </w:tcBorders>
          </w:tcPr>
          <w:p>
            <w:pPr>
              <w:spacing w:after="0"/>
              <w:rPr>
                <w:sz w:val="17"/>
                <w:szCs w:val="17"/>
                <w:color w:val="auto"/>
              </w:rPr>
            </w:pPr>
          </w:p>
        </w:tc>
        <w:tc>
          <w:tcPr>
            <w:tcW w:w="7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060" w:type="dxa"/>
            <w:vAlign w:val="bottom"/>
            <w:gridSpan w:val="9"/>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Bank of Hawaii Corporation’s 2014 Stock and Incentive Compensation Plan - Form of 2018 Restricted Stock Grant Agreement</w:t>
              </w:r>
            </w:hyperlink>
          </w:p>
        </w:tc>
      </w:tr>
      <w:tr>
        <w:trPr>
          <w:trHeight w:val="20"/>
        </w:trPr>
        <w:tc>
          <w:tcPr>
            <w:tcW w:w="9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9"/>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(incorporated by reference from Exhibit 10.1 to Bank of Hawaii Corporation’s Current Report on Form 8-K, as filed on February 26,</w:t>
              </w:r>
            </w:hyperlink>
          </w:p>
        </w:tc>
      </w:tr>
      <w:tr>
        <w:trPr>
          <w:trHeight w:val="196"/>
        </w:trPr>
        <w:tc>
          <w:tcPr>
            <w:tcW w:w="9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203">
              <w:r>
                <w:rPr>
                  <w:rFonts w:ascii="Times New Roman" w:cs="Times New Roman" w:eastAsia="Times New Roman" w:hAnsi="Times New Roman"/>
                  <w:sz w:val="18"/>
                  <w:szCs w:val="18"/>
                  <w:color w:val="0000EE"/>
                  <w:w w:val="93"/>
                </w:rPr>
                <w:t>2018).*</w:t>
              </w:r>
            </w:hyperlink>
          </w:p>
        </w:tc>
        <w:tc>
          <w:tcPr>
            <w:tcW w:w="1200" w:type="dxa"/>
            <w:vAlign w:val="bottom"/>
            <w:tcBorders>
              <w:top w:val="single" w:sz="8" w:color="0000EE"/>
            </w:tcBorders>
          </w:tcPr>
          <w:p>
            <w:pPr>
              <w:spacing w:after="0"/>
              <w:rPr>
                <w:sz w:val="17"/>
                <w:szCs w:val="17"/>
                <w:color w:val="auto"/>
              </w:rPr>
            </w:pPr>
          </w:p>
        </w:tc>
        <w:tc>
          <w:tcPr>
            <w:tcW w:w="7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060" w:type="dxa"/>
            <w:vAlign w:val="bottom"/>
            <w:gridSpan w:val="9"/>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Bank of Hawaii Corporation’s 2014 Stock and Incentive Compensation Plan - Form of 2019 Restricted Stock Grant Agreement</w:t>
              </w:r>
            </w:hyperlink>
          </w:p>
        </w:tc>
      </w:tr>
      <w:tr>
        <w:trPr>
          <w:trHeight w:val="20"/>
        </w:trPr>
        <w:tc>
          <w:tcPr>
            <w:tcW w:w="9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42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9"/>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(incorporated by reference from Exhibit 10.1 to Bank of Hawaii Corporation’s Current Report on Form 8-K, as filed on February 25,</w:t>
              </w:r>
            </w:hyperlink>
          </w:p>
        </w:tc>
      </w:tr>
      <w:tr>
        <w:trPr>
          <w:trHeight w:val="196"/>
        </w:trPr>
        <w:tc>
          <w:tcPr>
            <w:tcW w:w="9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204">
              <w:r>
                <w:rPr>
                  <w:rFonts w:ascii="Times New Roman" w:cs="Times New Roman" w:eastAsia="Times New Roman" w:hAnsi="Times New Roman"/>
                  <w:sz w:val="18"/>
                  <w:szCs w:val="18"/>
                  <w:color w:val="0000EE"/>
                  <w:w w:val="93"/>
                </w:rPr>
                <w:t>2019).*</w:t>
              </w:r>
            </w:hyperlink>
          </w:p>
        </w:tc>
        <w:tc>
          <w:tcPr>
            <w:tcW w:w="1200" w:type="dxa"/>
            <w:vAlign w:val="bottom"/>
            <w:tcBorders>
              <w:top w:val="single" w:sz="8" w:color="0000EE"/>
            </w:tcBorders>
          </w:tcPr>
          <w:p>
            <w:pPr>
              <w:spacing w:after="0"/>
              <w:rPr>
                <w:sz w:val="17"/>
                <w:szCs w:val="17"/>
                <w:color w:val="auto"/>
              </w:rPr>
            </w:pPr>
          </w:p>
        </w:tc>
        <w:tc>
          <w:tcPr>
            <w:tcW w:w="7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060" w:type="dxa"/>
            <w:vAlign w:val="bottom"/>
            <w:gridSpan w:val="9"/>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Bank of Hawaii Corporation’s 2014 Stock and Incentive Compensation Plan - Form of 2020 Restricted Stock Grant Agreement</w:t>
              </w:r>
            </w:hyperlink>
          </w:p>
        </w:tc>
      </w:tr>
      <w:tr>
        <w:trPr>
          <w:trHeight w:val="20"/>
        </w:trPr>
        <w:tc>
          <w:tcPr>
            <w:tcW w:w="9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42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9"/>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(incorporated by reference from Exhibit 10.1 to Bank of Hawaii Corporation’s Current Report on Form 8-K, as filed on February 24,</w:t>
              </w:r>
            </w:hyperlink>
          </w:p>
        </w:tc>
      </w:tr>
      <w:tr>
        <w:trPr>
          <w:trHeight w:val="196"/>
        </w:trPr>
        <w:tc>
          <w:tcPr>
            <w:tcW w:w="9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205">
              <w:r>
                <w:rPr>
                  <w:rFonts w:ascii="Times New Roman" w:cs="Times New Roman" w:eastAsia="Times New Roman" w:hAnsi="Times New Roman"/>
                  <w:sz w:val="18"/>
                  <w:szCs w:val="18"/>
                  <w:color w:val="0000EE"/>
                  <w:w w:val="93"/>
                </w:rPr>
                <w:t>2020).*</w:t>
              </w:r>
            </w:hyperlink>
          </w:p>
        </w:tc>
        <w:tc>
          <w:tcPr>
            <w:tcW w:w="1200" w:type="dxa"/>
            <w:vAlign w:val="bottom"/>
            <w:tcBorders>
              <w:top w:val="single" w:sz="8" w:color="0000EE"/>
            </w:tcBorders>
          </w:tcPr>
          <w:p>
            <w:pPr>
              <w:spacing w:after="0"/>
              <w:rPr>
                <w:sz w:val="17"/>
                <w:szCs w:val="17"/>
                <w:color w:val="auto"/>
              </w:rPr>
            </w:pPr>
          </w:p>
        </w:tc>
        <w:tc>
          <w:tcPr>
            <w:tcW w:w="7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060" w:type="dxa"/>
            <w:vAlign w:val="bottom"/>
            <w:gridSpan w:val="9"/>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Bank of Hawaii Corporation’s 2014 Stock and Incentive Compensation Plan - Form of 2020 Restricted Stock Grant Agreement (Service-</w:t>
              </w:r>
            </w:hyperlink>
          </w:p>
        </w:tc>
      </w:tr>
      <w:tr>
        <w:trPr>
          <w:trHeight w:val="20"/>
        </w:trPr>
        <w:tc>
          <w:tcPr>
            <w:tcW w:w="9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81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Based)(incorporated by reference from Exhibit 10.1 to Bank of Hawaii Corporation’s Current Report on Form 8-K, as filed on February 22,</w:t>
              </w:r>
            </w:hyperlink>
          </w:p>
        </w:tc>
      </w:tr>
      <w:tr>
        <w:trPr>
          <w:trHeight w:val="196"/>
        </w:trPr>
        <w:tc>
          <w:tcPr>
            <w:tcW w:w="9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206">
              <w:r>
                <w:rPr>
                  <w:rFonts w:ascii="Times New Roman" w:cs="Times New Roman" w:eastAsia="Times New Roman" w:hAnsi="Times New Roman"/>
                  <w:sz w:val="18"/>
                  <w:szCs w:val="18"/>
                  <w:color w:val="0000EE"/>
                  <w:w w:val="93"/>
                </w:rPr>
                <w:t>2021).*</w:t>
              </w:r>
            </w:hyperlink>
          </w:p>
        </w:tc>
        <w:tc>
          <w:tcPr>
            <w:tcW w:w="120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060" w:type="dxa"/>
            <w:vAlign w:val="bottom"/>
            <w:gridSpan w:val="9"/>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Bank of Hawaii Corporation’s 2014 Stock and Incentive Compensation Plan - Form of 2020 Restricted Stock Grant Agreement</w:t>
              </w:r>
            </w:hyperlink>
          </w:p>
        </w:tc>
      </w:tr>
      <w:tr>
        <w:trPr>
          <w:trHeight w:val="20"/>
        </w:trPr>
        <w:tc>
          <w:tcPr>
            <w:tcW w:w="9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420" w:type="dxa"/>
            <w:vAlign w:val="bottom"/>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(Performance Based) (incorporated by reference from Exhibit 10.2 to Bank of Hawaii Corporation’s Current Report on Form 8-K, as filed</w:t>
              </w:r>
            </w:hyperlink>
          </w:p>
        </w:tc>
        <w:tc>
          <w:tcPr>
            <w:tcW w:w="12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07">
              <w:r>
                <w:rPr>
                  <w:rFonts w:ascii="Times New Roman" w:cs="Times New Roman" w:eastAsia="Times New Roman" w:hAnsi="Times New Roman"/>
                  <w:sz w:val="18"/>
                  <w:szCs w:val="18"/>
                  <w:color w:val="0000EE"/>
                  <w:w w:val="98"/>
                </w:rPr>
                <w:t>on February 22, 2021).*</w:t>
              </w:r>
            </w:hyperlink>
          </w:p>
        </w:tc>
        <w:tc>
          <w:tcPr>
            <w:tcW w:w="8320" w:type="dxa"/>
            <w:vAlign w:val="bottom"/>
            <w:gridSpan w:val="7"/>
          </w:tcPr>
          <w:p>
            <w:pPr>
              <w:spacing w:after="0"/>
              <w:rPr>
                <w:sz w:val="17"/>
                <w:szCs w:val="17"/>
                <w:color w:val="auto"/>
              </w:rPr>
            </w:pPr>
          </w:p>
        </w:tc>
      </w:tr>
      <w:tr>
        <w:trPr>
          <w:trHeight w:val="35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60" w:type="dxa"/>
            <w:vAlign w:val="bottom"/>
            <w:gridSpan w:val="9"/>
          </w:tcPr>
          <w:p>
            <w:pPr>
              <w:spacing w:after="0"/>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Subsidiaries of the Registrant.</w:t>
              </w:r>
            </w:hyperlink>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60" w:type="dxa"/>
            <w:vAlign w:val="bottom"/>
            <w:gridSpan w:val="9"/>
          </w:tcPr>
          <w:p>
            <w:pPr>
              <w:spacing w:after="0"/>
              <w:rPr>
                <w:rFonts w:ascii="Times New Roman" w:cs="Times New Roman" w:eastAsia="Times New Roman" w:hAnsi="Times New Roman"/>
                <w:sz w:val="18"/>
                <w:szCs w:val="18"/>
                <w:u w:val="single" w:color="auto"/>
                <w:color w:val="0000EE"/>
              </w:rPr>
            </w:pPr>
            <w:hyperlink w:anchor="page144">
              <w:r>
                <w:rPr>
                  <w:rFonts w:ascii="Times New Roman" w:cs="Times New Roman" w:eastAsia="Times New Roman" w:hAnsi="Times New Roman"/>
                  <w:sz w:val="18"/>
                  <w:szCs w:val="18"/>
                  <w:u w:val="single" w:color="auto"/>
                  <w:color w:val="0000EE"/>
                </w:rPr>
                <w:t>Consent of Independent Registered Public Accounting Firm.</w:t>
              </w:r>
            </w:hyperlink>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60" w:type="dxa"/>
            <w:vAlign w:val="bottom"/>
            <w:gridSpan w:val="9"/>
          </w:tcPr>
          <w:p>
            <w:pPr>
              <w:spacing w:after="0"/>
              <w:rPr>
                <w:rFonts w:ascii="Times New Roman" w:cs="Times New Roman" w:eastAsia="Times New Roman" w:hAnsi="Times New Roman"/>
                <w:sz w:val="18"/>
                <w:szCs w:val="18"/>
                <w:u w:val="single" w:color="auto"/>
                <w:color w:val="0000EE"/>
              </w:rPr>
            </w:pPr>
            <w:hyperlink w:anchor="page145">
              <w:r>
                <w:rPr>
                  <w:rFonts w:ascii="Times New Roman" w:cs="Times New Roman" w:eastAsia="Times New Roman" w:hAnsi="Times New Roman"/>
                  <w:sz w:val="18"/>
                  <w:szCs w:val="18"/>
                  <w:u w:val="single" w:color="auto"/>
                  <w:color w:val="0000EE"/>
                </w:rPr>
                <w:t>Certification on Chief Executive Officer Pursuant to Rule 13a-14(a) Under the Securities Exchange Act of 1934.</w:t>
              </w:r>
            </w:hyperlink>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60" w:type="dxa"/>
            <w:vAlign w:val="bottom"/>
            <w:gridSpan w:val="9"/>
          </w:tcPr>
          <w:p>
            <w:pPr>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Certification of Chief Financial Officer Pursuant to Rule 13a-14(a) Under the Securities Exchange Act of 1934.</w:t>
              </w:r>
            </w:hyperlink>
          </w:p>
        </w:tc>
      </w:tr>
    </w:tbl>
    <w:p>
      <w:pPr>
        <w:spacing w:after="0" w:line="103" w:lineRule="exact"/>
        <w:rPr>
          <w:sz w:val="20"/>
          <w:szCs w:val="20"/>
          <w:color w:val="auto"/>
        </w:rPr>
      </w:pPr>
    </w:p>
    <w:p>
      <w:pPr>
        <w:ind w:left="1080" w:hanging="928"/>
        <w:spacing w:after="0" w:line="282" w:lineRule="auto"/>
        <w:tabs>
          <w:tab w:leader="none" w:pos="1080" w:val="left"/>
        </w:tabs>
        <w:numPr>
          <w:ilvl w:val="0"/>
          <w:numId w:val="65"/>
        </w:numPr>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Certification of Chief Executive Officer and Chief Financial Officer Pursuant to 18 U.S.C. Section 1350, as adopted Pursuant to Section 906</w:t>
        </w:r>
      </w:hyperlink>
      <w:r>
        <w:rPr>
          <w:rFonts w:ascii="Times New Roman" w:cs="Times New Roman" w:eastAsia="Times New Roman" w:hAnsi="Times New Roman"/>
          <w:sz w:val="18"/>
          <w:szCs w:val="18"/>
          <w:u w:val="single" w:color="auto"/>
          <w:color w:val="0000EE"/>
        </w:rPr>
        <w:t xml:space="preserve"> </w:t>
      </w:r>
      <w:hyperlink w:anchor="page147">
        <w:r>
          <w:rPr>
            <w:rFonts w:ascii="Times New Roman" w:cs="Times New Roman" w:eastAsia="Times New Roman" w:hAnsi="Times New Roman"/>
            <w:sz w:val="18"/>
            <w:szCs w:val="18"/>
            <w:u w:val="single" w:color="auto"/>
            <w:color w:val="0000EE"/>
          </w:rPr>
          <w:t>of the Sarbanes-Oxley Act of 2002.</w:t>
        </w:r>
      </w:hyperlink>
    </w:p>
    <w:p>
      <w:pPr>
        <w:spacing w:after="0" w:line="67" w:lineRule="exact"/>
        <w:rPr>
          <w:rFonts w:ascii="Times New Roman" w:cs="Times New Roman" w:eastAsia="Times New Roman" w:hAnsi="Times New Roman"/>
          <w:sz w:val="18"/>
          <w:szCs w:val="18"/>
          <w:color w:val="auto"/>
        </w:rPr>
      </w:pPr>
    </w:p>
    <w:tbl>
      <w:tblPr>
        <w:tblLayout w:type="fixed"/>
        <w:tblInd w:w="6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w:t>
            </w:r>
          </w:p>
        </w:tc>
      </w:tr>
      <w:tr>
        <w:trPr>
          <w:trHeight w:val="234"/>
        </w:trPr>
        <w:tc>
          <w:tcPr>
            <w:tcW w:w="840" w:type="dxa"/>
            <w:vAlign w:val="bottom"/>
          </w:tcPr>
          <w:p>
            <w:pPr>
              <w:spacing w:after="0"/>
              <w:rPr>
                <w:sz w:val="20"/>
                <w:szCs w:val="20"/>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3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03" w:lineRule="exact"/>
        <w:rPr>
          <w:rFonts w:ascii="Times New Roman" w:cs="Times New Roman" w:eastAsia="Times New Roman" w:hAnsi="Times New Roman"/>
          <w:sz w:val="18"/>
          <w:szCs w:val="18"/>
          <w:color w:val="auto"/>
        </w:rPr>
      </w:pPr>
    </w:p>
    <w:p>
      <w:pPr>
        <w:ind w:right="4340" w:firstLine="62"/>
        <w:spacing w:after="0" w:line="501" w:lineRule="auto"/>
        <w:tabs>
          <w:tab w:leader="none" w:pos="106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Management contract or compensatory plan or arrangement.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22117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0"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70"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8"/>
          <w:szCs w:val="18"/>
          <w:color w:val="auto"/>
        </w:rPr>
        <w:t>Date: March 1, 2021</w:t>
      </w:r>
      <w:r>
        <w:rPr>
          <w:sz w:val="20"/>
          <w:szCs w:val="20"/>
          <w:color w:val="auto"/>
        </w:rPr>
        <w:tab/>
      </w:r>
      <w:r>
        <w:rPr>
          <w:rFonts w:ascii="Times New Roman" w:cs="Times New Roman" w:eastAsia="Times New Roman" w:hAnsi="Times New Roman"/>
          <w:sz w:val="18"/>
          <w:szCs w:val="18"/>
          <w:color w:val="auto"/>
        </w:rPr>
        <w:t>Bank of Hawaii Corporation</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Peter S. Ho</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1, 2021</w:t>
            </w:r>
          </w:p>
        </w:tc>
        <w:tc>
          <w:tcPr>
            <w:tcW w:w="550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Peter S. Ho</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 S. Haunani Apoliona</w:t>
            </w:r>
          </w:p>
        </w:tc>
      </w:tr>
      <w:tr>
        <w:trPr>
          <w:trHeight w:val="191"/>
        </w:trPr>
        <w:tc>
          <w:tcPr>
            <w:tcW w:w="5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S. Ho</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 Haunani Apoliona, Director</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5500" w:type="dxa"/>
            <w:vAlign w:val="bottom"/>
          </w:tcPr>
          <w:p>
            <w:pPr>
              <w:spacing w:after="0"/>
              <w:rPr>
                <w:sz w:val="18"/>
                <w:szCs w:val="18"/>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550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 Mark A.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Burak,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D. Feldman,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Kent T. Lucien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Kent T. Lucien,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Victor K.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 K. Nichols,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Dana M. Tokioka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Dana M. Tokioka,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W. 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Wo,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Andrea Wilson Ignacio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Andrea Wilson Ignacio, Principal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John C.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 Erickson,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Michelle Hulst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Hulst,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Alicia E. Moy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Alicia E. Moy,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Barbara J. 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6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J. Tanabe,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P. Vara,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P. Vara, Jr.,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Dean Y. Shigemura, Chief Financial Officer and Treasurer</w:t>
      </w:r>
    </w:p>
    <w:p>
      <w:pPr>
        <w:spacing w:after="0" w:line="861"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21" w:right="339"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Bank of Hawaii Corporation</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07"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required information with respect to subsidiaries of Bank of Hawaii Corporation as of December 31, 2020, is provided below. All domestic subsidiaries are wholly-owned. Each entity is consolidated with its immediate parent company.</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BANK OF HAWAII CORPORATION (Parent)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Bank Holding Company - Delaware</w:t>
      </w:r>
    </w:p>
    <w:p>
      <w:pPr>
        <w:spacing w:after="0" w:line="3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Subsidiaries: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 OF HAWAII</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Hawaii</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Subsidiaries:</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Bank of Hawaii Leasing, Inc. (Leasing)</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Hawaii</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Bankoh Investment Services, Inc. (Brokerage)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Hawaii</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BOH Wholesale Insurance Agency, Inc. (Insurance)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Hawaii</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Pacific Century Insurance Services, Inc. (Captive Insurance)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Hawaii</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RGA Corp. (Real Property Holding Company)</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Hawaii</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BOH Community Development Enterprise, Inc. (New Markets Tax Credit Investments)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Hawaii</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Pacific Century Life Insurance Corporation (Insurance)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Arizona</w:t>
      </w:r>
    </w:p>
    <w:p>
      <w:pPr>
        <w:sectPr>
          <w:pgSz w:w="11900" w:h="16838" w:orient="portrait"/>
          <w:cols w:equalWidth="0" w:num="1">
            <w:col w:w="11240"/>
          </w:cols>
          <w:pgMar w:left="320" w:top="33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225" w:lineRule="exact"/>
        <w:rPr>
          <w:sz w:val="20"/>
          <w:szCs w:val="20"/>
          <w:color w:val="auto"/>
        </w:rPr>
      </w:pPr>
    </w:p>
    <w:p>
      <w:pPr>
        <w:ind w:left="1180" w:hanging="781"/>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S-3 (Nos. 333-64248 and 333-165824) and on Form S-3 ASR (No. 333-207801) pertaining to the Bank of Hawaii Corporation Dividend Reinvestment and Stock Purchase Plan;</w:t>
      </w:r>
    </w:p>
    <w:p>
      <w:pPr>
        <w:spacing w:after="0" w:line="161" w:lineRule="exact"/>
        <w:rPr>
          <w:rFonts w:ascii="Times New Roman" w:cs="Times New Roman" w:eastAsia="Times New Roman" w:hAnsi="Times New Roman"/>
          <w:sz w:val="18"/>
          <w:szCs w:val="18"/>
          <w:color w:val="auto"/>
        </w:rPr>
      </w:pPr>
    </w:p>
    <w:p>
      <w:pPr>
        <w:ind w:left="1180" w:hanging="781"/>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33-54777, 333-80127 and 333-61134) pertaining to the Pacific Century Financial Corporation Stock Option Plan of 1994 (formerly the Bancorp Hawaii, Inc. Stock Option Plan of 1994);</w:t>
      </w:r>
    </w:p>
    <w:p>
      <w:pPr>
        <w:spacing w:after="0" w:line="161" w:lineRule="exact"/>
        <w:rPr>
          <w:rFonts w:ascii="Times New Roman" w:cs="Times New Roman" w:eastAsia="Times New Roman" w:hAnsi="Times New Roman"/>
          <w:sz w:val="18"/>
          <w:szCs w:val="18"/>
          <w:color w:val="auto"/>
        </w:rPr>
      </w:pPr>
    </w:p>
    <w:p>
      <w:pPr>
        <w:ind w:left="1180" w:hanging="781"/>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 333-165825) pertaining to the Bank of Hawaii Retirement Savings Plan;</w:t>
      </w:r>
    </w:p>
    <w:p>
      <w:pPr>
        <w:spacing w:after="0" w:line="225" w:lineRule="exact"/>
        <w:rPr>
          <w:rFonts w:ascii="Times New Roman" w:cs="Times New Roman" w:eastAsia="Times New Roman" w:hAnsi="Times New Roman"/>
          <w:sz w:val="18"/>
          <w:szCs w:val="18"/>
          <w:color w:val="auto"/>
        </w:rPr>
      </w:pPr>
    </w:p>
    <w:p>
      <w:pPr>
        <w:ind w:left="1180" w:hanging="781"/>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333-203611) pertaining to the Bank of Hawaii Corporation 2015 Director Stock Compensation Plan (formerly the Pacific Century Financial Corporation Directors’ Stock Compensation Program);</w:t>
      </w:r>
    </w:p>
    <w:p>
      <w:pPr>
        <w:spacing w:after="0" w:line="161" w:lineRule="exact"/>
        <w:rPr>
          <w:rFonts w:ascii="Times New Roman" w:cs="Times New Roman" w:eastAsia="Times New Roman" w:hAnsi="Times New Roman"/>
          <w:sz w:val="18"/>
          <w:szCs w:val="18"/>
          <w:color w:val="auto"/>
        </w:rPr>
      </w:pPr>
    </w:p>
    <w:p>
      <w:pPr>
        <w:ind w:left="1180" w:hanging="781"/>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333-115325, 333-143295 and 333-176463) pertaining to the Bank of Hawaii Corporation 2004 Stock and Incentive Compensation Plan;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33333"/>
        </w:rPr>
        <w:t>of our reports dated March 1 2021, with respect to the consolidated financial statements of Bank of Hawaii Corporation and subsidiaries and the effectiveness of internal control over financial reporting of Bank of Hawaii Corporation and subsidiaries included in this Annual Report (Form 10-K) of Bank of Hawaii Corporation for the year ended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Honolulu, Hawaii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2021</w:t>
      </w:r>
    </w:p>
    <w:p>
      <w:pPr>
        <w:sectPr>
          <w:pgSz w:w="11900" w:h="16838" w:orient="portrait"/>
          <w:cols w:equalWidth="0" w:num="1">
            <w:col w:w="11240"/>
          </w:cols>
          <w:pgMar w:left="320" w:top="11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 Ho, certify that:</w:t>
      </w:r>
    </w:p>
    <w:p>
      <w:pPr>
        <w:spacing w:after="0" w:line="212" w:lineRule="exact"/>
        <w:rPr>
          <w:sz w:val="20"/>
          <w:szCs w:val="20"/>
          <w:color w:val="auto"/>
        </w:rPr>
      </w:pPr>
    </w:p>
    <w:p>
      <w:pPr>
        <w:ind w:left="400" w:hanging="392"/>
        <w:spacing w:after="0"/>
        <w:tabs>
          <w:tab w:leader="none" w:pos="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Bank of Hawaii Corporation;</w:t>
      </w:r>
    </w:p>
    <w:p>
      <w:pPr>
        <w:spacing w:after="0" w:line="211" w:lineRule="exact"/>
        <w:rPr>
          <w:rFonts w:ascii="Times New Roman" w:cs="Times New Roman" w:eastAsia="Times New Roman" w:hAnsi="Times New Roman"/>
          <w:sz w:val="18"/>
          <w:szCs w:val="18"/>
          <w:color w:val="auto"/>
        </w:rPr>
      </w:pPr>
    </w:p>
    <w:p>
      <w:pPr>
        <w:jc w:val="both"/>
        <w:ind w:left="400" w:right="380" w:hanging="392"/>
        <w:spacing w:after="0" w:line="266" w:lineRule="auto"/>
        <w:tabs>
          <w:tab w:leader="none" w:pos="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400" w:right="340" w:hanging="392"/>
        <w:spacing w:after="0" w:line="282" w:lineRule="auto"/>
        <w:tabs>
          <w:tab w:leader="none" w:pos="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400" w:right="360" w:hanging="392"/>
        <w:spacing w:after="0" w:line="266" w:lineRule="auto"/>
        <w:tabs>
          <w:tab w:leader="none" w:pos="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800" w:right="240" w:hanging="401"/>
        <w:spacing w:after="0" w:line="266" w:lineRule="auto"/>
        <w:tabs>
          <w:tab w:leader="none" w:pos="8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ind w:left="800" w:right="560" w:hanging="401"/>
        <w:spacing w:after="0" w:line="266" w:lineRule="auto"/>
        <w:tabs>
          <w:tab w:leader="none" w:pos="8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jc w:val="both"/>
        <w:ind w:left="800" w:right="720" w:hanging="401"/>
        <w:spacing w:after="0" w:line="312" w:lineRule="auto"/>
        <w:tabs>
          <w:tab w:leader="none" w:pos="80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7"/>
          <w:szCs w:val="17"/>
          <w:color w:val="auto"/>
        </w:rPr>
      </w:pPr>
    </w:p>
    <w:p>
      <w:pPr>
        <w:ind w:left="800" w:right="240" w:hanging="401"/>
        <w:spacing w:after="0" w:line="266" w:lineRule="auto"/>
        <w:tabs>
          <w:tab w:leader="none" w:pos="8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400" w:right="260" w:hanging="392"/>
        <w:spacing w:after="0" w:line="282" w:lineRule="auto"/>
        <w:tabs>
          <w:tab w:leader="none" w:pos="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48" w:lineRule="exact"/>
        <w:rPr>
          <w:rFonts w:ascii="Times New Roman" w:cs="Times New Roman" w:eastAsia="Times New Roman" w:hAnsi="Times New Roman"/>
          <w:sz w:val="18"/>
          <w:szCs w:val="18"/>
          <w:color w:val="auto"/>
        </w:rPr>
      </w:pPr>
    </w:p>
    <w:p>
      <w:pPr>
        <w:ind w:left="800" w:right="140" w:hanging="401"/>
        <w:spacing w:after="0" w:line="282" w:lineRule="auto"/>
        <w:tabs>
          <w:tab w:leader="none" w:pos="8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800" w:right="100" w:hanging="401"/>
        <w:spacing w:after="0" w:line="282" w:lineRule="auto"/>
        <w:tabs>
          <w:tab w:leader="none" w:pos="8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20"/>
        <w:spacing w:after="0"/>
        <w:tabs>
          <w:tab w:leader="none" w:pos="700" w:val="left"/>
          <w:tab w:leader="none" w:pos="4140" w:val="left"/>
        </w:tabs>
        <w:rPr>
          <w:sz w:val="20"/>
          <w:szCs w:val="20"/>
          <w:color w:val="auto"/>
        </w:rPr>
      </w:pPr>
      <w:r>
        <w:rPr>
          <w:rFonts w:ascii="Times New Roman" w:cs="Times New Roman" w:eastAsia="Times New Roman" w:hAnsi="Times New Roman"/>
          <w:sz w:val="18"/>
          <w:szCs w:val="18"/>
          <w:color w:val="auto"/>
        </w:rPr>
        <w:t>Date:</w:t>
        <w:tab/>
        <w:t>March 1, 2021</w:t>
      </w:r>
      <w:r>
        <w:rPr>
          <w:sz w:val="20"/>
          <w:szCs w:val="20"/>
          <w:color w:val="auto"/>
        </w:rPr>
        <w:tab/>
      </w:r>
      <w:r>
        <w:rPr>
          <w:rFonts w:ascii="Times New Roman" w:cs="Times New Roman" w:eastAsia="Times New Roman" w:hAnsi="Times New Roman"/>
          <w:sz w:val="17"/>
          <w:szCs w:val="17"/>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34290</wp:posOffset>
            </wp:positionV>
            <wp:extent cx="33172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Peter S. Ho</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240"/>
          </w:cols>
          <w:pgMar w:left="32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Y. Shigemura, certify that:</w:t>
      </w:r>
    </w:p>
    <w:p>
      <w:pPr>
        <w:spacing w:after="0" w:line="212" w:lineRule="exact"/>
        <w:rPr>
          <w:sz w:val="20"/>
          <w:szCs w:val="20"/>
          <w:color w:val="auto"/>
        </w:rPr>
      </w:pPr>
    </w:p>
    <w:p>
      <w:pPr>
        <w:ind w:left="300" w:hanging="292"/>
        <w:spacing w:after="0"/>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Bank of Hawaii Corporation;</w:t>
      </w:r>
    </w:p>
    <w:p>
      <w:pPr>
        <w:spacing w:after="0" w:line="211" w:lineRule="exact"/>
        <w:rPr>
          <w:rFonts w:ascii="Times New Roman" w:cs="Times New Roman" w:eastAsia="Times New Roman" w:hAnsi="Times New Roman"/>
          <w:sz w:val="18"/>
          <w:szCs w:val="18"/>
          <w:color w:val="auto"/>
        </w:rPr>
      </w:pPr>
    </w:p>
    <w:p>
      <w:pPr>
        <w:jc w:val="both"/>
        <w:ind w:left="300" w:right="480" w:hanging="292"/>
        <w:spacing w:after="0" w:line="266" w:lineRule="auto"/>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300" w:right="440" w:hanging="292"/>
        <w:spacing w:after="0" w:line="282" w:lineRule="auto"/>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300" w:right="60" w:hanging="292"/>
        <w:spacing w:after="0" w:line="266" w:lineRule="auto"/>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680" w:right="340" w:hanging="389"/>
        <w:spacing w:after="0" w:line="266" w:lineRule="auto"/>
        <w:tabs>
          <w:tab w:leader="none" w:pos="6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ind w:left="680" w:right="40" w:hanging="389"/>
        <w:spacing w:after="0" w:line="266" w:lineRule="auto"/>
        <w:tabs>
          <w:tab w:leader="none" w:pos="6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jc w:val="both"/>
        <w:ind w:left="680" w:right="840" w:hanging="389"/>
        <w:spacing w:after="0" w:line="312" w:lineRule="auto"/>
        <w:tabs>
          <w:tab w:leader="none" w:pos="6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7"/>
          <w:szCs w:val="17"/>
          <w:color w:val="auto"/>
        </w:rPr>
      </w:pPr>
    </w:p>
    <w:p>
      <w:pPr>
        <w:ind w:left="680" w:right="60" w:hanging="389"/>
        <w:spacing w:after="0" w:line="266" w:lineRule="auto"/>
        <w:tabs>
          <w:tab w:leader="none" w:pos="6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300" w:right="360" w:hanging="292"/>
        <w:spacing w:after="0" w:line="282" w:lineRule="auto"/>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48" w:lineRule="exact"/>
        <w:rPr>
          <w:rFonts w:ascii="Times New Roman" w:cs="Times New Roman" w:eastAsia="Times New Roman" w:hAnsi="Times New Roman"/>
          <w:sz w:val="18"/>
          <w:szCs w:val="18"/>
          <w:color w:val="auto"/>
        </w:rPr>
      </w:pPr>
    </w:p>
    <w:p>
      <w:pPr>
        <w:ind w:left="680" w:right="240" w:hanging="389"/>
        <w:spacing w:after="0" w:line="282" w:lineRule="auto"/>
        <w:tabs>
          <w:tab w:leader="none" w:pos="6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80" w:right="200" w:hanging="389"/>
        <w:spacing w:after="0" w:line="282" w:lineRule="auto"/>
        <w:tabs>
          <w:tab w:leader="none" w:pos="6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20"/>
        <w:spacing w:after="0"/>
        <w:tabs>
          <w:tab w:leader="none" w:pos="4300" w:val="left"/>
        </w:tabs>
        <w:rPr>
          <w:sz w:val="20"/>
          <w:szCs w:val="20"/>
          <w:color w:val="auto"/>
        </w:rPr>
      </w:pPr>
      <w:r>
        <w:rPr>
          <w:rFonts w:ascii="Times New Roman" w:cs="Times New Roman" w:eastAsia="Times New Roman" w:hAnsi="Times New Roman"/>
          <w:sz w:val="18"/>
          <w:szCs w:val="18"/>
          <w:color w:val="auto"/>
        </w:rPr>
        <w:t>Date: March 1, 2021</w:t>
      </w:r>
      <w:r>
        <w:rPr>
          <w:sz w:val="20"/>
          <w:szCs w:val="20"/>
          <w:color w:val="auto"/>
        </w:rPr>
        <w:tab/>
      </w:r>
      <w:r>
        <w:rPr>
          <w:rFonts w:ascii="Times New Roman" w:cs="Times New Roman" w:eastAsia="Times New Roman" w:hAnsi="Times New Roman"/>
          <w:sz w:val="17"/>
          <w:szCs w:val="17"/>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34290</wp:posOffset>
            </wp:positionV>
            <wp:extent cx="32061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Dean Y. Shigemura</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certify pursuant to 18 U.S.C. Section 1350, as adopted pursuant to Section 906 of the Sarbanes-Oxley Act of 2002, that the Annual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of Bank of Hawaii Corporation (the “Company”) for the year ended December 31, 2020 (the “Report”):</w:t>
      </w:r>
    </w:p>
    <w:p>
      <w:pPr>
        <w:spacing w:after="0" w:line="207" w:lineRule="exact"/>
        <w:rPr>
          <w:sz w:val="20"/>
          <w:szCs w:val="20"/>
          <w:color w:val="auto"/>
        </w:rPr>
      </w:pPr>
    </w:p>
    <w:p>
      <w:pPr>
        <w:ind w:left="800" w:hanging="401"/>
        <w:spacing w:after="0"/>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120"/>
        <w:spacing w:after="0"/>
        <w:tabs>
          <w:tab w:leader="none" w:pos="3680" w:val="left"/>
        </w:tabs>
        <w:rPr>
          <w:sz w:val="20"/>
          <w:szCs w:val="20"/>
          <w:color w:val="auto"/>
        </w:rPr>
      </w:pPr>
      <w:r>
        <w:rPr>
          <w:rFonts w:ascii="Times New Roman" w:cs="Times New Roman" w:eastAsia="Times New Roman" w:hAnsi="Times New Roman"/>
          <w:sz w:val="18"/>
          <w:szCs w:val="18"/>
          <w:color w:val="auto"/>
        </w:rPr>
        <w:t>Date:  March 1, 2021</w:t>
      </w:r>
      <w:r>
        <w:rPr>
          <w:sz w:val="20"/>
          <w:szCs w:val="20"/>
          <w:color w:val="auto"/>
        </w:rPr>
        <w:tab/>
      </w:r>
      <w:r>
        <w:rPr>
          <w:rFonts w:ascii="Times New Roman" w:cs="Times New Roman" w:eastAsia="Times New Roman" w:hAnsi="Times New Roman"/>
          <w:sz w:val="17"/>
          <w:szCs w:val="17"/>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34290</wp:posOffset>
            </wp:positionV>
            <wp:extent cx="3505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Peter S. Ho</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President</w:t>
      </w:r>
    </w:p>
    <w:p>
      <w:pPr>
        <w:spacing w:after="0" w:line="24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34290</wp:posOffset>
            </wp:positionV>
            <wp:extent cx="3505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Dean Y. Shigemura</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bullet"/>
      <w:start w:val="1"/>
    </w:lvl>
  </w:abstractNum>
  <w:abstractNum w:abstractNumId="3">
    <w:nsid w:val="77465F01"/>
    <w:multiLevelType w:val="hybridMultilevel"/>
    <w:lvl w:ilvl="0">
      <w:lvlJc w:val="left"/>
      <w:lvlText w:val="2"/>
      <w:numFmt w:val="bullet"/>
      <w:start w:val="1"/>
    </w:lvl>
  </w:abstractNum>
  <w:abstractNum w:abstractNumId="4">
    <w:nsid w:val="7724C67E"/>
    <w:multiLevelType w:val="hybridMultilevel"/>
    <w:lvl w:ilvl="0">
      <w:lvlJc w:val="left"/>
      <w:lvlText w:val="1"/>
      <w:numFmt w:val="bullet"/>
      <w:start w:val="1"/>
    </w:lvl>
  </w:abstractNum>
  <w:abstractNum w:abstractNumId="5">
    <w:nsid w:val="5C482A97"/>
    <w:multiLevelType w:val="hybridMultilevel"/>
    <w:lvl w:ilvl="0">
      <w:lvlJc w:val="left"/>
      <w:lvlText w:val="2"/>
      <w:numFmt w:val="bullet"/>
      <w:start w:val="1"/>
    </w:lvl>
  </w:abstractNum>
  <w:abstractNum w:abstractNumId="6">
    <w:nsid w:val="2463B9EA"/>
    <w:multiLevelType w:val="hybridMultilevel"/>
    <w:lvl w:ilvl="0">
      <w:lvlJc w:val="left"/>
      <w:lvlText w:val="%1)"/>
      <w:numFmt w:val="decimal"/>
      <w:start w:val="1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bullet"/>
      <w:start w:val="1"/>
    </w:lvl>
  </w:abstractNum>
  <w:abstractNum w:abstractNumId="12">
    <w:nsid w:val="3855585C"/>
    <w:multiLevelType w:val="hybridMultilevel"/>
    <w:lvl w:ilvl="0">
      <w:lvlJc w:val="left"/>
      <w:lvlText w:val="1"/>
      <w:numFmt w:val="bullet"/>
      <w:start w:val="1"/>
    </w:lvl>
  </w:abstractNum>
  <w:abstractNum w:abstractNumId="13">
    <w:nsid w:val="70A64E2A"/>
    <w:multiLevelType w:val="hybridMultilevel"/>
    <w:lvl w:ilvl="0">
      <w:lvlJc w:val="left"/>
      <w:lvlText w:val="1"/>
      <w:numFmt w:val="bullet"/>
      <w:start w:val="1"/>
    </w:lvl>
  </w:abstractNum>
  <w:abstractNum w:abstractNumId="14">
    <w:nsid w:val="6A2342EC"/>
    <w:multiLevelType w:val="hybridMultilevel"/>
    <w:lvl w:ilvl="0">
      <w:lvlJc w:val="left"/>
      <w:lvlText w:val="2"/>
      <w:numFmt w:val="bullet"/>
      <w:start w:val="1"/>
    </w:lvl>
  </w:abstractNum>
  <w:abstractNum w:abstractNumId="15">
    <w:nsid w:val="2A487CB0"/>
    <w:multiLevelType w:val="hybridMultilevel"/>
    <w:lvl w:ilvl="0">
      <w:lvlJc w:val="left"/>
      <w:lvlText w:val="3"/>
      <w:numFmt w:val="bullet"/>
      <w:start w:val="1"/>
    </w:lvl>
  </w:abstractNum>
  <w:abstractNum w:abstractNumId="16">
    <w:nsid w:val="1D4ED43B"/>
    <w:multiLevelType w:val="hybridMultilevel"/>
    <w:lvl w:ilvl="0">
      <w:lvlJc w:val="left"/>
      <w:lvlText w:val="1"/>
      <w:numFmt w:val="bullet"/>
      <w:start w:val="1"/>
    </w:lvl>
  </w:abstractNum>
  <w:abstractNum w:abstractNumId="17">
    <w:nsid w:val="725A06FB"/>
    <w:multiLevelType w:val="hybridMultilevel"/>
    <w:lvl w:ilvl="0">
      <w:lvlJc w:val="left"/>
      <w:lvlText w:val="1"/>
      <w:numFmt w:val="bullet"/>
      <w:start w:val="1"/>
    </w:lvl>
  </w:abstractNum>
  <w:abstractNum w:abstractNumId="18">
    <w:nsid w:val="2CD89A32"/>
    <w:multiLevelType w:val="hybridMultilevel"/>
    <w:lvl w:ilvl="0">
      <w:lvlJc w:val="left"/>
      <w:lvlText w:val="2"/>
      <w:numFmt w:val="bullet"/>
      <w:start w:val="1"/>
    </w:lvl>
  </w:abstractNum>
  <w:abstractNum w:abstractNumId="19">
    <w:nsid w:val="57E4CCAF"/>
    <w:multiLevelType w:val="hybridMultilevel"/>
    <w:lvl w:ilvl="0">
      <w:lvlJc w:val="left"/>
      <w:lvlText w:val="1"/>
      <w:numFmt w:val="bullet"/>
      <w:start w:val="1"/>
    </w:lvl>
  </w:abstractNum>
  <w:abstractNum w:abstractNumId="20">
    <w:nsid w:val="7A6D8D3C"/>
    <w:multiLevelType w:val="hybridMultilevel"/>
    <w:lvl w:ilvl="0">
      <w:lvlJc w:val="left"/>
      <w:lvlText w:val="2"/>
      <w:numFmt w:val="bullet"/>
      <w:start w:val="1"/>
    </w:lvl>
  </w:abstractNum>
  <w:abstractNum w:abstractNumId="21">
    <w:nsid w:val="4B588F54"/>
    <w:multiLevelType w:val="hybridMultilevel"/>
    <w:lvl w:ilvl="0">
      <w:lvlJc w:val="left"/>
      <w:lvlText w:val="1"/>
      <w:numFmt w:val="bullet"/>
      <w:start w:val="1"/>
    </w:lvl>
  </w:abstractNum>
  <w:abstractNum w:abstractNumId="22">
    <w:nsid w:val="542289EC"/>
    <w:multiLevelType w:val="hybridMultilevel"/>
    <w:lvl w:ilvl="0">
      <w:lvlJc w:val="left"/>
      <w:lvlText w:val="1"/>
      <w:numFmt w:val="bullet"/>
      <w:start w:val="1"/>
    </w:lvl>
  </w:abstractNum>
  <w:abstractNum w:abstractNumId="23">
    <w:nsid w:val="6DE91B18"/>
    <w:multiLevelType w:val="hybridMultilevel"/>
    <w:lvl w:ilvl="0">
      <w:lvlJc w:val="left"/>
      <w:lvlText w:val="2"/>
      <w:numFmt w:val="bullet"/>
      <w:start w:val="1"/>
    </w:lvl>
  </w:abstractNum>
  <w:abstractNum w:abstractNumId="24">
    <w:nsid w:val="38437FDB"/>
    <w:multiLevelType w:val="hybridMultilevel"/>
    <w:lvl w:ilvl="0">
      <w:lvlJc w:val="left"/>
      <w:lvlText w:val="1"/>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bullet"/>
      <w:start w:val="1"/>
    </w:lvl>
  </w:abstractNum>
  <w:abstractNum w:abstractNumId="27">
    <w:nsid w:val="684A481A"/>
    <w:multiLevelType w:val="hybridMultilevel"/>
    <w:lvl w:ilvl="0">
      <w:lvlJc w:val="left"/>
      <w:lvlText w:val="1"/>
      <w:numFmt w:val="bullet"/>
      <w:start w:val="1"/>
    </w:lvl>
  </w:abstractNum>
  <w:abstractNum w:abstractNumId="28">
    <w:nsid w:val="579478FE"/>
    <w:multiLevelType w:val="hybridMultilevel"/>
    <w:lvl w:ilvl="0">
      <w:lvlJc w:val="left"/>
      <w:lvlText w:val="2"/>
      <w:numFmt w:val="bullet"/>
      <w:start w:val="1"/>
    </w:lvl>
  </w:abstractNum>
  <w:abstractNum w:abstractNumId="29">
    <w:nsid w:val="749ABB43"/>
    <w:multiLevelType w:val="hybridMultilevel"/>
    <w:lvl w:ilvl="0">
      <w:lvlJc w:val="left"/>
      <w:lvlText w:val="(%1)"/>
      <w:numFmt w:val="decimal"/>
      <w:start w:val="2"/>
    </w:lvl>
  </w:abstractNum>
  <w:abstractNum w:abstractNumId="30">
    <w:nsid w:val="3DC240FB"/>
    <w:multiLevelType w:val="hybridMultilevel"/>
    <w:lvl w:ilvl="0">
      <w:lvlJc w:val="left"/>
      <w:lvlText w:val="1"/>
      <w:numFmt w:val="bullet"/>
      <w:start w:val="1"/>
    </w:lvl>
  </w:abstractNum>
  <w:abstractNum w:abstractNumId="31">
    <w:nsid w:val="1BA026FA"/>
    <w:multiLevelType w:val="hybridMultilevel"/>
    <w:lvl w:ilvl="0">
      <w:lvlJc w:val="left"/>
      <w:lvlText w:val="2"/>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1."/>
      <w:numFmt w:val="decimal"/>
      <w:start w:val="19"/>
    </w:lvl>
  </w:abstractNum>
  <w:abstractNum w:abstractNumId="37">
    <w:nsid w:val="374A3FE6"/>
    <w:multiLevelType w:val="hybridMultilevel"/>
    <w:lvl w:ilvl="0">
      <w:lvlJc w:val="left"/>
      <w:lvlText w:val="%1."/>
      <w:numFmt w:val="decimal"/>
      <w:start w:val="848"/>
    </w:lvl>
  </w:abstractNum>
  <w:abstractNum w:abstractNumId="38">
    <w:nsid w:val="4F4EF005"/>
    <w:multiLevelType w:val="hybridMultilevel"/>
    <w:lvl w:ilvl="0">
      <w:lvlJc w:val="left"/>
      <w:lvlText w:val="1"/>
      <w:numFmt w:val="bullet"/>
      <w:start w:val="1"/>
    </w:lvl>
  </w:abstractNum>
  <w:abstractNum w:abstractNumId="39">
    <w:nsid w:val="23F9C13C"/>
    <w:multiLevelType w:val="hybridMultilevel"/>
    <w:lvl w:ilvl="0">
      <w:lvlJc w:val="left"/>
      <w:lvlText w:val="1"/>
      <w:numFmt w:val="bullet"/>
      <w:start w:val="1"/>
    </w:lvl>
  </w:abstractNum>
  <w:abstractNum w:abstractNumId="40">
    <w:nsid w:val="649BB77C"/>
    <w:multiLevelType w:val="hybridMultilevel"/>
    <w:lvl w:ilvl="0">
      <w:lvlJc w:val="left"/>
      <w:lvlText w:val="1"/>
      <w:numFmt w:val="bullet"/>
      <w:start w:val="1"/>
    </w:lvl>
  </w:abstractNum>
  <w:abstractNum w:abstractNumId="41">
    <w:nsid w:val="275AC794"/>
    <w:multiLevelType w:val="hybridMultilevel"/>
    <w:lvl w:ilvl="0">
      <w:lvlJc w:val="left"/>
      <w:lvlText w:val="1"/>
      <w:numFmt w:val="bullet"/>
      <w:start w:val="1"/>
    </w:lvl>
  </w:abstractNum>
  <w:abstractNum w:abstractNumId="42">
    <w:nsid w:val="39386575"/>
    <w:multiLevelType w:val="hybridMultilevel"/>
    <w:lvl w:ilvl="0">
      <w:lvlJc w:val="left"/>
      <w:lvlText w:val="2"/>
      <w:numFmt w:val="bullet"/>
      <w:start w:val="1"/>
    </w:lvl>
  </w:abstractNum>
  <w:abstractNum w:abstractNumId="43">
    <w:nsid w:val="1CF10FD8"/>
    <w:multiLevelType w:val="hybridMultilevel"/>
    <w:lvl w:ilvl="0">
      <w:lvlJc w:val="left"/>
      <w:lvlText w:val="1"/>
      <w:numFmt w:val="bullet"/>
      <w:start w:val="1"/>
    </w:lvl>
  </w:abstractNum>
  <w:abstractNum w:abstractNumId="44">
    <w:nsid w:val="180115BE"/>
    <w:multiLevelType w:val="hybridMultilevel"/>
    <w:lvl w:ilvl="0">
      <w:lvlJc w:val="left"/>
      <w:lvlText w:val="1"/>
      <w:numFmt w:val="bullet"/>
      <w:start w:val="1"/>
    </w:lvl>
  </w:abstractNum>
  <w:abstractNum w:abstractNumId="45">
    <w:nsid w:val="235BA861"/>
    <w:multiLevelType w:val="hybridMultilevel"/>
    <w:lvl w:ilvl="0">
      <w:lvlJc w:val="left"/>
      <w:lvlText w:val="1"/>
      <w:numFmt w:val="bullet"/>
      <w:start w:val="1"/>
    </w:lvl>
  </w:abstractNum>
  <w:abstractNum w:abstractNumId="46">
    <w:nsid w:val="47398C89"/>
    <w:multiLevelType w:val="hybridMultilevel"/>
    <w:lvl w:ilvl="0">
      <w:lvlJc w:val="left"/>
      <w:lvlText w:val="2"/>
      <w:numFmt w:val="bullet"/>
      <w:start w:val="1"/>
    </w:lvl>
  </w:abstractNum>
  <w:abstractNum w:abstractNumId="47">
    <w:nsid w:val="354FE9F9"/>
    <w:multiLevelType w:val="hybridMultilevel"/>
    <w:lvl w:ilvl="0">
      <w:lvlJc w:val="left"/>
      <w:lvlText w:val="1"/>
      <w:numFmt w:val="bullet"/>
      <w:start w:val="1"/>
    </w:lvl>
  </w:abstractNum>
  <w:abstractNum w:abstractNumId="48">
    <w:nsid w:val="15B5AF5C"/>
    <w:multiLevelType w:val="hybridMultilevel"/>
    <w:lvl w:ilvl="0">
      <w:lvlJc w:val="left"/>
      <w:lvlText w:val="1"/>
      <w:numFmt w:val="bullet"/>
      <w:start w:val="1"/>
    </w:lvl>
  </w:abstractNum>
  <w:abstractNum w:abstractNumId="49">
    <w:nsid w:val="741226BB"/>
    <w:multiLevelType w:val="hybridMultilevel"/>
    <w:lvl w:ilvl="0">
      <w:lvlJc w:val="left"/>
      <w:lvlText w:val="1"/>
      <w:numFmt w:val="bullet"/>
      <w:start w:val="1"/>
    </w:lvl>
  </w:abstractNum>
  <w:abstractNum w:abstractNumId="50">
    <w:nsid w:val="D34B6A8"/>
    <w:multiLevelType w:val="hybridMultilevel"/>
    <w:lvl w:ilvl="0">
      <w:lvlJc w:val="left"/>
      <w:lvlText w:val="2"/>
      <w:numFmt w:val="bullet"/>
      <w:start w:val="1"/>
    </w:lvl>
  </w:abstractNum>
  <w:abstractNum w:abstractNumId="51">
    <w:nsid w:val="10233C99"/>
    <w:multiLevelType w:val="hybridMultilevel"/>
    <w:lvl w:ilvl="0">
      <w:lvlJc w:val="left"/>
      <w:lvlText w:val="1"/>
      <w:numFmt w:val="bullet"/>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bullet"/>
      <w:start w:val="1"/>
    </w:lvl>
  </w:abstractNum>
  <w:abstractNum w:abstractNumId="54">
    <w:nsid w:val="7E0C57B1"/>
    <w:multiLevelType w:val="hybridMultilevel"/>
    <w:lvl w:ilvl="0">
      <w:lvlJc w:val="left"/>
      <w:lvlText w:val="2"/>
      <w:numFmt w:val="bullet"/>
      <w:start w:val="1"/>
    </w:lvl>
  </w:abstractNum>
  <w:abstractNum w:abstractNumId="55">
    <w:nsid w:val="77AE35EB"/>
    <w:multiLevelType w:val="hybridMultilevel"/>
    <w:lvl w:ilvl="0">
      <w:lvlJc w:val="left"/>
      <w:lvlText w:val="1"/>
      <w:numFmt w:val="bullet"/>
      <w:start w:val="1"/>
    </w:lvl>
  </w:abstractNum>
  <w:abstractNum w:abstractNumId="56">
    <w:nsid w:val="579BE4F1"/>
    <w:multiLevelType w:val="hybridMultilevel"/>
    <w:lvl w:ilvl="0">
      <w:lvlJc w:val="left"/>
      <w:lvlText w:val="1"/>
      <w:numFmt w:val="bullet"/>
      <w:start w:val="1"/>
    </w:lvl>
  </w:abstractNum>
  <w:abstractNum w:abstractNumId="57">
    <w:nsid w:val="310C50B3"/>
    <w:multiLevelType w:val="hybridMultilevel"/>
    <w:lvl w:ilvl="0">
      <w:lvlJc w:val="left"/>
      <w:lvlText w:val="1"/>
      <w:numFmt w:val="bullet"/>
      <w:start w:val="1"/>
    </w:lvl>
  </w:abstractNum>
  <w:abstractNum w:abstractNumId="58">
    <w:nsid w:val="5FF87E05"/>
    <w:multiLevelType w:val="hybridMultilevel"/>
    <w:lvl w:ilvl="0">
      <w:lvlJc w:val="left"/>
      <w:lvlText w:val="1"/>
      <w:numFmt w:val="bullet"/>
      <w:start w:val="1"/>
    </w:lvl>
  </w:abstractNum>
  <w:abstractNum w:abstractNumId="59">
    <w:nsid w:val="2F305DEF"/>
    <w:multiLevelType w:val="hybridMultilevel"/>
    <w:lvl w:ilvl="0">
      <w:lvlJc w:val="left"/>
      <w:lvlText w:val="1"/>
      <w:numFmt w:val="bullet"/>
      <w:start w:val="1"/>
    </w:lvl>
  </w:abstractNum>
  <w:abstractNum w:abstractNumId="60">
    <w:nsid w:val="25A70BF7"/>
    <w:multiLevelType w:val="hybridMultilevel"/>
    <w:lvl w:ilvl="0">
      <w:lvlJc w:val="left"/>
      <w:lvlText w:val="1"/>
      <w:numFmt w:val="bullet"/>
      <w:start w:val="1"/>
    </w:lvl>
  </w:abstractNum>
  <w:abstractNum w:abstractNumId="61">
    <w:nsid w:val="1DBABF00"/>
    <w:multiLevelType w:val="hybridMultilevel"/>
    <w:lvl w:ilvl="0">
      <w:lvlJc w:val="left"/>
      <w:lvlText w:val="1"/>
      <w:numFmt w:val="bullet"/>
      <w:start w:val="1"/>
    </w:lvl>
  </w:abstractNum>
  <w:abstractNum w:abstractNumId="62">
    <w:nsid w:val="4AD084E9"/>
    <w:multiLevelType w:val="hybridMultilevel"/>
    <w:lvl w:ilvl="0">
      <w:lvlJc w:val="left"/>
      <w:lvlText w:val="1"/>
      <w:numFmt w:val="bullet"/>
      <w:start w:val="1"/>
    </w:lvl>
  </w:abstractNum>
  <w:abstractNum w:abstractNumId="63">
    <w:nsid w:val="1F48EAA1"/>
    <w:multiLevelType w:val="hybridMultilevel"/>
    <w:lvl w:ilvl="0">
      <w:lvlJc w:val="left"/>
      <w:lvlText w:val="&amp;"/>
      <w:numFmt w:val="bullet"/>
      <w:start w:val="1"/>
    </w:lvl>
  </w:abstractNum>
  <w:abstractNum w:abstractNumId="64">
    <w:nsid w:val="1381823A"/>
    <w:multiLevelType w:val="hybridMultilevel"/>
    <w:lvl w:ilvl="0">
      <w:lvlJc w:val="left"/>
      <w:lvlText w:val="%1"/>
      <w:numFmt w:val="decimal"/>
      <w:start w:val="32"/>
    </w:lvl>
  </w:abstractNum>
  <w:abstractNum w:abstractNumId="65">
    <w:nsid w:val="5DB70AE5"/>
    <w:multiLevelType w:val="hybridMultilevel"/>
    <w:lvl w:ilvl="0">
      <w:lvlJc w:val="left"/>
      <w:lvlText w:val="*"/>
      <w:numFmt w:val="bullet"/>
      <w:start w:val="1"/>
    </w:lvl>
    <w:lvl w:ilvl="1">
      <w:lvlJc w:val="left"/>
      <w:lvlText w:val="%2"/>
      <w:numFmt w:val="decimal"/>
      <w:start w:val="104"/>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165" Type="http://schemas.openxmlformats.org/officeDocument/2006/relationships/hyperlink" Target="http://www.sec.gov/Archives/edgar/data/46195/000104746906002592/a2167652zex-3_1.htm" TargetMode="External"/><Relationship Id="rId166" Type="http://schemas.openxmlformats.org/officeDocument/2006/relationships/hyperlink" Target="http://www.sec.gov/Archives/edgar/data/46195/000110465908028414/a08-13016_1ex3d1.htm" TargetMode="External"/><Relationship Id="rId167" Type="http://schemas.openxmlformats.org/officeDocument/2006/relationships/hyperlink" Target="http://www.sec.gov/Archives/edgar/data/46195/000110465908028414/a08-13016_1ex3d2.htm" TargetMode="External"/><Relationship Id="rId168" Type="http://schemas.openxmlformats.org/officeDocument/2006/relationships/hyperlink" Target="http://www.sec.gov/Archives/edgar/data/46195/000004619513000055/exhibit32amendedandrestate.htm" TargetMode="External"/><Relationship Id="rId169" Type="http://schemas.openxmlformats.org/officeDocument/2006/relationships/hyperlink" Target="http://www.sec.gov/Archives/edgar/data/46195/000004619518000062/exhibit32amendedandrestate.htm" TargetMode="External"/><Relationship Id="rId170" Type="http://schemas.openxmlformats.org/officeDocument/2006/relationships/hyperlink" Target="http://www.sec.gov/Archives/edgar/data/46195/000004619520000023/boh10k12312019exh42.htm" TargetMode="External"/><Relationship Id="rId171" Type="http://schemas.openxmlformats.org/officeDocument/2006/relationships/hyperlink" Target="http://www.sec.gov/Archives/edgar/data/46195/000104746906002592/a2167652zex-10_2.htm" TargetMode="External"/><Relationship Id="rId172" Type="http://schemas.openxmlformats.org/officeDocument/2006/relationships/hyperlink" Target="http://www.sec.gov/Archives/edgar/data/46195/000110465905062392/a05-22324_1ex10d1.htm" TargetMode="External"/><Relationship Id="rId173" Type="http://schemas.openxmlformats.org/officeDocument/2006/relationships/hyperlink" Target="http://www.sec.gov/Archives/edgar/data/46195/000104746906002592/a2167652zex-10_7.htm" TargetMode="External"/><Relationship Id="rId174" Type="http://schemas.openxmlformats.org/officeDocument/2006/relationships/hyperlink" Target="http://www.sec.gov/Archives/edgar/data/46195/000104746906002592/a2167652zex-10_8.htm" TargetMode="External"/><Relationship Id="rId175" Type="http://schemas.openxmlformats.org/officeDocument/2006/relationships/hyperlink" Target="http://www.sec.gov/Archives/edgar/data/46195/000104746905006918/a2152883zdef14a.htm" TargetMode="External"/><Relationship Id="rId176" Type="http://schemas.openxmlformats.org/officeDocument/2006/relationships/hyperlink" Target="http://www.sec.gov/Archives/edgar/data/46195/000104746904008376/a2130590zdef14a.htm" TargetMode="External"/><Relationship Id="rId177" Type="http://schemas.openxmlformats.org/officeDocument/2006/relationships/hyperlink" Target="http://www.sec.gov/Archives/edgar/data/46195/000104746908001671/a2182848zex-10_13.htm" TargetMode="External"/><Relationship Id="rId178" Type="http://schemas.openxmlformats.org/officeDocument/2006/relationships/hyperlink" Target="http://www.sec.gov/Archives/edgar/data/46195/000104746908001671/a2182848zex-10_16.htm" TargetMode="External"/><Relationship Id="rId179" Type="http://schemas.openxmlformats.org/officeDocument/2006/relationships/hyperlink" Target="http://www.sec.gov/Archives/edgar/data/46195/000110465908048064/a08-20192_1ex10d1.htm" TargetMode="External"/><Relationship Id="rId180" Type="http://schemas.openxmlformats.org/officeDocument/2006/relationships/hyperlink" Target="http://www.sec.gov/Archives/edgar/data/46195/000110465909070586/a09-35596_1ex10d1.htm" TargetMode="External"/><Relationship Id="rId181" Type="http://schemas.openxmlformats.org/officeDocument/2006/relationships/hyperlink" Target="http://www.sec.gov/Archives/edgar/data/46195/000110465910039479/a10-14620_1ex10d1.htm" TargetMode="External"/><Relationship Id="rId184" Type="http://schemas.openxmlformats.org/officeDocument/2006/relationships/hyperlink" Target="http://www.sec.gov/Archives/edgar/data/46195/000110465911065787/a11-30336_18k.htm" TargetMode="External"/><Relationship Id="rId185" Type="http://schemas.openxmlformats.org/officeDocument/2006/relationships/hyperlink" Target="http://www.sec.gov/Archives/edgar/data/46195/000110465912003333/a12-3250_1ex10d3.htm" TargetMode="External"/><Relationship Id="rId186" Type="http://schemas.openxmlformats.org/officeDocument/2006/relationships/hyperlink" Target="http://www.sec.gov/Archives/edgar/data/46195/000110465912003333/a12-3250_1ex10d4.htm" TargetMode="External"/><Relationship Id="rId187" Type="http://schemas.openxmlformats.org/officeDocument/2006/relationships/hyperlink" Target="http://www.sec.gov/Archives/edgar/data/46195/000004619514000006/ex101rsg8k012914.htm" TargetMode="External"/><Relationship Id="rId188" Type="http://schemas.openxmlformats.org/officeDocument/2006/relationships/hyperlink" Target="http://www.sec.gov/Archives/edgar/data/46195/000004619514000006/ex102rsg8k012914.htm" TargetMode="External"/><Relationship Id="rId189" Type="http://schemas.openxmlformats.org/officeDocument/2006/relationships/hyperlink" Target="http://www.sec.gov/Archives/edgar/data/46195/000004619514000006/ex103rsg8k012914.htm" TargetMode="External"/><Relationship Id="rId190" Type="http://schemas.openxmlformats.org/officeDocument/2006/relationships/hyperlink" Target="http://www.sec.gov/Archives/edgar/data/46195/000004619514000006/ex104rsg8k012914.htm" TargetMode="External"/><Relationship Id="rId191" Type="http://schemas.openxmlformats.org/officeDocument/2006/relationships/hyperlink" Target="http://www.sec.gov/Archives/edgar/data/46195/000004619514000006/ex105specincenagmt8k012914.htm" TargetMode="External"/><Relationship Id="rId192" Type="http://schemas.openxmlformats.org/officeDocument/2006/relationships/hyperlink" Target="http://www.sec.gov/Archives/edgar/data/46195/000004619514000015/a2014proxy.htm#sB9F8950F80B45B32866B4F034B511F59" TargetMode="External"/><Relationship Id="rId193" Type="http://schemas.openxmlformats.org/officeDocument/2006/relationships/hyperlink" Target="http://www.sec.gov/Archives/edgar/data/46195/000004619515000006/ex101rsg8k012815.htm" TargetMode="External"/><Relationship Id="rId194" Type="http://schemas.openxmlformats.org/officeDocument/2006/relationships/hyperlink" Target="http://www.sec.gov/Archives/edgar/data/46195/000004619515000006/ex102rsu8k012815.htm" TargetMode="External"/><Relationship Id="rId195" Type="http://schemas.openxmlformats.org/officeDocument/2006/relationships/hyperlink" Target="http://www.sec.gov/Archives/edgar/data/46195/000004619515000021/a2015proxydraft_031315.htm#sf27a2029fbda4791b82ad014eb5bc2e8" TargetMode="External"/><Relationship Id="rId196" Type="http://schemas.openxmlformats.org/officeDocument/2006/relationships/hyperlink" Target="http://www.sec.gov/Archives/edgar/data/46195/000004619516000109/boh10k12312015exh1030.htm" TargetMode="External"/><Relationship Id="rId197" Type="http://schemas.openxmlformats.org/officeDocument/2006/relationships/hyperlink" Target="http://www.sec.gov/Archives/edgar/data/46195/000004619516000109/boh10k12312015exh1031.htm" TargetMode="External"/><Relationship Id="rId198" Type="http://schemas.openxmlformats.org/officeDocument/2006/relationships/hyperlink" Target="http://www.sec.gov/Archives/edgar/data/46195/000004619516000145/boh_20160630xex101.htm" TargetMode="External"/><Relationship Id="rId199" Type="http://schemas.openxmlformats.org/officeDocument/2006/relationships/hyperlink" Target="http://www.sec.gov/Archives/edgar/data/46195/000004619516000145/boh_20160630xex102.htm" TargetMode="External"/><Relationship Id="rId202" Type="http://schemas.openxmlformats.org/officeDocument/2006/relationships/hyperlink" Target="http://www.sec.gov/Archives/edgar/data/46195/000004619517000011/a8kitem502e_exhibit101rsgx.htm" TargetMode="External"/><Relationship Id="rId203" Type="http://schemas.openxmlformats.org/officeDocument/2006/relationships/hyperlink" Target="http://www.sec.gov/Archives/edgar/data/46195/000004619517000017/a2017proxy_031717.htm#s5c9b5aaeaf0d47ec9537cc873d00653f" TargetMode="External"/><Relationship Id="rId204" Type="http://schemas.openxmlformats.org/officeDocument/2006/relationships/hyperlink" Target="http://www.sec.gov/Archives/edgar/data/46195/000004619519000007/a8kitem502e_exhibit101rsgx.htm" TargetMode="External"/><Relationship Id="rId205" Type="http://schemas.openxmlformats.org/officeDocument/2006/relationships/hyperlink" Target="http://www.sec.gov/Archives/edgar/data/46195/000004619520000018/a8kitem502eexhibit101r.htm" TargetMode="External"/><Relationship Id="rId206" Type="http://schemas.openxmlformats.org/officeDocument/2006/relationships/hyperlink" Target="http://www.sec.gov/Archives/edgar/data/46195/000156459021007160/boh-ex101_9.htm" TargetMode="External"/><Relationship Id="rId207" Type="http://schemas.openxmlformats.org/officeDocument/2006/relationships/hyperlink" Target="http://www.sec.gov/Archives/edgar/data/46195/000156459021007160/boh-ex102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2021-03-01T16:53:05Z</dcterms:created>
  <dcterms:modified xsi:type="dcterms:W3CDTF">2021-03-01T16:53:05Z</dcterms:modified>
</cp:coreProperties>
</file>