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99"/>
        <w:spacing w:after="0"/>
        <w:tabs>
          <w:tab w:leader="none" w:pos="300" w:val="left"/>
        </w:tabs>
        <w:rPr>
          <w:sz w:val="20"/>
          <w:szCs w:val="20"/>
          <w:color w:val="auto"/>
        </w:rPr>
      </w:pPr>
      <w:r>
        <w:rPr>
          <w:rFonts w:ascii="Arial" w:cs="Arial" w:eastAsia="Arial" w:hAnsi="Arial"/>
          <w:sz w:val="18"/>
          <w:szCs w:val="18"/>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580" w:hanging="579"/>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80" w:lineRule="exact"/>
        <w:rPr>
          <w:rFonts w:ascii="Arial" w:cs="Arial" w:eastAsia="Arial" w:hAnsi="Arial"/>
          <w:sz w:val="18"/>
          <w:szCs w:val="18"/>
          <w:color w:val="auto"/>
        </w:rPr>
      </w:pPr>
    </w:p>
    <w:p>
      <w:pPr>
        <w:ind w:left="580" w:hanging="579"/>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9" w:lineRule="exact"/>
        <w:rPr>
          <w:sz w:val="24"/>
          <w:szCs w:val="24"/>
          <w:color w:val="auto"/>
        </w:rPr>
      </w:pPr>
    </w:p>
    <w:p>
      <w:pPr>
        <w:ind w:left="580" w:hanging="565"/>
        <w:spacing w:after="0"/>
        <w:tabs>
          <w:tab w:leader="none" w:pos="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7"/>
          <w:szCs w:val="17"/>
          <w:color w:val="auto"/>
        </w:rPr>
        <w:t>Definitive Additional Materials</w:t>
      </w:r>
    </w:p>
    <w:p>
      <w:pPr>
        <w:spacing w:after="0" w:line="185" w:lineRule="exact"/>
        <w:rPr>
          <w:sz w:val="24"/>
          <w:szCs w:val="24"/>
          <w:color w:val="auto"/>
        </w:rPr>
      </w:pPr>
    </w:p>
    <w:p>
      <w:pPr>
        <w:ind w:left="580" w:hanging="57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Bank of Hawaii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0" w:hanging="57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580" w:hanging="57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84" w:lineRule="exact"/>
        <w:rPr>
          <w:rFonts w:ascii="Arial" w:cs="Arial" w:eastAsia="Arial" w:hAnsi="Arial"/>
          <w:sz w:val="18"/>
          <w:szCs w:val="18"/>
          <w:color w:val="auto"/>
        </w:rPr>
      </w:pPr>
    </w:p>
    <w:p>
      <w:pPr>
        <w:ind w:left="1020" w:hanging="438"/>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98" w:lineRule="exact"/>
        <w:rPr>
          <w:rFonts w:ascii="Arial" w:cs="Arial" w:eastAsia="Arial" w:hAnsi="Arial"/>
          <w:sz w:val="18"/>
          <w:szCs w:val="18"/>
          <w:color w:val="auto"/>
        </w:rPr>
      </w:pPr>
    </w:p>
    <w:p>
      <w:pPr>
        <w:ind w:left="1020" w:hanging="438"/>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98" w:lineRule="exact"/>
        <w:rPr>
          <w:rFonts w:ascii="Arial" w:cs="Arial" w:eastAsia="Arial" w:hAnsi="Arial"/>
          <w:sz w:val="18"/>
          <w:szCs w:val="18"/>
          <w:color w:val="auto"/>
        </w:rPr>
      </w:pPr>
    </w:p>
    <w:p>
      <w:pPr>
        <w:ind w:left="1020" w:right="260" w:hanging="438"/>
        <w:spacing w:after="0" w:line="277"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43" w:lineRule="exact"/>
        <w:rPr>
          <w:rFonts w:ascii="Arial" w:cs="Arial" w:eastAsia="Arial" w:hAnsi="Arial"/>
          <w:sz w:val="18"/>
          <w:szCs w:val="18"/>
          <w:color w:val="auto"/>
        </w:rPr>
      </w:pPr>
    </w:p>
    <w:p>
      <w:pPr>
        <w:ind w:left="1020" w:hanging="438"/>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98" w:lineRule="exact"/>
        <w:rPr>
          <w:rFonts w:ascii="Arial" w:cs="Arial" w:eastAsia="Arial" w:hAnsi="Arial"/>
          <w:sz w:val="18"/>
          <w:szCs w:val="18"/>
          <w:color w:val="auto"/>
        </w:rPr>
      </w:pPr>
    </w:p>
    <w:p>
      <w:pPr>
        <w:ind w:left="1020" w:hanging="438"/>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35" w:lineRule="exact"/>
        <w:rPr>
          <w:rFonts w:ascii="Arial" w:cs="Arial" w:eastAsia="Arial" w:hAnsi="Arial"/>
          <w:sz w:val="18"/>
          <w:szCs w:val="18"/>
          <w:color w:val="auto"/>
        </w:rPr>
      </w:pPr>
    </w:p>
    <w:p>
      <w:pPr>
        <w:ind w:left="560" w:hanging="559"/>
        <w:spacing w:after="0"/>
        <w:tabs>
          <w:tab w:leader="none" w:pos="560" w:val="left"/>
        </w:tabs>
        <w:numPr>
          <w:ilvl w:val="0"/>
          <w:numId w:val="5"/>
        </w:numPr>
        <w:rPr>
          <w:rFonts w:ascii="Arial" w:cs="Arial" w:eastAsia="Arial" w:hAnsi="Arial"/>
          <w:sz w:val="36"/>
          <w:szCs w:val="36"/>
          <w:color w:val="auto"/>
          <w:vertAlign w:val="subscript"/>
        </w:rPr>
      </w:pPr>
      <w:r>
        <w:rPr>
          <w:rFonts w:ascii="Arial" w:cs="Arial" w:eastAsia="Arial" w:hAnsi="Arial"/>
          <w:sz w:val="18"/>
          <w:szCs w:val="18"/>
          <w:color w:val="auto"/>
        </w:rPr>
        <w:t>Fee paid previously with preliminary materials.</w:t>
      </w:r>
    </w:p>
    <w:p>
      <w:pPr>
        <w:spacing w:after="0" w:line="242" w:lineRule="exact"/>
        <w:rPr>
          <w:rFonts w:ascii="Arial" w:cs="Arial" w:eastAsia="Arial" w:hAnsi="Arial"/>
          <w:sz w:val="36"/>
          <w:szCs w:val="36"/>
          <w:color w:val="auto"/>
          <w:vertAlign w:val="subscript"/>
        </w:rPr>
      </w:pPr>
    </w:p>
    <w:p>
      <w:pPr>
        <w:ind w:left="580" w:hanging="579"/>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2" w:lineRule="exact"/>
        <w:rPr>
          <w:rFonts w:ascii="Arial" w:cs="Arial" w:eastAsia="Arial" w:hAnsi="Arial"/>
          <w:sz w:val="17"/>
          <w:szCs w:val="17"/>
          <w:color w:val="auto"/>
        </w:rPr>
      </w:pPr>
    </w:p>
    <w:p>
      <w:pPr>
        <w:ind w:left="1020" w:hanging="438"/>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1020" w:hanging="438"/>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1020" w:hanging="438"/>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1020" w:hanging="438"/>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635000</wp:posOffset>
            </wp:positionH>
            <wp:positionV relativeFrom="paragraph">
              <wp:posOffset>109220</wp:posOffset>
            </wp:positionV>
            <wp:extent cx="6489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-147320</wp:posOffset>
            </wp:positionV>
            <wp:extent cx="6489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-404495</wp:posOffset>
            </wp:positionV>
            <wp:extent cx="6489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-661670</wp:posOffset>
            </wp:positionV>
            <wp:extent cx="6489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-1699260</wp:posOffset>
            </wp:positionV>
            <wp:extent cx="6489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-1956435</wp:posOffset>
            </wp:positionV>
            <wp:extent cx="6489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-2213610</wp:posOffset>
            </wp:positionV>
            <wp:extent cx="6489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-2607945</wp:posOffset>
            </wp:positionV>
            <wp:extent cx="6489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-2865120</wp:posOffset>
            </wp:positionV>
            <wp:extent cx="6489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254635</wp:posOffset>
            </wp:positionV>
            <wp:extent cx="3480435" cy="132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0435" cy="1320165"/>
                    </a:xfrm>
                    <a:prstGeom prst="rect">
                      <a:avLst/>
                    </a:prstGeom>
                    <a:noFill/>
                  </pic:spPr>
                </pic:pic>
              </a:graphicData>
            </a:graphic>
          </wp:anchor>
        </w:drawing>
      </w:r>
    </w:p>
    <w:p>
      <w:pPr>
        <w:sectPr>
          <w:pgSz w:w="11900" w:h="16838" w:orient="portrait"/>
          <w:cols w:equalWidth="0" w:num="1">
            <w:col w:w="11100"/>
          </w:cols>
          <w:pgMar w:left="340" w:top="661" w:right="459" w:bottom="1440" w:gutter="0" w:footer="0" w:header="0"/>
        </w:sectPr>
      </w:pPr>
    </w:p>
    <w:bookmarkStart w:id="1" w:name="page2"/>
    <w:bookmarkEnd w:id="1"/>
    <w:p>
      <w:pPr>
        <w:ind w:left="2360"/>
        <w:spacing w:after="0"/>
        <w:rPr>
          <w:sz w:val="20"/>
          <w:szCs w:val="20"/>
          <w:color w:val="auto"/>
        </w:rPr>
      </w:pPr>
      <w:r>
        <w:rPr>
          <w:rFonts w:ascii="Arial" w:cs="Arial" w:eastAsia="Arial" w:hAnsi="Arial"/>
          <w:sz w:val="22"/>
          <w:szCs w:val="22"/>
          <w:b w:val="1"/>
          <w:bCs w:val="1"/>
          <w:color w:val="auto"/>
        </w:rPr>
        <w:t>IMPORTANT NOTICE FROM BANK OF HAWAII CORPORATION</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INFORMATION REGARDING THE ANNUAL MEETING OF SHAREHOLDERS TO BE HELD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FRIDAY, APRIL 24, 2020</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As part of our precautions regarding the novel coronavirus COVID-19, we are planning for the possibility that the 2020 Annual Meeting of Shareholders of Bank of Hawaii Corporation may be held solely by means of remote communication. If we determine to make this change, it will be announced in advance through a public filing with the Securities and Exchange Commission and instructions on how shareholders can participate will be available on our website at </w:t>
      </w:r>
      <w:r>
        <w:rPr>
          <w:rFonts w:ascii="Arial" w:cs="Arial" w:eastAsia="Arial" w:hAnsi="Arial"/>
          <w:sz w:val="22"/>
          <w:szCs w:val="22"/>
          <w:b w:val="1"/>
          <w:bCs w:val="1"/>
          <w:u w:val="single" w:color="auto"/>
          <w:color w:val="0563C1"/>
        </w:rPr>
        <w:t>http://ir.boh.com</w:t>
      </w:r>
      <w:r>
        <w:rPr>
          <w:rFonts w:ascii="Arial" w:cs="Arial" w:eastAsia="Arial" w:hAnsi="Arial"/>
          <w:sz w:val="22"/>
          <w:szCs w:val="22"/>
          <w:b w:val="1"/>
          <w:bCs w:val="1"/>
          <w:color w:val="000000"/>
        </w:rPr>
        <w:t>.</w:t>
      </w:r>
    </w:p>
    <w:sectPr>
      <w:pgSz w:w="11900" w:h="16838" w:orient="portrait"/>
      <w:cols w:equalWidth="0" w:num="1">
        <w:col w:w="11240"/>
      </w:cols>
      <w:pgMar w:left="320" w:top="3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Roman"/>
      <w:start w:val="1"/>
    </w:lvl>
    <w:lvl w:ilvl="1">
      <w:lvlJc w:val="left"/>
      <w:lvlText w:val="o"/>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2020-03-18T15:25:08Z</dcterms:created>
  <dcterms:modified xsi:type="dcterms:W3CDTF">2020-03-18T15:25:08Z</dcterms:modified>
</cp:coreProperties>
</file>