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603250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580390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Washington, D. C. 20549</w:t>
      </w:r>
    </w:p>
    <w:p>
      <w:pPr>
        <w:spacing w:after="0" w:line="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5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ectPr>
          <w:pgSz w:w="11900" w:h="16838" w:orient="portrait"/>
          <w:cols w:equalWidth="0" w:num="1">
            <w:col w:w="11200"/>
          </w:cols>
          <w:pgMar w:left="300" w:top="1042" w:right="399" w:bottom="1440" w:gutter="0" w:footer="0" w:header="0"/>
        </w:sectPr>
      </w:pPr>
    </w:p>
    <w:p>
      <w:pPr>
        <w:spacing w:after="0" w:line="100"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2"/>
          <w:szCs w:val="12"/>
          <w:color w:val="auto"/>
        </w:rPr>
        <w:t>Date of Report</w:t>
      </w:r>
    </w:p>
    <w:p>
      <w:pPr>
        <w:spacing w:after="0" w:line="51" w:lineRule="exact"/>
        <w:rPr>
          <w:sz w:val="24"/>
          <w:szCs w:val="24"/>
          <w:color w:val="auto"/>
        </w:rPr>
      </w:pPr>
    </w:p>
    <w:p>
      <w:pPr>
        <w:jc w:val="center"/>
        <w:ind w:left="300"/>
        <w:spacing w:after="0"/>
        <w:rPr>
          <w:sz w:val="20"/>
          <w:szCs w:val="20"/>
          <w:color w:val="auto"/>
        </w:rPr>
      </w:pPr>
      <w:r>
        <w:rPr>
          <w:rFonts w:ascii="Times New Roman" w:cs="Times New Roman" w:eastAsia="Times New Roman" w:hAnsi="Times New Roman"/>
          <w:sz w:val="11"/>
          <w:szCs w:val="11"/>
          <w:color w:val="auto"/>
        </w:rPr>
        <w:t>(Date of earliest event reported)</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1"/>
          <w:szCs w:val="11"/>
          <w:b w:val="1"/>
          <w:bCs w:val="1"/>
          <w:color w:val="auto"/>
        </w:rPr>
        <w:t>October 26, 2026</w:t>
      </w:r>
    </w:p>
    <w:p>
      <w:pPr>
        <w:spacing w:after="0" w:line="325" w:lineRule="exact"/>
        <w:rPr>
          <w:sz w:val="24"/>
          <w:szCs w:val="24"/>
          <w:color w:val="auto"/>
        </w:rPr>
      </w:pPr>
    </w:p>
    <w:p>
      <w:pPr>
        <w:sectPr>
          <w:pgSz w:w="11900" w:h="16838" w:orient="portrait"/>
          <w:cols w:equalWidth="0" w:num="2">
            <w:col w:w="6660" w:space="720"/>
            <w:col w:w="3820"/>
          </w:cols>
          <w:pgMar w:left="300" w:top="1042" w:right="39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BANK OF HAWAII CORPORATION</w:t>
      </w:r>
    </w:p>
    <w:p>
      <w:pPr>
        <w:spacing w:after="0" w:line="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780" w:type="dxa"/>
            <w:vAlign w:val="bottom"/>
          </w:tcPr>
          <w:p>
            <w:pPr>
              <w:spacing w:after="0"/>
              <w:rPr>
                <w:sz w:val="13"/>
                <w:szCs w:val="13"/>
                <w:color w:val="auto"/>
              </w:rPr>
            </w:pPr>
          </w:p>
        </w:tc>
        <w:tc>
          <w:tcPr>
            <w:tcW w:w="2760" w:type="dxa"/>
            <w:vAlign w:val="bottom"/>
          </w:tcPr>
          <w:p>
            <w:pPr>
              <w:jc w:val="center"/>
              <w:ind w:right="526"/>
              <w:spacing w:after="0"/>
              <w:rPr>
                <w:sz w:val="20"/>
                <w:szCs w:val="20"/>
                <w:color w:val="auto"/>
              </w:rPr>
            </w:pPr>
            <w:r>
              <w:rPr>
                <w:rFonts w:ascii="Times New Roman" w:cs="Times New Roman" w:eastAsia="Times New Roman" w:hAnsi="Times New Roman"/>
                <w:sz w:val="12"/>
                <w:szCs w:val="12"/>
                <w:b w:val="1"/>
                <w:bCs w:val="1"/>
                <w:color w:val="auto"/>
              </w:rPr>
              <w:t>Delaware</w:t>
            </w:r>
          </w:p>
        </w:tc>
        <w:tc>
          <w:tcPr>
            <w:tcW w:w="3460" w:type="dxa"/>
            <w:vAlign w:val="bottom"/>
          </w:tcPr>
          <w:p>
            <w:pPr>
              <w:jc w:val="right"/>
              <w:ind w:right="1105"/>
              <w:spacing w:after="0"/>
              <w:rPr>
                <w:sz w:val="20"/>
                <w:szCs w:val="20"/>
                <w:color w:val="auto"/>
              </w:rPr>
            </w:pPr>
            <w:r>
              <w:rPr>
                <w:rFonts w:ascii="Times New Roman" w:cs="Times New Roman" w:eastAsia="Times New Roman" w:hAnsi="Times New Roman"/>
                <w:sz w:val="12"/>
                <w:szCs w:val="12"/>
                <w:b w:val="1"/>
                <w:bCs w:val="1"/>
                <w:color w:val="auto"/>
              </w:rPr>
              <w:t>1-6887</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gridSpan w:val="2"/>
          </w:tcPr>
          <w:p>
            <w:pPr>
              <w:jc w:val="right"/>
              <w:ind w:right="1207"/>
              <w:spacing w:after="0"/>
              <w:rPr>
                <w:sz w:val="20"/>
                <w:szCs w:val="20"/>
                <w:color w:val="auto"/>
              </w:rPr>
            </w:pPr>
            <w:r>
              <w:rPr>
                <w:rFonts w:ascii="Times New Roman" w:cs="Times New Roman" w:eastAsia="Times New Roman" w:hAnsi="Times New Roman"/>
                <w:sz w:val="12"/>
                <w:szCs w:val="12"/>
                <w:b w:val="1"/>
                <w:bCs w:val="1"/>
                <w:color w:val="auto"/>
              </w:rPr>
              <w:t>99-0148992</w:t>
            </w:r>
          </w:p>
        </w:tc>
      </w:tr>
      <w:tr>
        <w:trPr>
          <w:trHeight w:val="154"/>
        </w:trPr>
        <w:tc>
          <w:tcPr>
            <w:tcW w:w="780" w:type="dxa"/>
            <w:vAlign w:val="bottom"/>
          </w:tcPr>
          <w:p>
            <w:pPr>
              <w:spacing w:after="0"/>
              <w:rPr>
                <w:sz w:val="13"/>
                <w:szCs w:val="13"/>
                <w:color w:val="auto"/>
              </w:rPr>
            </w:pPr>
          </w:p>
        </w:tc>
        <w:tc>
          <w:tcPr>
            <w:tcW w:w="2760" w:type="dxa"/>
            <w:vAlign w:val="bottom"/>
          </w:tcPr>
          <w:p>
            <w:pPr>
              <w:jc w:val="center"/>
              <w:ind w:right="526"/>
              <w:spacing w:after="0"/>
              <w:rPr>
                <w:sz w:val="20"/>
                <w:szCs w:val="20"/>
                <w:color w:val="auto"/>
              </w:rPr>
            </w:pPr>
            <w:r>
              <w:rPr>
                <w:rFonts w:ascii="Times New Roman" w:cs="Times New Roman" w:eastAsia="Times New Roman" w:hAnsi="Times New Roman"/>
                <w:sz w:val="10"/>
                <w:szCs w:val="10"/>
                <w:color w:val="auto"/>
                <w:w w:val="95"/>
              </w:rPr>
              <w:t>(State of Incorporation)</w:t>
            </w:r>
          </w:p>
        </w:tc>
        <w:tc>
          <w:tcPr>
            <w:tcW w:w="3460" w:type="dxa"/>
            <w:vAlign w:val="bottom"/>
          </w:tcPr>
          <w:p>
            <w:pPr>
              <w:jc w:val="center"/>
              <w:ind w:left="745"/>
              <w:spacing w:after="0"/>
              <w:rPr>
                <w:sz w:val="20"/>
                <w:szCs w:val="20"/>
                <w:color w:val="auto"/>
              </w:rPr>
            </w:pPr>
            <w:r>
              <w:rPr>
                <w:rFonts w:ascii="Times New Roman" w:cs="Times New Roman" w:eastAsia="Times New Roman" w:hAnsi="Times New Roman"/>
                <w:sz w:val="10"/>
                <w:szCs w:val="10"/>
                <w:color w:val="auto"/>
                <w:w w:val="95"/>
              </w:rPr>
              <w:t>(Commission File Number)</w:t>
            </w: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60" w:type="dxa"/>
            <w:vAlign w:val="bottom"/>
            <w:gridSpan w:val="2"/>
          </w:tcPr>
          <w:p>
            <w:pPr>
              <w:jc w:val="center"/>
              <w:ind w:right="367"/>
              <w:spacing w:after="0"/>
              <w:rPr>
                <w:sz w:val="20"/>
                <w:szCs w:val="20"/>
                <w:color w:val="auto"/>
              </w:rPr>
            </w:pPr>
            <w:r>
              <w:rPr>
                <w:rFonts w:ascii="Times New Roman" w:cs="Times New Roman" w:eastAsia="Times New Roman" w:hAnsi="Times New Roman"/>
                <w:sz w:val="10"/>
                <w:szCs w:val="10"/>
                <w:color w:val="auto"/>
                <w:w w:val="95"/>
              </w:rPr>
              <w:t>(IRS Employer Identification No.)</w:t>
            </w:r>
          </w:p>
        </w:tc>
      </w:tr>
      <w:tr>
        <w:trPr>
          <w:trHeight w:val="323"/>
        </w:trPr>
        <w:tc>
          <w:tcPr>
            <w:tcW w:w="780" w:type="dxa"/>
            <w:vAlign w:val="bottom"/>
          </w:tcPr>
          <w:p>
            <w:pPr>
              <w:spacing w:after="0"/>
              <w:rPr>
                <w:sz w:val="24"/>
                <w:szCs w:val="24"/>
                <w:color w:val="auto"/>
              </w:rPr>
            </w:pPr>
          </w:p>
        </w:tc>
        <w:tc>
          <w:tcPr>
            <w:tcW w:w="2760" w:type="dxa"/>
            <w:vAlign w:val="bottom"/>
          </w:tcPr>
          <w:p>
            <w:pPr>
              <w:jc w:val="center"/>
              <w:ind w:right="926"/>
              <w:spacing w:after="0"/>
              <w:rPr>
                <w:sz w:val="20"/>
                <w:szCs w:val="20"/>
                <w:color w:val="auto"/>
              </w:rPr>
            </w:pPr>
            <w:r>
              <w:rPr>
                <w:rFonts w:ascii="Times New Roman" w:cs="Times New Roman" w:eastAsia="Times New Roman" w:hAnsi="Times New Roman"/>
                <w:sz w:val="12"/>
                <w:szCs w:val="12"/>
                <w:b w:val="1"/>
                <w:bCs w:val="1"/>
                <w:color w:val="auto"/>
              </w:rPr>
              <w:t>130 Merchant Street</w:t>
            </w:r>
          </w:p>
        </w:tc>
        <w:tc>
          <w:tcPr>
            <w:tcW w:w="3460" w:type="dxa"/>
            <w:vAlign w:val="bottom"/>
          </w:tcPr>
          <w:p>
            <w:pPr>
              <w:jc w:val="center"/>
              <w:ind w:right="1165"/>
              <w:spacing w:after="0"/>
              <w:rPr>
                <w:sz w:val="20"/>
                <w:szCs w:val="20"/>
                <w:color w:val="auto"/>
              </w:rPr>
            </w:pPr>
            <w:r>
              <w:rPr>
                <w:rFonts w:ascii="Times New Roman" w:cs="Times New Roman" w:eastAsia="Times New Roman" w:hAnsi="Times New Roman"/>
                <w:sz w:val="12"/>
                <w:szCs w:val="12"/>
                <w:b w:val="1"/>
                <w:bCs w:val="1"/>
                <w:color w:val="auto"/>
                <w:w w:val="99"/>
              </w:rPr>
              <w:t>Honolulu</w:t>
            </w:r>
          </w:p>
        </w:tc>
        <w:tc>
          <w:tcPr>
            <w:tcW w:w="40" w:type="dxa"/>
            <w:vAlign w:val="bottom"/>
          </w:tcPr>
          <w:p>
            <w:pPr>
              <w:spacing w:after="0"/>
              <w:rPr>
                <w:sz w:val="24"/>
                <w:szCs w:val="24"/>
                <w:color w:val="auto"/>
              </w:rPr>
            </w:pPr>
          </w:p>
        </w:tc>
        <w:tc>
          <w:tcPr>
            <w:tcW w:w="1280" w:type="dxa"/>
            <w:vAlign w:val="bottom"/>
            <w:gridSpan w:val="2"/>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8"/>
              </w:rPr>
              <w:t>Hawaii</w:t>
            </w:r>
          </w:p>
        </w:tc>
        <w:tc>
          <w:tcPr>
            <w:tcW w:w="2660" w:type="dxa"/>
            <w:vAlign w:val="bottom"/>
            <w:gridSpan w:val="2"/>
          </w:tcPr>
          <w:p>
            <w:pPr>
              <w:jc w:val="right"/>
              <w:ind w:right="827"/>
              <w:spacing w:after="0"/>
              <w:rPr>
                <w:sz w:val="20"/>
                <w:szCs w:val="20"/>
                <w:color w:val="auto"/>
              </w:rPr>
            </w:pPr>
            <w:r>
              <w:rPr>
                <w:rFonts w:ascii="Times New Roman" w:cs="Times New Roman" w:eastAsia="Times New Roman" w:hAnsi="Times New Roman"/>
                <w:sz w:val="12"/>
                <w:szCs w:val="12"/>
                <w:b w:val="1"/>
                <w:bCs w:val="1"/>
                <w:color w:val="auto"/>
              </w:rPr>
              <w:t>96813</w:t>
            </w:r>
          </w:p>
        </w:tc>
      </w:tr>
      <w:tr>
        <w:trPr>
          <w:trHeight w:val="154"/>
        </w:trPr>
        <w:tc>
          <w:tcPr>
            <w:tcW w:w="780" w:type="dxa"/>
            <w:vAlign w:val="bottom"/>
          </w:tcPr>
          <w:p>
            <w:pPr>
              <w:spacing w:after="0"/>
              <w:rPr>
                <w:sz w:val="13"/>
                <w:szCs w:val="13"/>
                <w:color w:val="auto"/>
              </w:rPr>
            </w:pPr>
          </w:p>
        </w:tc>
        <w:tc>
          <w:tcPr>
            <w:tcW w:w="2760" w:type="dxa"/>
            <w:vAlign w:val="bottom"/>
          </w:tcPr>
          <w:p>
            <w:pPr>
              <w:jc w:val="center"/>
              <w:ind w:right="926"/>
              <w:spacing w:after="0"/>
              <w:rPr>
                <w:sz w:val="20"/>
                <w:szCs w:val="20"/>
                <w:color w:val="auto"/>
              </w:rPr>
            </w:pPr>
            <w:r>
              <w:rPr>
                <w:rFonts w:ascii="Times New Roman" w:cs="Times New Roman" w:eastAsia="Times New Roman" w:hAnsi="Times New Roman"/>
                <w:sz w:val="10"/>
                <w:szCs w:val="10"/>
                <w:color w:val="auto"/>
                <w:w w:val="96"/>
              </w:rPr>
              <w:t>(Address of principal executive offices)</w:t>
            </w:r>
          </w:p>
        </w:tc>
        <w:tc>
          <w:tcPr>
            <w:tcW w:w="3460" w:type="dxa"/>
            <w:vAlign w:val="bottom"/>
          </w:tcPr>
          <w:p>
            <w:pPr>
              <w:jc w:val="center"/>
              <w:ind w:right="1145"/>
              <w:spacing w:after="0"/>
              <w:rPr>
                <w:sz w:val="20"/>
                <w:szCs w:val="20"/>
                <w:color w:val="auto"/>
              </w:rPr>
            </w:pPr>
            <w:r>
              <w:rPr>
                <w:rFonts w:ascii="Times New Roman" w:cs="Times New Roman" w:eastAsia="Times New Roman" w:hAnsi="Times New Roman"/>
                <w:sz w:val="10"/>
                <w:szCs w:val="10"/>
                <w:color w:val="auto"/>
                <w:w w:val="91"/>
              </w:rPr>
              <w:t>(City)</w:t>
            </w:r>
          </w:p>
        </w:tc>
        <w:tc>
          <w:tcPr>
            <w:tcW w:w="40" w:type="dxa"/>
            <w:vAlign w:val="bottom"/>
          </w:tcPr>
          <w:p>
            <w:pPr>
              <w:spacing w:after="0"/>
              <w:rPr>
                <w:sz w:val="13"/>
                <w:szCs w:val="13"/>
                <w:color w:val="auto"/>
              </w:rPr>
            </w:pPr>
          </w:p>
        </w:tc>
        <w:tc>
          <w:tcPr>
            <w:tcW w:w="1280" w:type="dxa"/>
            <w:vAlign w:val="bottom"/>
            <w:gridSpan w:val="2"/>
          </w:tcPr>
          <w:p>
            <w:pPr>
              <w:jc w:val="center"/>
              <w:ind w:right="740"/>
              <w:spacing w:after="0"/>
              <w:rPr>
                <w:sz w:val="20"/>
                <w:szCs w:val="20"/>
                <w:color w:val="auto"/>
              </w:rPr>
            </w:pPr>
            <w:r>
              <w:rPr>
                <w:rFonts w:ascii="Times New Roman" w:cs="Times New Roman" w:eastAsia="Times New Roman" w:hAnsi="Times New Roman"/>
                <w:sz w:val="10"/>
                <w:szCs w:val="10"/>
                <w:color w:val="auto"/>
                <w:w w:val="97"/>
              </w:rPr>
              <w:t>(State)</w:t>
            </w:r>
          </w:p>
        </w:tc>
        <w:tc>
          <w:tcPr>
            <w:tcW w:w="740" w:type="dxa"/>
            <w:vAlign w:val="bottom"/>
          </w:tcPr>
          <w:p>
            <w:pPr>
              <w:spacing w:after="0"/>
              <w:rPr>
                <w:sz w:val="13"/>
                <w:szCs w:val="13"/>
                <w:color w:val="auto"/>
              </w:rPr>
            </w:pPr>
          </w:p>
        </w:tc>
        <w:tc>
          <w:tcPr>
            <w:tcW w:w="1920" w:type="dxa"/>
            <w:vAlign w:val="bottom"/>
          </w:tcPr>
          <w:p>
            <w:pPr>
              <w:jc w:val="center"/>
              <w:ind w:right="107"/>
              <w:spacing w:after="0"/>
              <w:rPr>
                <w:sz w:val="20"/>
                <w:szCs w:val="20"/>
                <w:color w:val="auto"/>
              </w:rPr>
            </w:pPr>
            <w:r>
              <w:rPr>
                <w:rFonts w:ascii="Times New Roman" w:cs="Times New Roman" w:eastAsia="Times New Roman" w:hAnsi="Times New Roman"/>
                <w:sz w:val="10"/>
                <w:szCs w:val="10"/>
                <w:color w:val="auto"/>
                <w:w w:val="99"/>
              </w:rPr>
              <w:t>(Zip Code)</w:t>
            </w:r>
          </w:p>
        </w:tc>
      </w:tr>
      <w:tr>
        <w:trPr>
          <w:trHeight w:val="278"/>
        </w:trPr>
        <w:tc>
          <w:tcPr>
            <w:tcW w:w="7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460" w:type="dxa"/>
            <w:vAlign w:val="bottom"/>
          </w:tcPr>
          <w:p>
            <w:pPr>
              <w:jc w:val="center"/>
              <w:ind w:left="685"/>
              <w:spacing w:after="0"/>
              <w:rPr>
                <w:sz w:val="20"/>
                <w:szCs w:val="20"/>
                <w:color w:val="auto"/>
              </w:rPr>
            </w:pPr>
            <w:r>
              <w:rPr>
                <w:rFonts w:ascii="Times New Roman" w:cs="Times New Roman" w:eastAsia="Times New Roman" w:hAnsi="Times New Roman"/>
                <w:sz w:val="12"/>
                <w:szCs w:val="12"/>
                <w:b w:val="1"/>
                <w:bCs w:val="1"/>
                <w:color w:val="auto"/>
              </w:rPr>
              <w:t>(888) 643-3888</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5"/>
        </w:trPr>
        <w:tc>
          <w:tcPr>
            <w:tcW w:w="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jc w:val="center"/>
              <w:ind w:left="685"/>
              <w:spacing w:after="0"/>
              <w:rPr>
                <w:sz w:val="20"/>
                <w:szCs w:val="20"/>
                <w:color w:val="auto"/>
              </w:rPr>
            </w:pPr>
            <w:r>
              <w:rPr>
                <w:rFonts w:ascii="Times New Roman" w:cs="Times New Roman" w:eastAsia="Times New Roman" w:hAnsi="Times New Roman"/>
                <w:sz w:val="11"/>
                <w:szCs w:val="11"/>
                <w:color w:val="auto"/>
                <w:w w:val="98"/>
              </w:rPr>
              <w:t>(Registrant's telephone number, including area code)</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jc w:val="center"/>
              <w:ind w:left="685"/>
              <w:spacing w:after="0"/>
              <w:rPr>
                <w:sz w:val="20"/>
                <w:szCs w:val="20"/>
                <w:color w:val="auto"/>
              </w:rPr>
            </w:pPr>
            <w:r>
              <w:rPr>
                <w:rFonts w:ascii="Times New Roman" w:cs="Times New Roman" w:eastAsia="Times New Roman" w:hAnsi="Times New Roman"/>
                <w:sz w:val="12"/>
                <w:szCs w:val="12"/>
                <w:b w:val="1"/>
                <w:bCs w:val="1"/>
                <w:color w:val="auto"/>
                <w:w w:val="98"/>
              </w:rPr>
              <w:t>Not Applicable</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5"/>
        </w:trPr>
        <w:tc>
          <w:tcPr>
            <w:tcW w:w="7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460" w:type="dxa"/>
            <w:vAlign w:val="bottom"/>
          </w:tcPr>
          <w:p>
            <w:pPr>
              <w:jc w:val="center"/>
              <w:ind w:left="705"/>
              <w:spacing w:after="0"/>
              <w:rPr>
                <w:sz w:val="20"/>
                <w:szCs w:val="20"/>
                <w:color w:val="auto"/>
              </w:rPr>
            </w:pPr>
            <w:r>
              <w:rPr>
                <w:rFonts w:ascii="Times New Roman" w:cs="Times New Roman" w:eastAsia="Times New Roman" w:hAnsi="Times New Roman"/>
                <w:sz w:val="11"/>
                <w:szCs w:val="11"/>
                <w:color w:val="auto"/>
                <w:w w:val="98"/>
              </w:rPr>
              <w:t>(Former name or former address, if changed since last report)</w:t>
            </w: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4"/>
        </w:trPr>
        <w:tc>
          <w:tcPr>
            <w:tcW w:w="35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207"/>
        </w:trPr>
        <w:tc>
          <w:tcPr>
            <w:tcW w:w="35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Title of each class</w:t>
            </w:r>
          </w:p>
        </w:tc>
        <w:tc>
          <w:tcPr>
            <w:tcW w:w="3460" w:type="dxa"/>
            <w:vAlign w:val="bottom"/>
          </w:tcPr>
          <w:p>
            <w:pPr>
              <w:spacing w:after="0"/>
              <w:rPr>
                <w:sz w:val="18"/>
                <w:szCs w:val="18"/>
                <w:color w:val="auto"/>
              </w:rPr>
            </w:pPr>
          </w:p>
        </w:tc>
        <w:tc>
          <w:tcPr>
            <w:tcW w:w="1320" w:type="dxa"/>
            <w:vAlign w:val="bottom"/>
            <w:gridSpan w:val="3"/>
          </w:tcPr>
          <w:p>
            <w:pPr>
              <w:jc w:val="center"/>
              <w:ind w:right="420"/>
              <w:spacing w:after="0"/>
              <w:rPr>
                <w:sz w:val="20"/>
                <w:szCs w:val="20"/>
                <w:color w:val="auto"/>
              </w:rPr>
            </w:pPr>
            <w:r>
              <w:rPr>
                <w:rFonts w:ascii="Times New Roman" w:cs="Times New Roman" w:eastAsia="Times New Roman" w:hAnsi="Times New Roman"/>
                <w:sz w:val="11"/>
                <w:szCs w:val="11"/>
                <w:color w:val="auto"/>
                <w:w w:val="98"/>
              </w:rPr>
              <w:t>Trading Symbol(s)</w:t>
            </w:r>
          </w:p>
        </w:tc>
        <w:tc>
          <w:tcPr>
            <w:tcW w:w="7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Name of each exchange on which registered</w:t>
            </w:r>
          </w:p>
        </w:tc>
      </w:tr>
      <w:tr>
        <w:trPr>
          <w:trHeight w:val="20"/>
        </w:trPr>
        <w:tc>
          <w:tcPr>
            <w:tcW w:w="7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r>
      <w:tr>
        <w:trPr>
          <w:trHeight w:val="174"/>
        </w:trPr>
        <w:tc>
          <w:tcPr>
            <w:tcW w:w="3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Common Stock, par value $0.01 per share</w:t>
            </w:r>
          </w:p>
        </w:tc>
        <w:tc>
          <w:tcPr>
            <w:tcW w:w="3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7"/>
              </w:rPr>
              <w:t>BOH</w:t>
            </w:r>
          </w:p>
        </w:tc>
        <w:tc>
          <w:tcPr>
            <w:tcW w:w="74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55"/>
        </w:trPr>
        <w:tc>
          <w:tcPr>
            <w:tcW w:w="7000" w:type="dxa"/>
            <w:vAlign w:val="bottom"/>
            <w:gridSpan w:val="3"/>
          </w:tcPr>
          <w:p>
            <w:pPr>
              <w:ind w:left="20"/>
              <w:spacing w:after="0" w:line="155" w:lineRule="exact"/>
              <w:rPr>
                <w:sz w:val="20"/>
                <w:szCs w:val="20"/>
                <w:color w:val="auto"/>
              </w:rPr>
            </w:pPr>
            <w:r>
              <w:rPr>
                <w:rFonts w:ascii="Times New Roman" w:cs="Times New Roman" w:eastAsia="Times New Roman" w:hAnsi="Times New Roman"/>
                <w:sz w:val="11"/>
                <w:szCs w:val="11"/>
                <w:b w:val="1"/>
                <w:bCs w:val="1"/>
                <w:color w:val="auto"/>
              </w:rPr>
              <w:t>Depository Shares, Each Representing 1/40</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Interest in a Share of 4.375% Fixed Rate Non-Cumulative Perpetual Preferred Stock,</w:t>
            </w:r>
          </w:p>
        </w:tc>
        <w:tc>
          <w:tcPr>
            <w:tcW w:w="40" w:type="dxa"/>
            <w:vAlign w:val="bottom"/>
          </w:tcPr>
          <w:p>
            <w:pPr>
              <w:spacing w:after="0"/>
              <w:rPr>
                <w:sz w:val="13"/>
                <w:szCs w:val="13"/>
                <w:color w:val="auto"/>
              </w:rPr>
            </w:pPr>
          </w:p>
        </w:tc>
        <w:tc>
          <w:tcPr>
            <w:tcW w:w="12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BOH.PRA</w:t>
            </w:r>
          </w:p>
        </w:tc>
        <w:tc>
          <w:tcPr>
            <w:tcW w:w="74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4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164"/>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Depository Shares, Each Representing 1/40</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Interest in a Share of 8.000% Fixed Rate Non-Cumulative Perpetual Preferred Stock,</w:t>
            </w:r>
          </w:p>
        </w:tc>
        <w:tc>
          <w:tcPr>
            <w:tcW w:w="4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7"/>
              </w:rPr>
              <w:t>BOH.PRB</w:t>
            </w:r>
          </w:p>
        </w:tc>
        <w:tc>
          <w:tcPr>
            <w:tcW w:w="74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New York Stock Exchange</w:t>
            </w:r>
          </w:p>
        </w:tc>
      </w:tr>
      <w:tr>
        <w:trPr>
          <w:trHeight w:val="142"/>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3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920" w:type="dxa"/>
            <w:vAlign w:val="bottom"/>
          </w:tcPr>
          <w:p>
            <w:pPr>
              <w:spacing w:after="0"/>
              <w:rPr>
                <w:sz w:val="12"/>
                <w:szCs w:val="12"/>
                <w:color w:val="auto"/>
              </w:rPr>
            </w:pPr>
          </w:p>
        </w:tc>
      </w:tr>
    </w:tbl>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6" w:lineRule="exact"/>
        <w:rPr>
          <w:sz w:val="24"/>
          <w:szCs w:val="24"/>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23"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23"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left="320" w:hanging="316"/>
        <w:spacing w:after="0"/>
        <w:tabs>
          <w:tab w:leader="none" w:pos="3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 (c))</w:t>
      </w:r>
    </w:p>
    <w:p>
      <w:pPr>
        <w:spacing w:after="0" w:line="132" w:lineRule="exact"/>
        <w:rPr>
          <w:sz w:val="24"/>
          <w:szCs w:val="24"/>
          <w:color w:val="auto"/>
        </w:rPr>
      </w:pPr>
    </w:p>
    <w:p>
      <w:pPr>
        <w:ind w:right="80"/>
        <w:spacing w:after="0" w:line="264"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88" w:lineRule="exact"/>
        <w:rPr>
          <w:sz w:val="24"/>
          <w:szCs w:val="24"/>
          <w:color w:val="auto"/>
        </w:rPr>
      </w:pPr>
    </w:p>
    <w:p>
      <w:pPr>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502285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52070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29210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00"/>
          </w:cols>
          <w:pgMar w:left="300" w:top="1042" w:right="399" w:bottom="1440" w:gutter="0" w:footer="0" w:header="0"/>
          <w:type w:val="continuous"/>
        </w:sectPr>
      </w:pPr>
    </w:p>
    <w:bookmarkStart w:id="1" w:name="page2"/>
    <w:bookmarkEnd w:id="1"/>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127" w:lineRule="exact"/>
        <w:rPr>
          <w:sz w:val="20"/>
          <w:szCs w:val="20"/>
          <w:color w:val="auto"/>
        </w:rPr>
      </w:pPr>
    </w:p>
    <w:p>
      <w:pPr>
        <w:ind w:left="8" w:right="100" w:firstLine="432"/>
        <w:spacing w:after="0" w:line="279" w:lineRule="auto"/>
        <w:rPr>
          <w:sz w:val="20"/>
          <w:szCs w:val="20"/>
          <w:color w:val="auto"/>
        </w:rPr>
      </w:pPr>
      <w:r>
        <w:rPr>
          <w:rFonts w:ascii="Times New Roman" w:cs="Times New Roman" w:eastAsia="Times New Roman" w:hAnsi="Times New Roman"/>
          <w:sz w:val="12"/>
          <w:szCs w:val="12"/>
          <w:color w:val="auto"/>
        </w:rPr>
        <w:t>On October 26, 2026, Bank of Hawaii Corporation announced its results of operations for the quarter ended September 30, 2026. The public announcement was made by means of a press release, the text of which is furnished as Exhibit 99.1 hereto and incorporated herein by reference.</w:t>
      </w:r>
    </w:p>
    <w:p>
      <w:pPr>
        <w:spacing w:after="0" w:line="89" w:lineRule="exact"/>
        <w:rPr>
          <w:sz w:val="20"/>
          <w:szCs w:val="20"/>
          <w:color w:val="auto"/>
        </w:rPr>
      </w:pPr>
    </w:p>
    <w:p>
      <w:pPr>
        <w:ind w:left="8"/>
        <w:spacing w:after="0"/>
        <w:tabs>
          <w:tab w:leader="none" w:pos="8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27" w:lineRule="exact"/>
        <w:rPr>
          <w:sz w:val="20"/>
          <w:szCs w:val="20"/>
          <w:color w:val="auto"/>
        </w:rPr>
      </w:pPr>
    </w:p>
    <w:p>
      <w:pPr>
        <w:ind w:left="428" w:hanging="428"/>
        <w:spacing w:after="0"/>
        <w:tabs>
          <w:tab w:leader="none" w:pos="42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1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3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900" w:type="dxa"/>
            <w:vAlign w:val="bottom"/>
          </w:tcPr>
          <w:p>
            <w:pPr>
              <w:spacing w:after="0"/>
              <w:rPr>
                <w:sz w:val="12"/>
                <w:szCs w:val="12"/>
                <w:color w:val="auto"/>
              </w:rPr>
            </w:pPr>
          </w:p>
        </w:tc>
      </w:tr>
      <w:tr>
        <w:trPr>
          <w:trHeight w:val="241"/>
        </w:trPr>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auto"/>
              </w:rPr>
              <w:t>99.1</w:t>
            </w:r>
          </w:p>
        </w:tc>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 xml:space="preserve">October 26, 2026 Press Release: Bank of Hawaii Corporation Third Quarter 2026 Financial Results. </w:t>
            </w:r>
            <w:r>
              <w:rPr>
                <w:rFonts w:ascii="Times New Roman" w:cs="Times New Roman" w:eastAsia="Times New Roman" w:hAnsi="Times New Roman"/>
                <w:sz w:val="12"/>
                <w:szCs w:val="12"/>
                <w:color w:val="000000"/>
              </w:rPr>
              <w:t>Any internet addresses provided in this release are for informational purposes only and are not</w:t>
            </w:r>
          </w:p>
        </w:tc>
      </w:tr>
      <w:tr>
        <w:trPr>
          <w:trHeight w:val="151"/>
        </w:trPr>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2"/>
                <w:szCs w:val="12"/>
                <w:color w:val="auto"/>
              </w:rPr>
              <w:t>intended to be hyperlinks. Furnished herewith.</w:t>
            </w:r>
          </w:p>
        </w:tc>
        <w:tc>
          <w:tcPr>
            <w:tcW w:w="4900" w:type="dxa"/>
            <w:vAlign w:val="bottom"/>
          </w:tcPr>
          <w:p>
            <w:pPr>
              <w:spacing w:after="0"/>
              <w:rPr>
                <w:sz w:val="13"/>
                <w:szCs w:val="13"/>
                <w:color w:val="auto"/>
              </w:rPr>
            </w:pP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99.2</w:t>
            </w:r>
          </w:p>
        </w:tc>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Bank of Hawaii Corporation Third Quarter 2026 Financial Report</w:t>
            </w:r>
          </w:p>
        </w:tc>
      </w:tr>
      <w:tr>
        <w:trPr>
          <w:trHeight w:val="20"/>
        </w:trPr>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580" w:type="dxa"/>
            <w:vAlign w:val="bottom"/>
            <w:gridSpan w:val="2"/>
          </w:tcPr>
          <w:p>
            <w:pPr>
              <w:spacing w:after="0" w:line="20" w:lineRule="exact"/>
              <w:rPr>
                <w:sz w:val="1"/>
                <w:szCs w:val="1"/>
                <w:color w:val="auto"/>
              </w:rPr>
            </w:pPr>
          </w:p>
        </w:tc>
      </w:tr>
      <w:tr>
        <w:trPr>
          <w:trHeight w:val="268"/>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000" w:type="dxa"/>
            <w:vAlign w:val="bottom"/>
          </w:tcPr>
          <w:p>
            <w:pPr>
              <w:spacing w:after="0"/>
              <w:rPr>
                <w:sz w:val="23"/>
                <w:szCs w:val="23"/>
                <w:color w:val="auto"/>
              </w:rPr>
            </w:pPr>
          </w:p>
        </w:tc>
        <w:tc>
          <w:tcPr>
            <w:tcW w:w="97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93"/>
        </w:trPr>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09"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300" w:type="dxa"/>
            <w:vAlign w:val="bottom"/>
          </w:tcPr>
          <w:p>
            <w:pPr>
              <w:spacing w:after="0"/>
              <w:rPr>
                <w:sz w:val="20"/>
                <w:szCs w:val="20"/>
                <w:color w:val="auto"/>
              </w:rPr>
            </w:pPr>
            <w:r>
              <w:rPr>
                <w:rFonts w:ascii="Times New Roman" w:cs="Times New Roman" w:eastAsia="Times New Roman" w:hAnsi="Times New Roman"/>
                <w:sz w:val="12"/>
                <w:szCs w:val="12"/>
                <w:color w:val="auto"/>
              </w:rPr>
              <w:t>Date: October 26, 2026</w:t>
            </w:r>
          </w:p>
        </w:tc>
        <w:tc>
          <w:tcPr>
            <w:tcW w:w="8000" w:type="dxa"/>
            <w:vAlign w:val="bottom"/>
            <w:gridSpan w:val="2"/>
          </w:tcPr>
          <w:p>
            <w:pPr>
              <w:ind w:left="2180"/>
              <w:spacing w:after="0"/>
              <w:rPr>
                <w:sz w:val="20"/>
                <w:szCs w:val="20"/>
                <w:color w:val="auto"/>
              </w:rPr>
            </w:pPr>
            <w:r>
              <w:rPr>
                <w:rFonts w:ascii="Times New Roman" w:cs="Times New Roman" w:eastAsia="Times New Roman" w:hAnsi="Times New Roman"/>
                <w:sz w:val="12"/>
                <w:szCs w:val="12"/>
                <w:color w:val="auto"/>
              </w:rPr>
              <w:t>Bank of Hawaii Corporation</w:t>
            </w:r>
          </w:p>
        </w:tc>
      </w:tr>
      <w:tr>
        <w:trPr>
          <w:trHeight w:val="540"/>
        </w:trPr>
        <w:tc>
          <w:tcPr>
            <w:tcW w:w="3300" w:type="dxa"/>
            <w:vAlign w:val="bottom"/>
          </w:tcPr>
          <w:p>
            <w:pPr>
              <w:spacing w:after="0"/>
              <w:rPr>
                <w:sz w:val="24"/>
                <w:szCs w:val="24"/>
                <w:color w:val="auto"/>
              </w:rPr>
            </w:pPr>
          </w:p>
        </w:tc>
        <w:tc>
          <w:tcPr>
            <w:tcW w:w="2640" w:type="dxa"/>
            <w:vAlign w:val="bottom"/>
          </w:tcPr>
          <w:p>
            <w:pPr>
              <w:ind w:left="2180"/>
              <w:spacing w:after="0"/>
              <w:rPr>
                <w:sz w:val="20"/>
                <w:szCs w:val="20"/>
                <w:color w:val="auto"/>
              </w:rPr>
            </w:pPr>
            <w:r>
              <w:rPr>
                <w:rFonts w:ascii="Times New Roman" w:cs="Times New Roman" w:eastAsia="Times New Roman" w:hAnsi="Times New Roman"/>
                <w:sz w:val="12"/>
                <w:szCs w:val="12"/>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Patrick M. McGuirk</w:t>
            </w:r>
          </w:p>
        </w:tc>
      </w:tr>
      <w:tr>
        <w:trPr>
          <w:trHeight w:val="169"/>
        </w:trPr>
        <w:tc>
          <w:tcPr>
            <w:tcW w:w="33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Patrick M. McGuirk</w:t>
            </w:r>
          </w:p>
        </w:tc>
      </w:tr>
      <w:tr>
        <w:trPr>
          <w:trHeight w:val="189"/>
        </w:trPr>
        <w:tc>
          <w:tcPr>
            <w:tcW w:w="33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2"/>
                <w:szCs w:val="12"/>
                <w:color w:val="auto"/>
              </w:rPr>
              <w:t>Vice Chair and Chief Administrative Officer</w:t>
            </w:r>
          </w:p>
        </w:tc>
      </w:tr>
    </w:tbl>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1697990</wp:posOffset>
            </wp:positionH>
            <wp:positionV relativeFrom="paragraph">
              <wp:posOffset>229870</wp:posOffset>
            </wp:positionV>
            <wp:extent cx="3771900" cy="12172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Bank of Hawai‘i Corporation Third Quarter 2026 Financial Results</w:t>
      </w:r>
    </w:p>
    <w:p>
      <w:pPr>
        <w:spacing w:after="0" w:line="167" w:lineRule="exact"/>
        <w:rPr>
          <w:sz w:val="20"/>
          <w:szCs w:val="20"/>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Diluted Earnings Per Common Share of $1.49</w:t>
      </w:r>
    </w:p>
    <w:p>
      <w:pPr>
        <w:spacing w:after="0" w:line="19" w:lineRule="exact"/>
        <w:rPr>
          <w:rFonts w:ascii="Times New Roman" w:cs="Times New Roman" w:eastAsia="Times New Roman" w:hAnsi="Times New Roman"/>
          <w:sz w:val="13"/>
          <w:szCs w:val="13"/>
          <w:b w:val="1"/>
          <w:bCs w:val="1"/>
          <w:color w:val="auto"/>
        </w:rPr>
      </w:pPr>
    </w:p>
    <w:p>
      <w:pPr>
        <w:ind w:left="1280" w:hanging="424"/>
        <w:spacing w:after="0" w:line="231" w:lineRule="auto"/>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Net Income of $64.3 Million</w:t>
      </w: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Net Interest Margin Increased to 2.82%</w:t>
      </w:r>
    </w:p>
    <w:p>
      <w:pPr>
        <w:spacing w:after="0" w:line="3" w:lineRule="exact"/>
        <w:rPr>
          <w:rFonts w:ascii="Times New Roman" w:cs="Times New Roman" w:eastAsia="Times New Roman" w:hAnsi="Times New Roman"/>
          <w:sz w:val="13"/>
          <w:szCs w:val="13"/>
          <w:b w:val="1"/>
          <w:bCs w:val="1"/>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Repurchases of $20.2 Million</w:t>
      </w:r>
    </w:p>
    <w:p>
      <w:pPr>
        <w:spacing w:after="0" w:line="3" w:lineRule="exact"/>
        <w:rPr>
          <w:rFonts w:ascii="Times New Roman" w:cs="Times New Roman" w:eastAsia="Times New Roman" w:hAnsi="Times New Roman"/>
          <w:sz w:val="13"/>
          <w:szCs w:val="13"/>
          <w:b w:val="1"/>
          <w:bCs w:val="1"/>
          <w:color w:val="auto"/>
        </w:rPr>
      </w:pPr>
    </w:p>
    <w:p>
      <w:pPr>
        <w:ind w:left="1280" w:hanging="424"/>
        <w:spacing w:after="0"/>
        <w:tabs>
          <w:tab w:leader="none" w:pos="1280" w:val="left"/>
        </w:tabs>
        <w:numPr>
          <w:ilvl w:val="0"/>
          <w:numId w:val="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Share Repurchase Program Increased by $200 Million</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IMMEDIATE RELEASE</w:t>
      </w:r>
    </w:p>
    <w:p>
      <w:pPr>
        <w:spacing w:after="0" w:line="169"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3"/>
          <w:szCs w:val="13"/>
          <w:color w:val="auto"/>
        </w:rPr>
        <w:t>HONOLULU, HI (October 26, 2026) -- Bank of Hawai‘i Corporation (NYSE: BOH) (the “Company”) today reported diluted earnings per common share of $1.49 for the third quarter of 2026, compared with $1.47 during the linked quarter. Net income for the quarter was $64.3 million, up 0.7% from the linked quarter. The return on average common equity for the third quarter of 2026 was 15.38% compared with 15.47% during the linked quarter.</w:t>
      </w:r>
    </w:p>
    <w:p>
      <w:pPr>
        <w:spacing w:after="0" w:line="12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“Bank of Hawai‘i delivered another quarter of solid performance, supported by continued expense discipline,” said Jim Polk, President and CEO. “Net interest margin expanded for the tenth consecutive quarter, reflecting the ongoing benefit of asset repricing and the positive impact of deposit repricing actions. Loan balances increased from the prior quarter, our funding profile remained resilient, and credit quality stayed healthy. We remain focused on enhancing earnings while maintaining the financial strength and resilience that differentiate our franchise. ”</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Financial Highlights</w:t>
      </w:r>
    </w:p>
    <w:p>
      <w:pPr>
        <w:spacing w:after="0" w:line="15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Net interest income for the third quarter of 2026 was $156.1 million, an increase of 1.6% from the linked quarter. The increase was primarily driven by a 5-basis point increase in earning asset yield as fixed-rate assets rolled off and were reinvested at higher rates (fixed asset repricing). The benefits were partially offset by a shift from noninterest-bearing deposits and interest-bearing deposits yielding less than 10 basis points to higher yielding interest-bearing deposits accounts (deposit mix shift).</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Net interest margin was 2.82% in the third quarter of 2026, an increase of 4 basis points from the linked quarter, reflecting the same asset yield and deposit cost dynamics as previously mentioned.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1972310</wp:posOffset>
            </wp:positionH>
            <wp:positionV relativeFrom="paragraph">
              <wp:posOffset>11430</wp:posOffset>
            </wp:positionV>
            <wp:extent cx="3223260" cy="102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23260" cy="102870"/>
                    </a:xfrm>
                    <a:prstGeom prst="rect">
                      <a:avLst/>
                    </a:prstGeom>
                    <a:noFill/>
                  </pic:spPr>
                </pic:pic>
              </a:graphicData>
            </a:graphic>
          </wp:anchor>
        </w:drawing>
      </w:r>
    </w:p>
    <w:p>
      <w:pPr>
        <w:sectPr>
          <w:pgSz w:w="11900" w:h="16838" w:orient="portrait"/>
          <w:cols w:equalWidth="0" w:num="1">
            <w:col w:w="11300"/>
          </w:cols>
          <w:pgMar w:left="300" w:top="735" w:right="299" w:bottom="1440" w:gutter="0" w:footer="0" w:header="0"/>
        </w:sectPr>
      </w:pPr>
    </w:p>
    <w:bookmarkStart w:id="4" w:name="page5"/>
    <w:bookmarkEnd w:id="4"/>
    <w:p>
      <w:pPr>
        <w:spacing w:after="0"/>
        <w:tabs>
          <w:tab w:leader="none" w:pos="10860" w:val="left"/>
        </w:tabs>
        <w:rPr>
          <w:sz w:val="20"/>
          <w:szCs w:val="20"/>
          <w:color w:val="auto"/>
        </w:rPr>
      </w:pPr>
      <w:r>
        <w:rPr>
          <w:rFonts w:ascii="Times New Roman" w:cs="Times New Roman" w:eastAsia="Times New Roman" w:hAnsi="Times New Roman"/>
          <w:sz w:val="13"/>
          <w:szCs w:val="13"/>
          <w:b w:val="1"/>
          <w:bCs w:val="1"/>
          <w:color w:val="auto"/>
        </w:rPr>
        <w:t>Bank of Hawai‘i Corporation Third Quarter 2026 Financial Results</w:t>
      </w:r>
      <w:r>
        <w:rPr>
          <w:sz w:val="20"/>
          <w:szCs w:val="20"/>
          <w:color w:val="auto"/>
        </w:rPr>
        <w:tab/>
      </w:r>
      <w:r>
        <w:rPr>
          <w:rFonts w:ascii="Times New Roman" w:cs="Times New Roman" w:eastAsia="Times New Roman" w:hAnsi="Times New Roman"/>
          <w:sz w:val="12"/>
          <w:szCs w:val="12"/>
          <w:b w:val="1"/>
          <w:bCs w:val="1"/>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firstLine="432"/>
        <w:spacing w:after="0" w:line="270" w:lineRule="auto"/>
        <w:rPr>
          <w:sz w:val="20"/>
          <w:szCs w:val="20"/>
          <w:color w:val="auto"/>
        </w:rPr>
      </w:pPr>
      <w:r>
        <w:rPr>
          <w:rFonts w:ascii="Times New Roman" w:cs="Times New Roman" w:eastAsia="Times New Roman" w:hAnsi="Times New Roman"/>
          <w:sz w:val="13"/>
          <w:szCs w:val="13"/>
          <w:color w:val="auto"/>
        </w:rPr>
        <w:t>The average yield on total earning assets was 4.13% and the average yield on loans and leases was 4.82% in the third quarter of 2026, up 5 basis points and 3 basis points, respectively, from the linked quarter. The increase in loan yield from the linked quarter was primarily driven by fixed asset repricing and additional loan production at higher current rates. Loan originations, including floating rate loans, during the quarter were originated at a weighted average rate of 5.89%.</w:t>
      </w:r>
    </w:p>
    <w:p>
      <w:pPr>
        <w:spacing w:after="0" w:line="134" w:lineRule="exact"/>
        <w:rPr>
          <w:sz w:val="20"/>
          <w:szCs w:val="20"/>
          <w:color w:val="auto"/>
        </w:rPr>
      </w:pPr>
    </w:p>
    <w:p>
      <w:pPr>
        <w:jc w:val="both"/>
        <w:ind w:firstLine="432"/>
        <w:spacing w:after="0" w:line="281" w:lineRule="auto"/>
        <w:rPr>
          <w:sz w:val="20"/>
          <w:szCs w:val="20"/>
          <w:color w:val="auto"/>
        </w:rPr>
      </w:pPr>
      <w:r>
        <w:rPr>
          <w:rFonts w:ascii="Times New Roman" w:cs="Times New Roman" w:eastAsia="Times New Roman" w:hAnsi="Times New Roman"/>
          <w:sz w:val="13"/>
          <w:szCs w:val="13"/>
          <w:color w:val="auto"/>
        </w:rPr>
        <w:t>The average quarterly rate of interest-bearing deposits was 1.72% and the average quarterly rate of total deposits, including noninterest-bearing deposits, was 1.27%, down 1 basis point and unchanged, respectively, from the linked quarter.</w:t>
      </w:r>
    </w:p>
    <w:p>
      <w:pPr>
        <w:spacing w:after="0" w:line="1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Noninterest income was $42.7 million in the third quarter of 2026, a decrease of 1.4% from the linked quarter. Noninterest income included a $0.6 million and a $0.4 million charge related to a Visa Class B share conversion ratio change in the third quarter of 2026 and linked quarter, respectively. Adjusted for these items, noninterest income for the third quarter of 2026 was down 0.9% from the linked quarter. The decrease was primarily due to lower gains on leased asset sales and seasonally higher trust-related tax services revenue in the linked quarter, partially offset by stronger deposit fees.</w:t>
      </w:r>
    </w:p>
    <w:p>
      <w:pPr>
        <w:spacing w:after="0" w:line="12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Noninterest expense was $112.3 million in the third quarter of 2026, an increase of 1.0% from the linked quarter. Noninterest expense in the linked quarter included a $0.5 million net benefit related to the forfeiture of restricted stock awards. Adjusted for this item, noninterest expense for the third quarter of 2026 increased by 0.5% from the linked quarter. The increase was primarily due to higher net equipment and net occupancy expenses.</w:t>
      </w:r>
    </w:p>
    <w:p>
      <w:pPr>
        <w:spacing w:after="0" w:line="134"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The effective tax rate for the third quarter of 2026 was 23.24% compared to 22.31% during the linked quarter. The higher effective tax rate in the current quarter as compared to the linked quarter was primarily due to an increase in valuation allowance related to low-income housing investments.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Asset Quality</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Company’s overall asset quality remained stable during the third quarter of 2026. Provision for credit losses for the third quarter of 2026 was $2.8 million, down $0.9 million from the linked quarter.</w:t>
      </w:r>
    </w:p>
    <w:p>
      <w:pPr>
        <w:spacing w:after="0" w:line="166"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Total non-performing assets were $43.4 million at September 30, 2026, up $31.9 million from June 30, 2026. Non-performing assets as a percentage of total loans and leases and foreclosed real estate were 0.30% at the end of the quarter, an increase of 22 basis points from the linked quarter. The increase was primarily due to a single commercial mortgage being placed on non-accrual status in the third quarter of 2026 due to borrower specific circumstances on this particular loan and is not believed to represent broader credit deterioration in the loan portfolio.</w:t>
      </w:r>
    </w:p>
    <w:p>
      <w:pPr>
        <w:spacing w:after="0" w:line="125"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Net loan and lease charge-offs during the third quarter of 2026 were $3.3 million or 9 basis points annualized of total average loans and leases outstanding. Gross charge-offs of $4.7 million were partially offset by gross recoveries of $1.4 million. Compared to the linked quarter, net loan and lease charge-offs decreased by $0.1 million or 1 basis point annualized on total average loans and leases outstanding.</w:t>
      </w:r>
    </w:p>
    <w:p>
      <w:pPr>
        <w:spacing w:after="0" w:line="110"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3"/>
          <w:szCs w:val="13"/>
          <w:color w:val="auto"/>
        </w:rPr>
        <w:t>The allowance for credit losses on loans and leases was $146.2 million at September 30, 2026, a decrease of $0.8 million from June 30, 2026. The ratio of the allowance for credit losses to total loans and leases outstanding was 1.02% at the end of the quarter, a decrease of 1 basis point from June 30, 2026.</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708" w:right="299" w:bottom="1440" w:gutter="0" w:footer="0" w:header="0"/>
        </w:sectPr>
      </w:pPr>
    </w:p>
    <w:bookmarkStart w:id="5" w:name="page6"/>
    <w:bookmarkEnd w:id="5"/>
    <w:p>
      <w:pPr>
        <w:spacing w:after="0"/>
        <w:tabs>
          <w:tab w:leader="none" w:pos="10860" w:val="left"/>
        </w:tabs>
        <w:rPr>
          <w:sz w:val="20"/>
          <w:szCs w:val="20"/>
          <w:color w:val="auto"/>
        </w:rPr>
      </w:pPr>
      <w:r>
        <w:rPr>
          <w:rFonts w:ascii="Times New Roman" w:cs="Times New Roman" w:eastAsia="Times New Roman" w:hAnsi="Times New Roman"/>
          <w:sz w:val="13"/>
          <w:szCs w:val="13"/>
          <w:b w:val="1"/>
          <w:bCs w:val="1"/>
          <w:color w:val="auto"/>
        </w:rPr>
        <w:t>Bank of Hawai‘i Corporation Third Quarter 2026 Financial Results</w:t>
      </w:r>
      <w:r>
        <w:rPr>
          <w:sz w:val="20"/>
          <w:szCs w:val="20"/>
          <w:color w:val="auto"/>
        </w:rPr>
        <w:tab/>
      </w:r>
      <w:r>
        <w:rPr>
          <w:rFonts w:ascii="Times New Roman" w:cs="Times New Roman" w:eastAsia="Times New Roman" w:hAnsi="Times New Roman"/>
          <w:sz w:val="12"/>
          <w:szCs w:val="12"/>
          <w:b w:val="1"/>
          <w:bCs w:val="1"/>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Balance Sheet</w:t>
      </w:r>
    </w:p>
    <w:p>
      <w:pPr>
        <w:spacing w:after="0" w:line="177" w:lineRule="exact"/>
        <w:rPr>
          <w:sz w:val="20"/>
          <w:szCs w:val="20"/>
          <w:color w:val="auto"/>
        </w:rPr>
      </w:pPr>
    </w:p>
    <w:p>
      <w:pPr>
        <w:jc w:val="both"/>
        <w:ind w:right="20" w:firstLine="432"/>
        <w:spacing w:after="0" w:line="281" w:lineRule="auto"/>
        <w:rPr>
          <w:sz w:val="20"/>
          <w:szCs w:val="20"/>
          <w:color w:val="auto"/>
        </w:rPr>
      </w:pPr>
      <w:r>
        <w:rPr>
          <w:rFonts w:ascii="Times New Roman" w:cs="Times New Roman" w:eastAsia="Times New Roman" w:hAnsi="Times New Roman"/>
          <w:sz w:val="13"/>
          <w:szCs w:val="13"/>
          <w:color w:val="auto"/>
        </w:rPr>
        <w:t>Total assets were $23.8 billion at September 30, 2026, a decrease of 1.5% from December 31, 2025. The decrease from December 31, 2025 was primarily due to decreases in cash and cash equivalents and held-to-maturity securities, partially offset by increases in loans and leases.</w:t>
      </w:r>
    </w:p>
    <w:p>
      <w:pPr>
        <w:spacing w:after="0" w:line="12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3"/>
          <w:szCs w:val="13"/>
          <w:color w:val="auto"/>
        </w:rPr>
        <w:t>The investment securities portfolio was $7.5 billion at September 30, 2026, a decrease of 3.3% from December 31, 2025. The decrease was primarily due to portfolio runoff, including maturities and paydowns, a decline in the fair value of our available-for-sale investment portfolio, partially offset by purchases of available-for-sale securities. The investment securities portfolio remains largely comprised of securities issued by U.S. government agencies and U.S. government-sponsored enterprises.</w:t>
      </w:r>
    </w:p>
    <w:p>
      <w:pPr>
        <w:spacing w:after="0" w:line="125"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Total loans and leases were $14.4 billion at September 30, 2026, an increase of 2.1% from December 31, 2025. Total commercial loans were $6.3 billion at September 30, 2026, an increase of 3.8% from December 31, 2025. The increase was primarily due to commercial mortgage and commercial and industrial production. Total consumer loans were $8.1 billion at September 30, 2026, an increase of 0.7% from December 31, 2025. Both commercial and consumer loan originations during the period were partially offset by amortization and paydowns.</w:t>
      </w:r>
    </w:p>
    <w:p>
      <w:pPr>
        <w:spacing w:after="0" w:line="134"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Total deposits were $20.5 billion at September 30, 2026, a decrease of 3.3% from December 31, 2025. The decrease was primarily driven by the strategic runoff of public funds and lower commercial deposit balances. Noninterest-bearing deposits made up 26.5% of total deposit balances at September 30, 2026, down from 27.2% at December 31, 2025. Average total deposits were $20.7 billion for the third quarter of 2026, down 1.5% from December 31, 2025, primarily reflecting lower commercial deposit balances during the period.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Capital and Dividends</w:t>
      </w:r>
    </w:p>
    <w:p>
      <w:pPr>
        <w:spacing w:after="0" w:line="15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The Company’s capital levels remain well above regulatory well-capitalized minimums.</w:t>
      </w:r>
    </w:p>
    <w:p>
      <w:pPr>
        <w:spacing w:after="0" w:line="166"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3"/>
          <w:szCs w:val="13"/>
          <w:color w:val="auto"/>
        </w:rPr>
        <w:t>The Tier 1 Capital Ratio was 14.41% at September 30, 2026 compared with 14.49% at December 31, 2025. The decrease from December 31, 2025 was due to an increase in risk-weighted assets and share repurchases, as discussed below, partially offset by an increase in retained earnings. The Tier 1 Leverage Ratio was 8.79% at September 30, 2026, compared with 8.57% at December 31, 2025. The increase from December 31, 2025 was due to a decline in average assets and an increase in retained earnings.</w:t>
      </w:r>
    </w:p>
    <w:p>
      <w:pPr>
        <w:spacing w:after="0" w:line="121"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The Company repurchased 256 thousand shares of common stock at a total cost of $20.2 million under the share repurchase program in the third quarter of 2026. Total remaining buyback authority under the share repurchase program was $68.7 million at September 30, 2026. Subsequent to quarter end, the Board of Directors increased the authorization under the share repurchase program by $200 million to $268.7 million.</w:t>
      </w:r>
    </w:p>
    <w:p>
      <w:pPr>
        <w:spacing w:after="0" w:line="13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3"/>
          <w:szCs w:val="13"/>
          <w:color w:val="auto"/>
        </w:rPr>
        <w:t>The Company’s Board of Directors declared a quarterly cash dividend of $0.70 per share on the Company’s outstanding common shares. The dividend will be payable on December 14, 2026 to shareholders of record at the close of business on November 30,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708" w:right="299" w:bottom="1440" w:gutter="0" w:footer="0" w:header="0"/>
        </w:sectPr>
      </w:pPr>
    </w:p>
    <w:bookmarkStart w:id="6" w:name="page7"/>
    <w:bookmarkEnd w:id="6"/>
    <w:p>
      <w:pPr>
        <w:spacing w:after="0"/>
        <w:tabs>
          <w:tab w:leader="none" w:pos="10860" w:val="left"/>
        </w:tabs>
        <w:rPr>
          <w:sz w:val="20"/>
          <w:szCs w:val="20"/>
          <w:color w:val="auto"/>
        </w:rPr>
      </w:pPr>
      <w:r>
        <w:rPr>
          <w:rFonts w:ascii="Times New Roman" w:cs="Times New Roman" w:eastAsia="Times New Roman" w:hAnsi="Times New Roman"/>
          <w:sz w:val="13"/>
          <w:szCs w:val="13"/>
          <w:b w:val="1"/>
          <w:bCs w:val="1"/>
          <w:color w:val="auto"/>
        </w:rPr>
        <w:t>Bank of Hawai‘i Corporation Third Quarter 2026 Financial Results</w:t>
      </w:r>
      <w:r>
        <w:rPr>
          <w:sz w:val="20"/>
          <w:szCs w:val="20"/>
          <w:color w:val="auto"/>
        </w:rPr>
        <w:tab/>
      </w:r>
      <w:r>
        <w:rPr>
          <w:rFonts w:ascii="Times New Roman" w:cs="Times New Roman" w:eastAsia="Times New Roman" w:hAnsi="Times New Roman"/>
          <w:sz w:val="12"/>
          <w:szCs w:val="12"/>
          <w:b w:val="1"/>
          <w:bCs w:val="1"/>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3"/>
          <w:szCs w:val="13"/>
          <w:color w:val="auto"/>
        </w:rPr>
        <w:t>On October 2, 2026, the Company announced that the Board of Directors declared a quarterly dividend payment of $10.94 per share, equivalent to $0.2735 per depositary share, of Fixed Rate Non-Cumulative Perpetual Preferred Stock, Series A, and a quarterly dividend payment of $20.00 per share, equivalent to $0.5000 per depositary share, of Fixed Rate Non-Cumulative Perpetual Preferred Stock, Series B. The depositary shares representing the Series A Preferred Stock and Series B Preferred Stock are traded on the NYSE under the symbol “BOH.PRA” and “BOH.PRB”, respectively. The dividends on the Series A Preferred Stock and Series B Preferred Stock will be payable on November 2, 2026 to shareholders of record of the preferred stock as of the close of business on October 16, 2026.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Conference Call Information</w:t>
      </w:r>
    </w:p>
    <w:p>
      <w:pPr>
        <w:spacing w:after="0" w:line="15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The Company will review its third quarter financial results today at 8:00 a.m. Hawai‘i Time (2:00 p.m. Eastern Time). The live call, including a slide presentation, will be accessible on the investor relations link of Bank of Hawai‘i Corporation's website, www.boh.com. The conference call can be accessed via the link: https://register-conf.media-server.com/register/BIca3756a1006c4dff84049e53b338c6cf. A replay of the conference call will be available for one year beginning at approximately 11:00 a.m. Hawai‘i Time on Monday, October 26, 2026. The replay will be available on the Company's website, www.boh.com.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Investor Announcements</w:t>
      </w:r>
    </w:p>
    <w:p>
      <w:pPr>
        <w:spacing w:after="0" w:line="15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3"/>
          <w:szCs w:val="13"/>
          <w:color w:val="auto"/>
        </w:rPr>
        <w:t>Investors and others should note that the Company intends to announce financial and other information to the Company’s investors using the Company’s investor relations website at https://ir.boh.com, social media channels, press releases, SEC filings and public conference calls and webcasts, all for purposes of complying with the Company’s disclosure obligations under Regulation FD. Accordingly, investors should monitor these channels, as information is updated, and new information is posted.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Forward-Looking Statements</w:t>
      </w:r>
    </w:p>
    <w:p>
      <w:pPr>
        <w:spacing w:after="0" w:line="17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3"/>
          <w:szCs w:val="13"/>
          <w:color w:val="auto"/>
        </w:rPr>
        <w:t>This news release, and other statements made by the Company in connection with it may contain "forward-looking statements" (as defined in the Private Securities Litigation Reform Act of 1995) that involve risks and uncertainties that could cause results to be materially different from expectations. Forecasts of our financial results and condition, expectations for our operations and business prospects, and our assumptions used in those forecasts and expectations are examples of certain of these forward-looking statements. Do not unduly rely on forward-looking statements. Actual results might differ significantly from our forecasts and expectations because of a variety of factors. More information about these factors is contained in Bank of Hawai‘i Corporation's Annual Report on Form 10-K for the year ended December 31, 2025, which was filed with the U.S. Securities and Exchange Commission. These forward-looking statements are not guarantees of future performance and speak only as of the date made, and, except as required by law, the Company undertakes no obligation to update or revise any forward-looking statements to reflect subsequent events, new information or future circumstances.</w:t>
      </w:r>
    </w:p>
    <w:p>
      <w:pPr>
        <w:spacing w:after="0" w:line="142" w:lineRule="exact"/>
        <w:rPr>
          <w:sz w:val="20"/>
          <w:szCs w:val="20"/>
          <w:color w:val="auto"/>
        </w:rPr>
      </w:pPr>
    </w:p>
    <w:p>
      <w:pPr>
        <w:jc w:val="both"/>
        <w:ind w:right="20" w:firstLine="432"/>
        <w:spacing w:after="0" w:line="261" w:lineRule="auto"/>
        <w:rPr>
          <w:sz w:val="20"/>
          <w:szCs w:val="20"/>
          <w:color w:val="auto"/>
        </w:rPr>
      </w:pPr>
      <w:r>
        <w:rPr>
          <w:rFonts w:ascii="Times New Roman" w:cs="Times New Roman" w:eastAsia="Times New Roman" w:hAnsi="Times New Roman"/>
          <w:sz w:val="12"/>
          <w:szCs w:val="12"/>
          <w:i w:val="1"/>
          <w:iCs w:val="1"/>
          <w:color w:val="auto"/>
        </w:rPr>
        <w:t>Bank of Hawai‘i Corporation is an independent regional financial services company serving businesses, consumers, and governments in Hawai‘i and the West Pacific. The Company's principal subsidiary, Bank of Hawai‘i, was founded in 1897. For more information about Bank of Hawai‘i Corporation, see the Company’s website, www.boh.com. Bank of Hawai‘i Corporation is a trade name of Bank of Hawaii Corporation.</w:t>
      </w:r>
    </w:p>
    <w:p>
      <w:pPr>
        <w:jc w:val="center"/>
        <w:spacing w:after="0"/>
        <w:rPr>
          <w:sz w:val="20"/>
          <w:szCs w:val="20"/>
          <w:color w:val="auto"/>
        </w:rPr>
      </w:pPr>
      <w:r>
        <w:rPr>
          <w:rFonts w:ascii="Times New Roman" w:cs="Times New Roman" w:eastAsia="Times New Roman" w:hAnsi="Times New Roman"/>
          <w:sz w:val="13"/>
          <w:szCs w:val="13"/>
          <w:color w:val="auto"/>
        </w:rPr>
        <w:t># # # #</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0"/>
          </w:cols>
          <w:pgMar w:left="300" w:top="708" w:right="299" w:bottom="1440" w:gutter="0" w:footer="0" w:header="0"/>
        </w:sectPr>
      </w:pPr>
    </w:p>
    <w:bookmarkStart w:id="7" w:name="page8"/>
    <w:bookmarkEnd w:id="7"/>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1a</w:t>
            </w:r>
          </w:p>
        </w:tc>
      </w:tr>
      <w:tr>
        <w:trPr>
          <w:trHeight w:val="130"/>
        </w:trPr>
        <w:tc>
          <w:tcPr>
            <w:tcW w:w="68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980" w:type="dxa"/>
            <w:vAlign w:val="bottom"/>
          </w:tcPr>
          <w:p>
            <w:pPr>
              <w:spacing w:after="0"/>
              <w:rPr>
                <w:sz w:val="11"/>
                <w:szCs w:val="11"/>
                <w:color w:val="auto"/>
              </w:rPr>
            </w:pPr>
          </w:p>
        </w:tc>
      </w:tr>
      <w:tr>
        <w:trPr>
          <w:trHeight w:val="26"/>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08"/>
        </w:trPr>
        <w:tc>
          <w:tcPr>
            <w:tcW w:w="680" w:type="dxa"/>
            <w:vAlign w:val="bottom"/>
          </w:tcPr>
          <w:p>
            <w:pPr>
              <w:spacing w:after="0"/>
              <w:rPr>
                <w:sz w:val="9"/>
                <w:szCs w:val="9"/>
                <w:color w:val="auto"/>
              </w:rPr>
            </w:pPr>
          </w:p>
        </w:tc>
        <w:tc>
          <w:tcPr>
            <w:tcW w:w="3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jc w:val="right"/>
              <w:ind w:right="349"/>
              <w:spacing w:after="0" w:line="10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00" w:type="dxa"/>
            <w:vAlign w:val="bottom"/>
          </w:tcPr>
          <w:p>
            <w:pPr>
              <w:spacing w:after="0"/>
              <w:rPr>
                <w:sz w:val="9"/>
                <w:szCs w:val="9"/>
                <w:color w:val="auto"/>
              </w:rPr>
            </w:pPr>
          </w:p>
        </w:tc>
        <w:tc>
          <w:tcPr>
            <w:tcW w:w="1240" w:type="dxa"/>
            <w:vAlign w:val="bottom"/>
          </w:tcPr>
          <w:p>
            <w:pPr>
              <w:jc w:val="center"/>
              <w:ind w:right="149"/>
              <w:spacing w:after="0" w:line="108" w:lineRule="exact"/>
              <w:rPr>
                <w:sz w:val="20"/>
                <w:szCs w:val="20"/>
                <w:color w:val="auto"/>
              </w:rPr>
            </w:pPr>
            <w:r>
              <w:rPr>
                <w:rFonts w:ascii="Times New Roman" w:cs="Times New Roman" w:eastAsia="Times New Roman" w:hAnsi="Times New Roman"/>
                <w:sz w:val="10"/>
                <w:szCs w:val="10"/>
                <w:b w:val="1"/>
                <w:bCs w:val="1"/>
                <w:color w:val="auto"/>
              </w:rPr>
              <w:t>June 30,</w:t>
            </w:r>
          </w:p>
        </w:tc>
        <w:tc>
          <w:tcPr>
            <w:tcW w:w="260" w:type="dxa"/>
            <w:vAlign w:val="bottom"/>
          </w:tcPr>
          <w:p>
            <w:pPr>
              <w:spacing w:after="0"/>
              <w:rPr>
                <w:sz w:val="9"/>
                <w:szCs w:val="9"/>
                <w:color w:val="auto"/>
              </w:rPr>
            </w:pPr>
          </w:p>
        </w:tc>
        <w:tc>
          <w:tcPr>
            <w:tcW w:w="120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220" w:type="dxa"/>
            <w:vAlign w:val="bottom"/>
          </w:tcPr>
          <w:p>
            <w:pPr>
              <w:spacing w:after="0"/>
              <w:rPr>
                <w:sz w:val="9"/>
                <w:szCs w:val="9"/>
                <w:color w:val="auto"/>
              </w:rPr>
            </w:pPr>
          </w:p>
        </w:tc>
        <w:tc>
          <w:tcPr>
            <w:tcW w:w="1160" w:type="dxa"/>
            <w:vAlign w:val="bottom"/>
          </w:tcPr>
          <w:p>
            <w:pPr>
              <w:jc w:val="right"/>
              <w:ind w:right="369"/>
              <w:spacing w:after="0" w:line="10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Pr>
          <w:p>
            <w:pPr>
              <w:spacing w:after="0"/>
              <w:rPr>
                <w:sz w:val="9"/>
                <w:szCs w:val="9"/>
                <w:color w:val="auto"/>
              </w:rPr>
            </w:pPr>
          </w:p>
        </w:tc>
        <w:tc>
          <w:tcPr>
            <w:tcW w:w="980" w:type="dxa"/>
            <w:vAlign w:val="bottom"/>
          </w:tcPr>
          <w:p>
            <w:pPr>
              <w:jc w:val="right"/>
              <w:ind w:right="329"/>
              <w:spacing w:after="0" w:line="108" w:lineRule="exact"/>
              <w:rPr>
                <w:sz w:val="20"/>
                <w:szCs w:val="20"/>
                <w:color w:val="auto"/>
              </w:rPr>
            </w:pPr>
            <w:r>
              <w:rPr>
                <w:rFonts w:ascii="Times New Roman" w:cs="Times New Roman" w:eastAsia="Times New Roman" w:hAnsi="Times New Roman"/>
                <w:sz w:val="10"/>
                <w:szCs w:val="10"/>
                <w:b w:val="1"/>
                <w:bCs w:val="1"/>
                <w:color w:val="auto"/>
                <w:w w:val="94"/>
              </w:rPr>
              <w:t>September 30,</w:t>
            </w:r>
          </w:p>
        </w:tc>
      </w:tr>
      <w:tr>
        <w:trPr>
          <w:trHeight w:val="139"/>
        </w:trPr>
        <w:tc>
          <w:tcPr>
            <w:tcW w:w="426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(dollars in thousands, except per share amounts)</w:t>
            </w:r>
          </w:p>
        </w:tc>
        <w:tc>
          <w:tcPr>
            <w:tcW w:w="220" w:type="dxa"/>
            <w:vAlign w:val="bottom"/>
          </w:tcPr>
          <w:p>
            <w:pPr>
              <w:spacing w:after="0"/>
              <w:rPr>
                <w:sz w:val="12"/>
                <w:szCs w:val="12"/>
                <w:color w:val="auto"/>
              </w:rPr>
            </w:pPr>
          </w:p>
        </w:tc>
        <w:tc>
          <w:tcPr>
            <w:tcW w:w="1160" w:type="dxa"/>
            <w:vAlign w:val="bottom"/>
          </w:tcPr>
          <w:p>
            <w:pPr>
              <w:jc w:val="right"/>
              <w:ind w:right="549"/>
              <w:spacing w:after="0"/>
              <w:rPr>
                <w:sz w:val="20"/>
                <w:szCs w:val="20"/>
                <w:color w:val="auto"/>
              </w:rPr>
            </w:pPr>
            <w:r>
              <w:rPr>
                <w:rFonts w:ascii="Times New Roman" w:cs="Times New Roman" w:eastAsia="Times New Roman" w:hAnsi="Times New Roman"/>
                <w:sz w:val="10"/>
                <w:szCs w:val="10"/>
                <w:b w:val="1"/>
                <w:bCs w:val="1"/>
                <w:color w:val="auto"/>
              </w:rPr>
              <w:t>2026</w:t>
            </w:r>
          </w:p>
        </w:tc>
        <w:tc>
          <w:tcPr>
            <w:tcW w:w="200" w:type="dxa"/>
            <w:vAlign w:val="bottom"/>
          </w:tcPr>
          <w:p>
            <w:pPr>
              <w:spacing w:after="0"/>
              <w:rPr>
                <w:sz w:val="12"/>
                <w:szCs w:val="12"/>
                <w:color w:val="auto"/>
              </w:rPr>
            </w:pPr>
          </w:p>
        </w:tc>
        <w:tc>
          <w:tcPr>
            <w:tcW w:w="1240" w:type="dxa"/>
            <w:vAlign w:val="bottom"/>
          </w:tcPr>
          <w:p>
            <w:pPr>
              <w:jc w:val="center"/>
              <w:ind w:right="149"/>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260" w:type="dxa"/>
            <w:vAlign w:val="bottom"/>
          </w:tcPr>
          <w:p>
            <w:pPr>
              <w:spacing w:after="0"/>
              <w:rPr>
                <w:sz w:val="12"/>
                <w:szCs w:val="12"/>
                <w:color w:val="auto"/>
              </w:rPr>
            </w:pPr>
          </w:p>
        </w:tc>
        <w:tc>
          <w:tcPr>
            <w:tcW w:w="1120" w:type="dxa"/>
            <w:vAlign w:val="bottom"/>
          </w:tcPr>
          <w:p>
            <w:pPr>
              <w:jc w:val="right"/>
              <w:ind w:right="529"/>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569"/>
              <w:spacing w:after="0"/>
              <w:rPr>
                <w:sz w:val="20"/>
                <w:szCs w:val="20"/>
                <w:color w:val="auto"/>
              </w:rPr>
            </w:pPr>
            <w:r>
              <w:rPr>
                <w:rFonts w:ascii="Times New Roman" w:cs="Times New Roman" w:eastAsia="Times New Roman" w:hAnsi="Times New Roman"/>
                <w:sz w:val="10"/>
                <w:szCs w:val="10"/>
                <w:b w:val="1"/>
                <w:bCs w:val="1"/>
                <w:color w:val="auto"/>
              </w:rPr>
              <w:t>2026</w:t>
            </w:r>
          </w:p>
        </w:tc>
        <w:tc>
          <w:tcPr>
            <w:tcW w:w="400" w:type="dxa"/>
            <w:vAlign w:val="bottom"/>
          </w:tcPr>
          <w:p>
            <w:pPr>
              <w:spacing w:after="0"/>
              <w:rPr>
                <w:sz w:val="12"/>
                <w:szCs w:val="12"/>
                <w:color w:val="auto"/>
              </w:rPr>
            </w:pPr>
          </w:p>
        </w:tc>
        <w:tc>
          <w:tcPr>
            <w:tcW w:w="980" w:type="dxa"/>
            <w:vAlign w:val="bottom"/>
          </w:tcPr>
          <w:p>
            <w:pPr>
              <w:jc w:val="right"/>
              <w:ind w:right="529"/>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21"/>
        </w:trPr>
        <w:tc>
          <w:tcPr>
            <w:tcW w:w="68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40"/>
        </w:trPr>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For the Period:</w:t>
            </w:r>
          </w:p>
        </w:tc>
        <w:tc>
          <w:tcPr>
            <w:tcW w:w="35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Operating Results</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Interest Income</w:t>
            </w:r>
          </w:p>
        </w:tc>
        <w:tc>
          <w:tcPr>
            <w:tcW w:w="2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156,054</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153,604</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136,675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460,648</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392,165</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2,750</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3,600</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2,500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8,100</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9,000</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Noninterest Income</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42,706</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43,299</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45,966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127,337</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134,819</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Total Noninterest Expense</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112,304</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111,186</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112,387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339,561</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333,629</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Pre-Provision Net Revenue</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86,456</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85,717</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70,254</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248,424</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193,355</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Net Income</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64,258</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63,799</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53,345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185,489</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144,967</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Available to Common Shareholders</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58,989</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58,530</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48,076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169,681</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129,159</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Basic Earnings Per Common Share</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1.50</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1.48</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1.21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4.30</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3.26</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Diluted Earnings Per Common Share</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1.49</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1.47</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1.20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4.27</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3.24</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Dividends Declared Per Common Share</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0.70</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0.70</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0.70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2.10</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2.10</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Performance Ratios</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Return on Average Assets</w:t>
            </w:r>
          </w:p>
        </w:tc>
        <w:tc>
          <w:tcPr>
            <w:tcW w:w="22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1.07 %</w:t>
            </w:r>
          </w:p>
        </w:tc>
        <w:tc>
          <w:tcPr>
            <w:tcW w:w="200" w:type="dxa"/>
            <w:vAlign w:val="bottom"/>
          </w:tcPr>
          <w:p>
            <w:pPr>
              <w:spacing w:after="0"/>
              <w:rPr>
                <w:sz w:val="12"/>
                <w:szCs w:val="12"/>
                <w:color w:val="auto"/>
              </w:rPr>
            </w:pP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1.07 %</w:t>
            </w:r>
          </w:p>
        </w:tc>
        <w:tc>
          <w:tcPr>
            <w:tcW w:w="2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0.88 %</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0"/>
                <w:szCs w:val="10"/>
                <w:color w:val="auto"/>
              </w:rPr>
              <w:t>1.04 %</w:t>
            </w:r>
          </w:p>
        </w:tc>
        <w:tc>
          <w:tcPr>
            <w:tcW w:w="4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0.82 %</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Return on Average Shareholders'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13.66</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13.74</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12.10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13.30</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11.34</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Return on Average Common Equity</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15.38</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15.47</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13.59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14.92</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12.65</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7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Efficiency Ratio </w:t>
            </w:r>
            <w:r>
              <w:rPr>
                <w:rFonts w:ascii="Times New Roman" w:cs="Times New Roman" w:eastAsia="Times New Roman" w:hAnsi="Times New Roman"/>
                <w:sz w:val="13"/>
                <w:szCs w:val="13"/>
                <w:color w:val="auto"/>
                <w:vertAlign w:val="superscript"/>
              </w:rPr>
              <w:t>1</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56.50</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56.47</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61.53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57.75</w:t>
            </w: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63.31</w:t>
            </w:r>
          </w:p>
        </w:tc>
      </w:tr>
      <w:tr>
        <w:trPr>
          <w:trHeight w:val="171"/>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Net Interest Margin </w:t>
            </w:r>
            <w:r>
              <w:rPr>
                <w:rFonts w:ascii="Times New Roman" w:cs="Times New Roman" w:eastAsia="Times New Roman" w:hAnsi="Times New Roman"/>
                <w:sz w:val="13"/>
                <w:szCs w:val="13"/>
                <w:color w:val="auto"/>
                <w:vertAlign w:val="superscript"/>
              </w:rPr>
              <w:t>2</w:t>
            </w:r>
          </w:p>
        </w:tc>
        <w:tc>
          <w:tcPr>
            <w:tcW w:w="220" w:type="dxa"/>
            <w:vAlign w:val="bottom"/>
          </w:tcPr>
          <w:p>
            <w:pPr>
              <w:spacing w:after="0"/>
              <w:rPr>
                <w:sz w:val="14"/>
                <w:szCs w:val="14"/>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2.82</w:t>
            </w:r>
          </w:p>
        </w:tc>
        <w:tc>
          <w:tcPr>
            <w:tcW w:w="200" w:type="dxa"/>
            <w:vAlign w:val="bottom"/>
          </w:tcPr>
          <w:p>
            <w:pPr>
              <w:spacing w:after="0"/>
              <w:rPr>
                <w:sz w:val="14"/>
                <w:szCs w:val="14"/>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2.78</w:t>
            </w:r>
          </w:p>
        </w:tc>
        <w:tc>
          <w:tcPr>
            <w:tcW w:w="260" w:type="dxa"/>
            <w:vAlign w:val="bottom"/>
          </w:tcPr>
          <w:p>
            <w:pPr>
              <w:spacing w:after="0"/>
              <w:rPr>
                <w:sz w:val="14"/>
                <w:szCs w:val="1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2.46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2.78</w:t>
            </w:r>
          </w:p>
        </w:tc>
        <w:tc>
          <w:tcPr>
            <w:tcW w:w="400" w:type="dxa"/>
            <w:vAlign w:val="bottom"/>
          </w:tcPr>
          <w:p>
            <w:pPr>
              <w:spacing w:after="0"/>
              <w:rPr>
                <w:sz w:val="14"/>
                <w:szCs w:val="14"/>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2.39</w:t>
            </w:r>
          </w:p>
        </w:tc>
      </w:tr>
      <w:tr>
        <w:trPr>
          <w:trHeight w:val="171"/>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Dividend Payout Ratio </w:t>
            </w:r>
            <w:r>
              <w:rPr>
                <w:rFonts w:ascii="Times New Roman" w:cs="Times New Roman" w:eastAsia="Times New Roman" w:hAnsi="Times New Roman"/>
                <w:sz w:val="13"/>
                <w:szCs w:val="13"/>
                <w:color w:val="auto"/>
                <w:vertAlign w:val="superscript"/>
              </w:rPr>
              <w:t>3</w:t>
            </w: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46.67</w:t>
            </w: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47.30</w:t>
            </w: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57.85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48.84</w:t>
            </w:r>
          </w:p>
        </w:tc>
        <w:tc>
          <w:tcPr>
            <w:tcW w:w="4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64.42</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Average Shareholders' Equity to Average Assets</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7.85</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7.81</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7.29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7.82</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7.20</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Average Balances</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Average Loans and Leases</w:t>
            </w:r>
          </w:p>
        </w:tc>
        <w:tc>
          <w:tcPr>
            <w:tcW w:w="2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14,305,379</w:t>
            </w: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14,218,951</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13,982,003</w:t>
            </w:r>
          </w:p>
        </w:tc>
        <w:tc>
          <w:tcPr>
            <w:tcW w:w="8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14,203,547</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14,030,773</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Average Assets</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23,768,568</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23,861,848</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23,995,037</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23,848,046</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23,744,661</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Average Deposits</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20,662,379</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20,826,923</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21,068,286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20,800,655</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20,813,967</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Average Shareholders' Equity</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1,866,297</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1,862,499</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1,748,576</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1,865,317</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1,709,788</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Per Share of Common Stock</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Book Value</w:t>
            </w:r>
          </w:p>
        </w:tc>
        <w:tc>
          <w:tcPr>
            <w:tcW w:w="2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37.77</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38.81</w:t>
            </w:r>
          </w:p>
        </w:tc>
        <w:tc>
          <w:tcPr>
            <w:tcW w:w="2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36.35</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37.77</w:t>
            </w: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36.35</w:t>
            </w:r>
          </w:p>
        </w:tc>
      </w:tr>
      <w:tr>
        <w:trPr>
          <w:trHeight w:val="147"/>
        </w:trPr>
        <w:tc>
          <w:tcPr>
            <w:tcW w:w="426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Tangible Book Value</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36.97</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38.01</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35.56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36.97</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35.56</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Market Value</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47"/>
        </w:trPr>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Closing</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68.92</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81.49</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65.64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68.92</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65.64</w:t>
            </w:r>
          </w:p>
        </w:tc>
      </w:tr>
      <w:tr>
        <w:trPr>
          <w:trHeight w:val="24"/>
        </w:trPr>
        <w:tc>
          <w:tcPr>
            <w:tcW w:w="6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51"/>
        </w:trPr>
        <w:tc>
          <w:tcPr>
            <w:tcW w:w="42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High</w:t>
            </w: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0"/>
                <w:szCs w:val="10"/>
                <w:color w:val="auto"/>
              </w:rPr>
              <w:t>86.31</w:t>
            </w:r>
          </w:p>
        </w:tc>
        <w:tc>
          <w:tcPr>
            <w:tcW w:w="20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83.18</w:t>
            </w:r>
          </w:p>
        </w:tc>
        <w:tc>
          <w:tcPr>
            <w:tcW w:w="26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0"/>
                <w:szCs w:val="10"/>
                <w:color w:val="auto"/>
              </w:rPr>
              <w:t>71.90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0"/>
                <w:szCs w:val="10"/>
                <w:color w:val="auto"/>
              </w:rPr>
              <w:t>86.31</w:t>
            </w:r>
          </w:p>
        </w:tc>
        <w:tc>
          <w:tcPr>
            <w:tcW w:w="40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0"/>
                <w:szCs w:val="10"/>
                <w:color w:val="auto"/>
              </w:rPr>
              <w:t>76.00</w:t>
            </w:r>
          </w:p>
        </w:tc>
      </w:tr>
      <w:tr>
        <w:trPr>
          <w:trHeight w:val="147"/>
        </w:trPr>
        <w:tc>
          <w:tcPr>
            <w:tcW w:w="4260" w:type="dxa"/>
            <w:vAlign w:val="bottom"/>
            <w:gridSpan w:val="2"/>
          </w:tcPr>
          <w:p>
            <w:pPr>
              <w:ind w:left="100"/>
              <w:spacing w:after="0"/>
              <w:rPr>
                <w:sz w:val="20"/>
                <w:szCs w:val="20"/>
                <w:color w:val="auto"/>
              </w:rPr>
            </w:pPr>
            <w:r>
              <w:rPr>
                <w:rFonts w:ascii="Times New Roman" w:cs="Times New Roman" w:eastAsia="Times New Roman" w:hAnsi="Times New Roman"/>
                <w:sz w:val="10"/>
                <w:szCs w:val="10"/>
                <w:color w:val="auto"/>
              </w:rPr>
              <w:t>Low</w:t>
            </w:r>
          </w:p>
        </w:tc>
        <w:tc>
          <w:tcPr>
            <w:tcW w:w="220" w:type="dxa"/>
            <w:vAlign w:val="bottom"/>
          </w:tcPr>
          <w:p>
            <w:pPr>
              <w:spacing w:after="0"/>
              <w:rPr>
                <w:sz w:val="12"/>
                <w:szCs w:val="12"/>
                <w:color w:val="auto"/>
              </w:rPr>
            </w:pPr>
          </w:p>
        </w:tc>
        <w:tc>
          <w:tcPr>
            <w:tcW w:w="1160" w:type="dxa"/>
            <w:vAlign w:val="bottom"/>
          </w:tcPr>
          <w:p>
            <w:pPr>
              <w:jc w:val="right"/>
              <w:ind w:right="109"/>
              <w:spacing w:after="0"/>
              <w:rPr>
                <w:sz w:val="20"/>
                <w:szCs w:val="20"/>
                <w:color w:val="auto"/>
              </w:rPr>
            </w:pPr>
            <w:r>
              <w:rPr>
                <w:rFonts w:ascii="Times New Roman" w:cs="Times New Roman" w:eastAsia="Times New Roman" w:hAnsi="Times New Roman"/>
                <w:sz w:val="10"/>
                <w:szCs w:val="10"/>
                <w:color w:val="auto"/>
              </w:rPr>
              <w:t>68.51</w:t>
            </w:r>
          </w:p>
        </w:tc>
        <w:tc>
          <w:tcPr>
            <w:tcW w:w="200" w:type="dxa"/>
            <w:vAlign w:val="bottom"/>
          </w:tcPr>
          <w:p>
            <w:pPr>
              <w:spacing w:after="0"/>
              <w:rPr>
                <w:sz w:val="12"/>
                <w:szCs w:val="12"/>
                <w:color w:val="auto"/>
              </w:rPr>
            </w:pPr>
          </w:p>
        </w:tc>
        <w:tc>
          <w:tcPr>
            <w:tcW w:w="124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70.07</w:t>
            </w:r>
          </w:p>
        </w:tc>
        <w:tc>
          <w:tcPr>
            <w:tcW w:w="260" w:type="dxa"/>
            <w:vAlign w:val="bottom"/>
          </w:tcPr>
          <w:p>
            <w:pPr>
              <w:spacing w:after="0"/>
              <w:rPr>
                <w:sz w:val="12"/>
                <w:szCs w:val="12"/>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0"/>
                <w:szCs w:val="10"/>
                <w:color w:val="auto"/>
              </w:rPr>
              <w:t>60.32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right"/>
              <w:ind w:right="129"/>
              <w:spacing w:after="0"/>
              <w:rPr>
                <w:sz w:val="20"/>
                <w:szCs w:val="20"/>
                <w:color w:val="auto"/>
              </w:rPr>
            </w:pPr>
            <w:r>
              <w:rPr>
                <w:rFonts w:ascii="Times New Roman" w:cs="Times New Roman" w:eastAsia="Times New Roman" w:hAnsi="Times New Roman"/>
                <w:sz w:val="10"/>
                <w:szCs w:val="10"/>
                <w:color w:val="auto"/>
              </w:rPr>
              <w:t>67.04</w:t>
            </w:r>
          </w:p>
        </w:tc>
        <w:tc>
          <w:tcPr>
            <w:tcW w:w="400" w:type="dxa"/>
            <w:vAlign w:val="bottom"/>
          </w:tcPr>
          <w:p>
            <w:pPr>
              <w:spacing w:after="0"/>
              <w:rPr>
                <w:sz w:val="12"/>
                <w:szCs w:val="12"/>
                <w:color w:val="auto"/>
              </w:rPr>
            </w:pPr>
          </w:p>
        </w:tc>
        <w:tc>
          <w:tcPr>
            <w:tcW w:w="980" w:type="dxa"/>
            <w:vAlign w:val="bottom"/>
          </w:tcPr>
          <w:p>
            <w:pPr>
              <w:jc w:val="right"/>
              <w:ind w:right="69"/>
              <w:spacing w:after="0"/>
              <w:rPr>
                <w:sz w:val="20"/>
                <w:szCs w:val="20"/>
                <w:color w:val="auto"/>
              </w:rPr>
            </w:pPr>
            <w:r>
              <w:rPr>
                <w:rFonts w:ascii="Times New Roman" w:cs="Times New Roman" w:eastAsia="Times New Roman" w:hAnsi="Times New Roman"/>
                <w:sz w:val="10"/>
                <w:szCs w:val="10"/>
                <w:color w:val="auto"/>
              </w:rPr>
              <w:t>57.45</w:t>
            </w:r>
          </w:p>
        </w:tc>
      </w:tr>
    </w:tbl>
    <w:p>
      <w:pPr>
        <w:spacing w:after="0" w:line="47" w:lineRule="exact"/>
        <w:rPr>
          <w:sz w:val="20"/>
          <w:szCs w:val="20"/>
          <w:color w:val="auto"/>
        </w:rPr>
      </w:pPr>
    </w:p>
    <w:p>
      <w:pPr>
        <w:ind w:left="48" w:hanging="48"/>
        <w:spacing w:after="0"/>
        <w:tabs>
          <w:tab w:leader="none" w:pos="48" w:val="left"/>
        </w:tabs>
        <w:numPr>
          <w:ilvl w:val="0"/>
          <w:numId w:val="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Efficiency ratio is defined as noninterest expense divided by total revenue (net interest income and total noninterest income).</w:t>
      </w:r>
    </w:p>
    <w:p>
      <w:pPr>
        <w:spacing w:after="0" w:line="1" w:lineRule="exact"/>
        <w:rPr>
          <w:rFonts w:ascii="Times New Roman" w:cs="Times New Roman" w:eastAsia="Times New Roman" w:hAnsi="Times New Roman"/>
          <w:sz w:val="12"/>
          <w:szCs w:val="12"/>
          <w:color w:val="auto"/>
          <w:vertAlign w:val="superscript"/>
        </w:rPr>
      </w:pPr>
    </w:p>
    <w:p>
      <w:pPr>
        <w:ind w:left="8" w:right="6760"/>
        <w:spacing w:after="0" w:line="365"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vertAlign w:val="superscript"/>
        </w:rPr>
        <w:t>2</w:t>
      </w:r>
      <w:r>
        <w:rPr>
          <w:rFonts w:ascii="Times New Roman" w:cs="Times New Roman" w:eastAsia="Times New Roman" w:hAnsi="Times New Roman"/>
          <w:sz w:val="8"/>
          <w:szCs w:val="8"/>
          <w:color w:val="auto"/>
        </w:rPr>
        <w:t xml:space="preserve"> Net interest margin is defined as net interest income, on a taxable-equivalent basis, as a percentage of average earning assets. </w:t>
      </w:r>
      <w:r>
        <w:rPr>
          <w:rFonts w:ascii="Times New Roman" w:cs="Times New Roman" w:eastAsia="Times New Roman" w:hAnsi="Times New Roman"/>
          <w:sz w:val="10"/>
          <w:szCs w:val="10"/>
          <w:color w:val="auto"/>
          <w:vertAlign w:val="superscript"/>
        </w:rPr>
        <w:t>3</w:t>
      </w:r>
      <w:r>
        <w:rPr>
          <w:rFonts w:ascii="Times New Roman" w:cs="Times New Roman" w:eastAsia="Times New Roman" w:hAnsi="Times New Roman"/>
          <w:sz w:val="8"/>
          <w:szCs w:val="8"/>
          <w:color w:val="auto"/>
        </w:rPr>
        <w:t xml:space="preserve"> Dividend payout ratio is defined as dividends declared per common share divided by basic earnings per common share.</w:t>
      </w:r>
    </w:p>
    <w:p>
      <w:pPr>
        <w:spacing w:after="0" w:line="3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8"/>
          </w:cols>
          <w:pgMar w:left="292" w:top="985"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Highlights</w:t>
            </w:r>
          </w:p>
        </w:tc>
        <w:tc>
          <w:tcPr>
            <w:tcW w:w="2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1b</w:t>
            </w:r>
          </w:p>
        </w:tc>
      </w:tr>
      <w:tr>
        <w:trPr>
          <w:trHeight w:val="113"/>
        </w:trPr>
        <w:tc>
          <w:tcPr>
            <w:tcW w:w="7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360" w:type="dxa"/>
            <w:vAlign w:val="bottom"/>
          </w:tcPr>
          <w:p>
            <w:pPr>
              <w:jc w:val="right"/>
              <w:spacing w:after="0" w:line="113"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20" w:type="dxa"/>
            <w:vAlign w:val="bottom"/>
          </w:tcPr>
          <w:p>
            <w:pPr>
              <w:jc w:val="right"/>
              <w:ind w:right="652"/>
              <w:spacing w:after="0" w:line="113" w:lineRule="exact"/>
              <w:rPr>
                <w:sz w:val="20"/>
                <w:szCs w:val="20"/>
                <w:color w:val="auto"/>
              </w:rPr>
            </w:pPr>
            <w:r>
              <w:rPr>
                <w:rFonts w:ascii="Times New Roman" w:cs="Times New Roman" w:eastAsia="Times New Roman" w:hAnsi="Times New Roman"/>
                <w:sz w:val="10"/>
                <w:szCs w:val="10"/>
                <w:b w:val="1"/>
                <w:bCs w:val="1"/>
                <w:color w:val="auto"/>
              </w:rPr>
              <w:t>June 30</w:t>
            </w:r>
          </w:p>
        </w:tc>
        <w:tc>
          <w:tcPr>
            <w:tcW w:w="340" w:type="dxa"/>
            <w:vAlign w:val="bottom"/>
          </w:tcPr>
          <w:p>
            <w:pPr>
              <w:spacing w:after="0"/>
              <w:rPr>
                <w:sz w:val="9"/>
                <w:szCs w:val="9"/>
                <w:color w:val="auto"/>
              </w:rPr>
            </w:pPr>
          </w:p>
        </w:tc>
        <w:tc>
          <w:tcPr>
            <w:tcW w:w="1360" w:type="dxa"/>
            <w:vAlign w:val="bottom"/>
          </w:tcPr>
          <w:p>
            <w:pPr>
              <w:jc w:val="right"/>
              <w:ind w:right="532"/>
              <w:spacing w:after="0" w:line="113" w:lineRule="exact"/>
              <w:rPr>
                <w:sz w:val="20"/>
                <w:szCs w:val="20"/>
                <w:color w:val="auto"/>
              </w:rPr>
            </w:pPr>
            <w:r>
              <w:rPr>
                <w:rFonts w:ascii="Times New Roman" w:cs="Times New Roman" w:eastAsia="Times New Roman" w:hAnsi="Times New Roman"/>
                <w:sz w:val="10"/>
                <w:szCs w:val="10"/>
                <w:b w:val="1"/>
                <w:bCs w:val="1"/>
                <w:color w:val="auto"/>
              </w:rPr>
              <w:t>December 31</w:t>
            </w:r>
          </w:p>
        </w:tc>
        <w:tc>
          <w:tcPr>
            <w:tcW w:w="340" w:type="dxa"/>
            <w:vAlign w:val="bottom"/>
          </w:tcPr>
          <w:p>
            <w:pPr>
              <w:spacing w:after="0"/>
              <w:rPr>
                <w:sz w:val="9"/>
                <w:szCs w:val="9"/>
                <w:color w:val="auto"/>
              </w:rPr>
            </w:pPr>
          </w:p>
        </w:tc>
        <w:tc>
          <w:tcPr>
            <w:tcW w:w="1340" w:type="dxa"/>
            <w:vAlign w:val="bottom"/>
          </w:tcPr>
          <w:p>
            <w:pPr>
              <w:jc w:val="right"/>
              <w:ind w:right="491"/>
              <w:spacing w:after="0" w:line="113" w:lineRule="exact"/>
              <w:rPr>
                <w:sz w:val="20"/>
                <w:szCs w:val="20"/>
                <w:color w:val="auto"/>
              </w:rPr>
            </w:pPr>
            <w:r>
              <w:rPr>
                <w:rFonts w:ascii="Times New Roman" w:cs="Times New Roman" w:eastAsia="Times New Roman" w:hAnsi="Times New Roman"/>
                <w:sz w:val="10"/>
                <w:szCs w:val="10"/>
                <w:b w:val="1"/>
                <w:bCs w:val="1"/>
                <w:color w:val="auto"/>
              </w:rPr>
              <w:t>September 30</w:t>
            </w:r>
          </w:p>
        </w:tc>
      </w:tr>
      <w:tr>
        <w:trPr>
          <w:trHeight w:val="139"/>
        </w:trPr>
        <w:tc>
          <w:tcPr>
            <w:tcW w:w="3280" w:type="dxa"/>
            <w:vAlign w:val="bottom"/>
            <w:gridSpan w:val="2"/>
          </w:tcPr>
          <w:p>
            <w:pPr>
              <w:spacing w:after="0"/>
              <w:rPr>
                <w:sz w:val="20"/>
                <w:szCs w:val="20"/>
                <w:color w:val="auto"/>
              </w:rPr>
            </w:pPr>
            <w:r>
              <w:rPr>
                <w:rFonts w:ascii="Times New Roman" w:cs="Times New Roman" w:eastAsia="Times New Roman" w:hAnsi="Times New Roman"/>
                <w:sz w:val="8"/>
                <w:szCs w:val="8"/>
                <w:color w:val="auto"/>
              </w:rPr>
              <w:t>(dollars in thousands)</w:t>
            </w:r>
          </w:p>
        </w:tc>
        <w:tc>
          <w:tcPr>
            <w:tcW w:w="2360" w:type="dxa"/>
            <w:vAlign w:val="bottom"/>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2026</w:t>
            </w: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tcPr>
          <w:p>
            <w:pPr>
              <w:jc w:val="right"/>
              <w:ind w:right="712"/>
              <w:spacing w:after="0"/>
              <w:rPr>
                <w:sz w:val="20"/>
                <w:szCs w:val="20"/>
                <w:color w:val="auto"/>
              </w:rPr>
            </w:pPr>
            <w:r>
              <w:rPr>
                <w:rFonts w:ascii="Times New Roman" w:cs="Times New Roman" w:eastAsia="Times New Roman" w:hAnsi="Times New Roman"/>
                <w:sz w:val="10"/>
                <w:szCs w:val="10"/>
                <w:b w:val="1"/>
                <w:bCs w:val="1"/>
                <w:color w:val="auto"/>
              </w:rPr>
              <w:t>2026</w:t>
            </w:r>
          </w:p>
        </w:tc>
        <w:tc>
          <w:tcPr>
            <w:tcW w:w="340" w:type="dxa"/>
            <w:vAlign w:val="bottom"/>
          </w:tcPr>
          <w:p>
            <w:pPr>
              <w:spacing w:after="0"/>
              <w:rPr>
                <w:sz w:val="12"/>
                <w:szCs w:val="12"/>
                <w:color w:val="auto"/>
              </w:rPr>
            </w:pPr>
          </w:p>
        </w:tc>
        <w:tc>
          <w:tcPr>
            <w:tcW w:w="1360" w:type="dxa"/>
            <w:vAlign w:val="bottom"/>
          </w:tcPr>
          <w:p>
            <w:pPr>
              <w:jc w:val="right"/>
              <w:ind w:right="7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12"/>
                <w:szCs w:val="12"/>
                <w:color w:val="auto"/>
              </w:rPr>
            </w:pPr>
          </w:p>
        </w:tc>
        <w:tc>
          <w:tcPr>
            <w:tcW w:w="1340" w:type="dxa"/>
            <w:vAlign w:val="bottom"/>
          </w:tcPr>
          <w:p>
            <w:pPr>
              <w:jc w:val="right"/>
              <w:ind w:right="671"/>
              <w:spacing w:after="0"/>
              <w:rPr>
                <w:sz w:val="20"/>
                <w:szCs w:val="20"/>
                <w:color w:val="auto"/>
              </w:rPr>
            </w:pPr>
            <w:r>
              <w:rPr>
                <w:rFonts w:ascii="Times New Roman" w:cs="Times New Roman" w:eastAsia="Times New Roman" w:hAnsi="Times New Roman"/>
                <w:sz w:val="10"/>
                <w:szCs w:val="10"/>
                <w:b w:val="1"/>
                <w:bCs w:val="1"/>
                <w:color w:val="auto"/>
              </w:rPr>
              <w:t>2025</w:t>
            </w:r>
          </w:p>
        </w:tc>
      </w:tr>
      <w:tr>
        <w:trPr>
          <w:trHeight w:val="21"/>
        </w:trPr>
        <w:tc>
          <w:tcPr>
            <w:tcW w:w="74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13"/>
        </w:trPr>
        <w:tc>
          <w:tcPr>
            <w:tcW w:w="740" w:type="dxa"/>
            <w:vAlign w:val="bottom"/>
            <w:tcBorders>
              <w:bottom w:val="single" w:sz="8" w:color="auto"/>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b w:val="1"/>
                <w:bCs w:val="1"/>
                <w:color w:val="auto"/>
                <w:w w:val="94"/>
              </w:rPr>
              <w:t>As of Period End:</w:t>
            </w:r>
          </w:p>
        </w:tc>
        <w:tc>
          <w:tcPr>
            <w:tcW w:w="2540" w:type="dxa"/>
            <w:vAlign w:val="bottom"/>
            <w:tcBorders>
              <w:bottom w:val="single" w:sz="8" w:color="CCEEFF"/>
            </w:tcBorders>
            <w:shd w:val="clear" w:color="auto" w:fill="CCEEFF"/>
          </w:tcPr>
          <w:p>
            <w:pPr>
              <w:spacing w:after="0"/>
              <w:rPr>
                <w:sz w:val="9"/>
                <w:szCs w:val="9"/>
                <w:color w:val="auto"/>
              </w:rPr>
            </w:pPr>
          </w:p>
        </w:tc>
        <w:tc>
          <w:tcPr>
            <w:tcW w:w="2360" w:type="dxa"/>
            <w:vAlign w:val="bottom"/>
            <w:tcBorders>
              <w:bottom w:val="single" w:sz="8" w:color="CCEEFF"/>
            </w:tcBorders>
            <w:shd w:val="clear" w:color="auto" w:fill="CCEEFF"/>
          </w:tcPr>
          <w:p>
            <w:pPr>
              <w:spacing w:after="0"/>
              <w:rPr>
                <w:sz w:val="9"/>
                <w:szCs w:val="9"/>
                <w:color w:val="auto"/>
              </w:rPr>
            </w:pPr>
          </w:p>
        </w:tc>
        <w:tc>
          <w:tcPr>
            <w:tcW w:w="560" w:type="dxa"/>
            <w:vAlign w:val="bottom"/>
            <w:tcBorders>
              <w:bottom w:val="single" w:sz="8" w:color="CCEEFF"/>
            </w:tcBorders>
            <w:shd w:val="clear" w:color="auto" w:fill="CCEEFF"/>
          </w:tcPr>
          <w:p>
            <w:pPr>
              <w:spacing w:after="0"/>
              <w:rPr>
                <w:sz w:val="9"/>
                <w:szCs w:val="9"/>
                <w:color w:val="auto"/>
              </w:rPr>
            </w:pPr>
          </w:p>
        </w:tc>
        <w:tc>
          <w:tcPr>
            <w:tcW w:w="40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36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340" w:type="dxa"/>
            <w:vAlign w:val="bottom"/>
            <w:tcBorders>
              <w:bottom w:val="single" w:sz="8" w:color="CCEEFF"/>
            </w:tcBorders>
            <w:shd w:val="clear" w:color="auto" w:fill="CCEEFF"/>
          </w:tcPr>
          <w:p>
            <w:pPr>
              <w:spacing w:after="0"/>
              <w:rPr>
                <w:sz w:val="9"/>
                <w:szCs w:val="9"/>
                <w:color w:val="auto"/>
              </w:rPr>
            </w:pPr>
          </w:p>
        </w:tc>
      </w:tr>
      <w:tr>
        <w:trPr>
          <w:trHeight w:val="136"/>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Balance Sheet Totals</w:t>
            </w:r>
          </w:p>
        </w:tc>
        <w:tc>
          <w:tcPr>
            <w:tcW w:w="2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Loans and Leases</w:t>
            </w:r>
          </w:p>
        </w:tc>
        <w:tc>
          <w:tcPr>
            <w:tcW w:w="23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3"/>
              </w:rPr>
              <w:t>14,371,336</w:t>
            </w: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14,286,625</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14,082,050</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14,021,579</w:t>
            </w:r>
          </w:p>
        </w:tc>
      </w:tr>
      <w:tr>
        <w:trPr>
          <w:trHeight w:val="154"/>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Total Assets</w:t>
            </w:r>
          </w:p>
        </w:tc>
        <w:tc>
          <w:tcPr>
            <w:tcW w:w="2360" w:type="dxa"/>
            <w:vAlign w:val="bottom"/>
          </w:tcPr>
          <w:p>
            <w:pPr>
              <w:spacing w:after="0"/>
              <w:rPr>
                <w:sz w:val="13"/>
                <w:szCs w:val="13"/>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93"/>
              </w:rPr>
              <w:t>23,819,536</w:t>
            </w:r>
          </w:p>
        </w:tc>
        <w:tc>
          <w:tcPr>
            <w:tcW w:w="400" w:type="dxa"/>
            <w:vAlign w:val="bottom"/>
          </w:tcPr>
          <w:p>
            <w:pPr>
              <w:spacing w:after="0"/>
              <w:rPr>
                <w:sz w:val="13"/>
                <w:szCs w:val="13"/>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23,842,940</w:t>
            </w:r>
          </w:p>
        </w:tc>
        <w:tc>
          <w:tcPr>
            <w:tcW w:w="340" w:type="dxa"/>
            <w:vAlign w:val="bottom"/>
          </w:tcPr>
          <w:p>
            <w:pPr>
              <w:spacing w:after="0"/>
              <w:rPr>
                <w:sz w:val="13"/>
                <w:szCs w:val="1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24,176,364</w:t>
            </w:r>
          </w:p>
        </w:tc>
        <w:tc>
          <w:tcPr>
            <w:tcW w:w="340" w:type="dxa"/>
            <w:vAlign w:val="bottom"/>
          </w:tcPr>
          <w:p>
            <w:pPr>
              <w:spacing w:after="0"/>
              <w:rPr>
                <w:sz w:val="13"/>
                <w:szCs w:val="1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24,014,609</w:t>
            </w:r>
          </w:p>
        </w:tc>
      </w:tr>
      <w:tr>
        <w:trPr>
          <w:trHeight w:val="17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Deposits</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93"/>
              </w:rPr>
              <w:t>20,481,558</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20,892,775</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21,188,495</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21,080,669</w:t>
            </w:r>
          </w:p>
        </w:tc>
      </w:tr>
      <w:tr>
        <w:trPr>
          <w:trHeight w:val="153"/>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Other Debt</w:t>
            </w:r>
          </w:p>
        </w:tc>
        <w:tc>
          <w:tcPr>
            <w:tcW w:w="2360" w:type="dxa"/>
            <w:vAlign w:val="bottom"/>
          </w:tcPr>
          <w:p>
            <w:pPr>
              <w:spacing w:after="0"/>
              <w:rPr>
                <w:sz w:val="13"/>
                <w:szCs w:val="13"/>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853,098</w:t>
            </w:r>
          </w:p>
        </w:tc>
        <w:tc>
          <w:tcPr>
            <w:tcW w:w="400" w:type="dxa"/>
            <w:vAlign w:val="bottom"/>
          </w:tcPr>
          <w:p>
            <w:pPr>
              <w:spacing w:after="0"/>
              <w:rPr>
                <w:sz w:val="13"/>
                <w:szCs w:val="13"/>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508,124</w:t>
            </w:r>
          </w:p>
        </w:tc>
        <w:tc>
          <w:tcPr>
            <w:tcW w:w="340" w:type="dxa"/>
            <w:vAlign w:val="bottom"/>
          </w:tcPr>
          <w:p>
            <w:pPr>
              <w:spacing w:after="0"/>
              <w:rPr>
                <w:sz w:val="13"/>
                <w:szCs w:val="1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558,176</w:t>
            </w:r>
          </w:p>
        </w:tc>
        <w:tc>
          <w:tcPr>
            <w:tcW w:w="340" w:type="dxa"/>
            <w:vAlign w:val="bottom"/>
          </w:tcPr>
          <w:p>
            <w:pPr>
              <w:spacing w:after="0"/>
              <w:rPr>
                <w:sz w:val="13"/>
                <w:szCs w:val="1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558,201</w:t>
            </w:r>
          </w:p>
        </w:tc>
      </w:tr>
      <w:tr>
        <w:trPr>
          <w:trHeight w:val="17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Shareholders' Equity</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1,826,076</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1,875,467</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1,851,212</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1,791,183</w:t>
            </w:r>
          </w:p>
        </w:tc>
      </w:tr>
      <w:tr>
        <w:trPr>
          <w:trHeight w:val="136"/>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Asset Quality</w:t>
            </w:r>
          </w:p>
        </w:tc>
        <w:tc>
          <w:tcPr>
            <w:tcW w:w="2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Non-Performing Assets</w:t>
            </w:r>
          </w:p>
        </w:tc>
        <w:tc>
          <w:tcPr>
            <w:tcW w:w="2360" w:type="dxa"/>
            <w:vAlign w:val="bottom"/>
            <w:shd w:val="clear" w:color="auto" w:fill="CCEEFF"/>
          </w:tcPr>
          <w:p>
            <w:pPr>
              <w:jc w:val="right"/>
              <w:ind w:right="101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43,412</w:t>
            </w:r>
          </w:p>
        </w:tc>
        <w:tc>
          <w:tcPr>
            <w:tcW w:w="40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0"/>
                <w:szCs w:val="10"/>
                <w:color w:val="auto"/>
              </w:rPr>
              <w:t>$</w:t>
            </w:r>
          </w:p>
        </w:tc>
        <w:tc>
          <w:tcPr>
            <w:tcW w:w="1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11,478</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14,171</w:t>
            </w: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3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16,864</w:t>
            </w:r>
          </w:p>
        </w:tc>
      </w:tr>
      <w:tr>
        <w:trPr>
          <w:trHeight w:val="153"/>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Allowance for Credit Losses - Loans and Leases</w:t>
            </w:r>
          </w:p>
        </w:tc>
        <w:tc>
          <w:tcPr>
            <w:tcW w:w="2360" w:type="dxa"/>
            <w:vAlign w:val="bottom"/>
          </w:tcPr>
          <w:p>
            <w:pPr>
              <w:spacing w:after="0"/>
              <w:rPr>
                <w:sz w:val="13"/>
                <w:szCs w:val="13"/>
                <w:color w:val="auto"/>
              </w:rPr>
            </w:pPr>
          </w:p>
        </w:tc>
        <w:tc>
          <w:tcPr>
            <w:tcW w:w="5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146,170</w:t>
            </w:r>
          </w:p>
        </w:tc>
        <w:tc>
          <w:tcPr>
            <w:tcW w:w="400" w:type="dxa"/>
            <w:vAlign w:val="bottom"/>
          </w:tcPr>
          <w:p>
            <w:pPr>
              <w:spacing w:after="0"/>
              <w:rPr>
                <w:sz w:val="13"/>
                <w:szCs w:val="13"/>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146,995</w:t>
            </w:r>
          </w:p>
        </w:tc>
        <w:tc>
          <w:tcPr>
            <w:tcW w:w="340" w:type="dxa"/>
            <w:vAlign w:val="bottom"/>
          </w:tcPr>
          <w:p>
            <w:pPr>
              <w:spacing w:after="0"/>
              <w:rPr>
                <w:sz w:val="13"/>
                <w:szCs w:val="1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146,766</w:t>
            </w:r>
          </w:p>
        </w:tc>
        <w:tc>
          <w:tcPr>
            <w:tcW w:w="340" w:type="dxa"/>
            <w:vAlign w:val="bottom"/>
          </w:tcPr>
          <w:p>
            <w:pPr>
              <w:spacing w:after="0"/>
              <w:rPr>
                <w:sz w:val="13"/>
                <w:szCs w:val="1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148,778</w:t>
            </w:r>
          </w:p>
        </w:tc>
      </w:tr>
      <w:tr>
        <w:trPr>
          <w:trHeight w:val="17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Allowance to Loans and Leases Outstanding </w:t>
            </w:r>
            <w:r>
              <w:rPr>
                <w:rFonts w:ascii="Times New Roman" w:cs="Times New Roman" w:eastAsia="Times New Roman" w:hAnsi="Times New Roman"/>
                <w:sz w:val="12"/>
                <w:szCs w:val="12"/>
                <w:color w:val="auto"/>
                <w:vertAlign w:val="superscript"/>
              </w:rPr>
              <w:t>1</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1.02 %</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1.03 %</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1.04 %</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1.06 %</w:t>
            </w:r>
          </w:p>
        </w:tc>
      </w:tr>
      <w:tr>
        <w:trPr>
          <w:trHeight w:val="162"/>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 xml:space="preserve">Capital Ratios </w:t>
            </w:r>
            <w:r>
              <w:rPr>
                <w:rFonts w:ascii="Times New Roman" w:cs="Times New Roman" w:eastAsia="Times New Roman" w:hAnsi="Times New Roman"/>
                <w:sz w:val="12"/>
                <w:szCs w:val="12"/>
                <w:b w:val="1"/>
                <w:bCs w:val="1"/>
                <w:color w:val="auto"/>
                <w:vertAlign w:val="superscript"/>
              </w:rPr>
              <w:t>2</w:t>
            </w:r>
          </w:p>
        </w:tc>
        <w:tc>
          <w:tcPr>
            <w:tcW w:w="2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Common Equity Tier 1 Capital Ratio </w:t>
            </w:r>
            <w:r>
              <w:rPr>
                <w:rFonts w:ascii="Times New Roman" w:cs="Times New Roman" w:eastAsia="Times New Roman" w:hAnsi="Times New Roman"/>
                <w:sz w:val="12"/>
                <w:szCs w:val="12"/>
                <w:color w:val="auto"/>
                <w:vertAlign w:val="superscript"/>
              </w:rPr>
              <w:t>3</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12.10 %</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12.12 %</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12.14 %</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11.98 %</w:t>
            </w:r>
          </w:p>
        </w:tc>
      </w:tr>
      <w:tr>
        <w:trPr>
          <w:trHeight w:val="153"/>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Tier 1 Capital Ratio</w:t>
            </w:r>
          </w:p>
        </w:tc>
        <w:tc>
          <w:tcPr>
            <w:tcW w:w="236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14.41</w:t>
            </w:r>
          </w:p>
        </w:tc>
        <w:tc>
          <w:tcPr>
            <w:tcW w:w="400" w:type="dxa"/>
            <w:vAlign w:val="bottom"/>
          </w:tcPr>
          <w:p>
            <w:pPr>
              <w:spacing w:after="0"/>
              <w:rPr>
                <w:sz w:val="13"/>
                <w:szCs w:val="13"/>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14.45</w:t>
            </w:r>
          </w:p>
        </w:tc>
        <w:tc>
          <w:tcPr>
            <w:tcW w:w="340" w:type="dxa"/>
            <w:vAlign w:val="bottom"/>
          </w:tcPr>
          <w:p>
            <w:pPr>
              <w:spacing w:after="0"/>
              <w:rPr>
                <w:sz w:val="13"/>
                <w:szCs w:val="1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14.49</w:t>
            </w:r>
          </w:p>
        </w:tc>
        <w:tc>
          <w:tcPr>
            <w:tcW w:w="340" w:type="dxa"/>
            <w:vAlign w:val="bottom"/>
          </w:tcPr>
          <w:p>
            <w:pPr>
              <w:spacing w:after="0"/>
              <w:rPr>
                <w:sz w:val="13"/>
                <w:szCs w:val="1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14.34</w:t>
            </w:r>
          </w:p>
        </w:tc>
      </w:tr>
      <w:tr>
        <w:trPr>
          <w:trHeight w:val="17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Capital Ratio</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15.43</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15.48</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15.54</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15.40</w:t>
            </w:r>
          </w:p>
        </w:tc>
      </w:tr>
      <w:tr>
        <w:trPr>
          <w:trHeight w:val="154"/>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Tier 1 Leverage Ratio</w:t>
            </w:r>
          </w:p>
        </w:tc>
        <w:tc>
          <w:tcPr>
            <w:tcW w:w="2360" w:type="dxa"/>
            <w:vAlign w:val="bottom"/>
          </w:tcPr>
          <w:p>
            <w:pPr>
              <w:spacing w:after="0"/>
              <w:rPr>
                <w:sz w:val="13"/>
                <w:szCs w:val="13"/>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8.79</w:t>
            </w:r>
          </w:p>
        </w:tc>
        <w:tc>
          <w:tcPr>
            <w:tcW w:w="400" w:type="dxa"/>
            <w:vAlign w:val="bottom"/>
          </w:tcPr>
          <w:p>
            <w:pPr>
              <w:spacing w:after="0"/>
              <w:rPr>
                <w:sz w:val="13"/>
                <w:szCs w:val="13"/>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8.70</w:t>
            </w:r>
          </w:p>
        </w:tc>
        <w:tc>
          <w:tcPr>
            <w:tcW w:w="340" w:type="dxa"/>
            <w:vAlign w:val="bottom"/>
          </w:tcPr>
          <w:p>
            <w:pPr>
              <w:spacing w:after="0"/>
              <w:rPr>
                <w:sz w:val="13"/>
                <w:szCs w:val="13"/>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8.57</w:t>
            </w:r>
          </w:p>
        </w:tc>
        <w:tc>
          <w:tcPr>
            <w:tcW w:w="340" w:type="dxa"/>
            <w:vAlign w:val="bottom"/>
          </w:tcPr>
          <w:p>
            <w:pPr>
              <w:spacing w:after="0"/>
              <w:rPr>
                <w:sz w:val="13"/>
                <w:szCs w:val="13"/>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8.44</w:t>
            </w:r>
          </w:p>
        </w:tc>
      </w:tr>
      <w:tr>
        <w:trPr>
          <w:trHeight w:val="17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Shareholders' Equity to Total Assets</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7.67</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7.87</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7.66</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7.46</w:t>
            </w:r>
          </w:p>
        </w:tc>
      </w:tr>
      <w:tr>
        <w:trPr>
          <w:trHeight w:val="162"/>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 xml:space="preserve">Tangible Common Equity to Tangible Assets </w:t>
            </w:r>
            <w:r>
              <w:rPr>
                <w:rFonts w:ascii="Times New Roman" w:cs="Times New Roman" w:eastAsia="Times New Roman" w:hAnsi="Times New Roman"/>
                <w:sz w:val="12"/>
                <w:szCs w:val="12"/>
                <w:color w:val="auto"/>
                <w:vertAlign w:val="superscript"/>
              </w:rPr>
              <w:t>4</w:t>
            </w:r>
          </w:p>
        </w:tc>
        <w:tc>
          <w:tcPr>
            <w:tcW w:w="236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6.09</w:t>
            </w:r>
          </w:p>
        </w:tc>
        <w:tc>
          <w:tcPr>
            <w:tcW w:w="400" w:type="dxa"/>
            <w:vAlign w:val="bottom"/>
          </w:tcPr>
          <w:p>
            <w:pPr>
              <w:spacing w:after="0"/>
              <w:rPr>
                <w:sz w:val="14"/>
                <w:szCs w:val="14"/>
                <w:color w:val="auto"/>
              </w:rPr>
            </w:pP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6.30</w:t>
            </w:r>
          </w:p>
        </w:tc>
        <w:tc>
          <w:tcPr>
            <w:tcW w:w="340" w:type="dxa"/>
            <w:vAlign w:val="bottom"/>
          </w:tcPr>
          <w:p>
            <w:pPr>
              <w:spacing w:after="0"/>
              <w:rPr>
                <w:sz w:val="14"/>
                <w:szCs w:val="14"/>
                <w:color w:val="auto"/>
              </w:rPr>
            </w:pPr>
          </w:p>
        </w:tc>
        <w:tc>
          <w:tcPr>
            <w:tcW w:w="136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6.11</w:t>
            </w:r>
          </w:p>
        </w:tc>
        <w:tc>
          <w:tcPr>
            <w:tcW w:w="340" w:type="dxa"/>
            <w:vAlign w:val="bottom"/>
          </w:tcPr>
          <w:p>
            <w:pPr>
              <w:spacing w:after="0"/>
              <w:rPr>
                <w:sz w:val="14"/>
                <w:szCs w:val="14"/>
                <w:color w:val="auto"/>
              </w:rPr>
            </w:pPr>
          </w:p>
        </w:tc>
        <w:tc>
          <w:tcPr>
            <w:tcW w:w="134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5.90</w:t>
            </w:r>
          </w:p>
        </w:tc>
      </w:tr>
      <w:tr>
        <w:trPr>
          <w:trHeight w:val="162"/>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Tangible Common Equity to Risk-Weighted Assets </w:t>
            </w:r>
            <w:r>
              <w:rPr>
                <w:rFonts w:ascii="Times New Roman" w:cs="Times New Roman" w:eastAsia="Times New Roman" w:hAnsi="Times New Roman"/>
                <w:sz w:val="12"/>
                <w:szCs w:val="12"/>
                <w:color w:val="auto"/>
                <w:vertAlign w:val="superscript"/>
              </w:rPr>
              <w:t>4</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9.94</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10.38</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10.35</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9.95</w:t>
            </w:r>
          </w:p>
        </w:tc>
      </w:tr>
      <w:tr>
        <w:trPr>
          <w:trHeight w:val="136"/>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Non-Financial Data</w:t>
            </w:r>
          </w:p>
        </w:tc>
        <w:tc>
          <w:tcPr>
            <w:tcW w:w="2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Full-Time Equivalent Employees </w:t>
            </w:r>
            <w:r>
              <w:rPr>
                <w:rFonts w:ascii="Times New Roman" w:cs="Times New Roman" w:eastAsia="Times New Roman" w:hAnsi="Times New Roman"/>
                <w:sz w:val="12"/>
                <w:szCs w:val="12"/>
                <w:color w:val="auto"/>
                <w:vertAlign w:val="superscript"/>
              </w:rPr>
              <w:t>5</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1,865</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1,910</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1,877</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1,905</w:t>
            </w:r>
          </w:p>
        </w:tc>
      </w:tr>
      <w:tr>
        <w:trPr>
          <w:trHeight w:val="153"/>
        </w:trPr>
        <w:tc>
          <w:tcPr>
            <w:tcW w:w="32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Branches</w:t>
            </w:r>
          </w:p>
        </w:tc>
        <w:tc>
          <w:tcPr>
            <w:tcW w:w="23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400" w:type="dxa"/>
            <w:vAlign w:val="bottom"/>
          </w:tcPr>
          <w:p>
            <w:pPr>
              <w:spacing w:after="0"/>
              <w:rPr>
                <w:sz w:val="13"/>
                <w:szCs w:val="13"/>
                <w:color w:val="auto"/>
              </w:rPr>
            </w:pP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52</w:t>
            </w:r>
          </w:p>
        </w:tc>
        <w:tc>
          <w:tcPr>
            <w:tcW w:w="3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3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w:t>
            </w:r>
          </w:p>
        </w:tc>
      </w:tr>
      <w:tr>
        <w:trPr>
          <w:trHeight w:val="17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ATMs</w:t>
            </w:r>
          </w:p>
        </w:tc>
        <w:tc>
          <w:tcPr>
            <w:tcW w:w="23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w:t>
            </w: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315</w:t>
            </w:r>
          </w:p>
        </w:tc>
        <w:tc>
          <w:tcPr>
            <w:tcW w:w="3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34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w:t>
            </w:r>
          </w:p>
        </w:tc>
      </w:tr>
    </w:tbl>
    <w:p>
      <w:pPr>
        <w:spacing w:after="0" w:line="41" w:lineRule="exact"/>
        <w:rPr>
          <w:sz w:val="20"/>
          <w:szCs w:val="20"/>
          <w:color w:val="auto"/>
        </w:rPr>
      </w:pPr>
    </w:p>
    <w:p>
      <w:pPr>
        <w:ind w:left="48" w:hanging="48"/>
        <w:spacing w:after="0"/>
        <w:tabs>
          <w:tab w:leader="none" w:pos="48" w:val="left"/>
        </w:tabs>
        <w:numPr>
          <w:ilvl w:val="0"/>
          <w:numId w:val="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The numerator comprises the Allowance for Credit Losses - Loans and Leases.</w:t>
      </w:r>
    </w:p>
    <w:p>
      <w:pPr>
        <w:spacing w:after="0" w:line="1" w:lineRule="exact"/>
        <w:rPr>
          <w:rFonts w:ascii="Times New Roman" w:cs="Times New Roman" w:eastAsia="Times New Roman" w:hAnsi="Times New Roman"/>
          <w:sz w:val="12"/>
          <w:szCs w:val="12"/>
          <w:color w:val="auto"/>
          <w:vertAlign w:val="superscript"/>
        </w:rPr>
      </w:pPr>
    </w:p>
    <w:p>
      <w:pPr>
        <w:ind w:left="8"/>
        <w:spacing w:after="0" w:line="204"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1"/>
          <w:szCs w:val="11"/>
          <w:color w:val="auto"/>
          <w:vertAlign w:val="superscript"/>
        </w:rPr>
        <w:t>2</w:t>
      </w:r>
      <w:r>
        <w:rPr>
          <w:rFonts w:ascii="Times New Roman" w:cs="Times New Roman" w:eastAsia="Times New Roman" w:hAnsi="Times New Roman"/>
          <w:sz w:val="9"/>
          <w:szCs w:val="9"/>
          <w:color w:val="auto"/>
        </w:rPr>
        <w:t xml:space="preserve"> Regulatory capital ratios as of September 30, 2026 are preliminary.</w:t>
      </w:r>
    </w:p>
    <w:p>
      <w:pPr>
        <w:ind w:left="8"/>
        <w:spacing w:after="0" w:line="204"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1"/>
          <w:szCs w:val="11"/>
          <w:color w:val="auto"/>
          <w:vertAlign w:val="superscript"/>
        </w:rPr>
        <w:t>3</w:t>
      </w:r>
      <w:r>
        <w:rPr>
          <w:rFonts w:ascii="Times New Roman" w:cs="Times New Roman" w:eastAsia="Times New Roman" w:hAnsi="Times New Roman"/>
          <w:sz w:val="9"/>
          <w:szCs w:val="9"/>
          <w:color w:val="auto"/>
        </w:rPr>
        <w:t xml:space="preserve"> Capital ratio as of December 31, 2025 has been updated to reflect final reported ratio.</w:t>
      </w:r>
    </w:p>
    <w:p>
      <w:pPr>
        <w:ind w:left="8" w:right="480"/>
        <w:spacing w:after="0" w:line="233"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1"/>
          <w:szCs w:val="11"/>
          <w:color w:val="auto"/>
          <w:vertAlign w:val="superscript"/>
        </w:rPr>
        <w:t>4</w:t>
      </w:r>
      <w:r>
        <w:rPr>
          <w:rFonts w:ascii="Times New Roman" w:cs="Times New Roman" w:eastAsia="Times New Roman" w:hAnsi="Times New Roman"/>
          <w:sz w:val="9"/>
          <w:szCs w:val="9"/>
          <w:color w:val="auto"/>
        </w:rPr>
        <w:t xml:space="preserve"> Tangible common equity to tangible assets and tangible common equity to risk-weighted assets are Non-GAAP financial measures. Tangible common equity is defined by the Company as common shareholders' equity minus goodwill. See Table 8 “Reconciliation of Non-GAAP Financial Measures”. </w:t>
      </w:r>
      <w:r>
        <w:rPr>
          <w:rFonts w:ascii="Times New Roman" w:cs="Times New Roman" w:eastAsia="Times New Roman" w:hAnsi="Times New Roman"/>
          <w:sz w:val="11"/>
          <w:szCs w:val="11"/>
          <w:color w:val="auto"/>
          <w:vertAlign w:val="superscript"/>
        </w:rPr>
        <w:t>5</w:t>
      </w:r>
      <w:r>
        <w:rPr>
          <w:rFonts w:ascii="Times New Roman" w:cs="Times New Roman" w:eastAsia="Times New Roman" w:hAnsi="Times New Roman"/>
          <w:sz w:val="9"/>
          <w:szCs w:val="9"/>
          <w:color w:val="auto"/>
        </w:rPr>
        <w:t xml:space="preserve"> Full-time equivalent employees as of June 30, 2026 includes summer interns.</w:t>
      </w:r>
    </w:p>
    <w:p>
      <w:pPr>
        <w:spacing w:after="0" w:line="10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8"/>
          </w:cols>
          <w:pgMar w:left="292" w:top="114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Income</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2</w:t>
            </w:r>
          </w:p>
        </w:tc>
      </w:tr>
      <w:tr>
        <w:trPr>
          <w:trHeight w:val="117"/>
        </w:trPr>
        <w:tc>
          <w:tcPr>
            <w:tcW w:w="3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Pr>
          <w:p>
            <w:pPr>
              <w:jc w:val="right"/>
              <w:ind w:right="355"/>
              <w:spacing w:after="0"/>
              <w:rPr>
                <w:sz w:val="20"/>
                <w:szCs w:val="20"/>
                <w:color w:val="auto"/>
              </w:rPr>
            </w:pPr>
            <w:r>
              <w:rPr>
                <w:rFonts w:ascii="Times New Roman" w:cs="Times New Roman" w:eastAsia="Times New Roman" w:hAnsi="Times New Roman"/>
                <w:sz w:val="8"/>
                <w:szCs w:val="8"/>
                <w:b w:val="1"/>
                <w:bCs w:val="1"/>
                <w:color w:val="auto"/>
              </w:rPr>
              <w:t>Three Months Ended</w:t>
            </w:r>
          </w:p>
        </w:tc>
        <w:tc>
          <w:tcPr>
            <w:tcW w:w="2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rPr>
              <w:t>Nine Months Ended</w:t>
            </w:r>
          </w:p>
        </w:tc>
        <w:tc>
          <w:tcPr>
            <w:tcW w:w="1140" w:type="dxa"/>
            <w:vAlign w:val="bottom"/>
          </w:tcPr>
          <w:p>
            <w:pPr>
              <w:spacing w:after="0"/>
              <w:rPr>
                <w:sz w:val="10"/>
                <w:szCs w:val="10"/>
                <w:color w:val="auto"/>
              </w:rPr>
            </w:pPr>
          </w:p>
        </w:tc>
      </w:tr>
      <w:tr>
        <w:trPr>
          <w:trHeight w:val="21"/>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6"/>
        </w:trPr>
        <w:tc>
          <w:tcPr>
            <w:tcW w:w="3540" w:type="dxa"/>
            <w:vAlign w:val="bottom"/>
          </w:tcPr>
          <w:p>
            <w:pPr>
              <w:spacing w:after="0"/>
              <w:rPr>
                <w:sz w:val="20"/>
                <w:szCs w:val="20"/>
                <w:color w:val="auto"/>
              </w:rPr>
            </w:pPr>
            <w:r>
              <w:rPr>
                <w:rFonts w:ascii="Times New Roman" w:cs="Times New Roman" w:eastAsia="Times New Roman" w:hAnsi="Times New Roman"/>
                <w:sz w:val="8"/>
                <w:szCs w:val="8"/>
                <w:color w:val="auto"/>
              </w:rPr>
              <w:t>(dollars in thousands, except per share amounts)</w:t>
            </w:r>
          </w:p>
        </w:tc>
        <w:tc>
          <w:tcPr>
            <w:tcW w:w="240" w:type="dxa"/>
            <w:vAlign w:val="bottom"/>
          </w:tcPr>
          <w:p>
            <w:pPr>
              <w:spacing w:after="0"/>
              <w:rPr>
                <w:sz w:val="10"/>
                <w:szCs w:val="10"/>
                <w:color w:val="auto"/>
              </w:rPr>
            </w:pPr>
          </w:p>
        </w:tc>
        <w:tc>
          <w:tcPr>
            <w:tcW w:w="1300" w:type="dxa"/>
            <w:vAlign w:val="bottom"/>
          </w:tcPr>
          <w:p>
            <w:pPr>
              <w:jc w:val="right"/>
              <w:ind w:right="395"/>
              <w:spacing w:after="0"/>
              <w:rPr>
                <w:sz w:val="20"/>
                <w:szCs w:val="20"/>
                <w:color w:val="auto"/>
              </w:rPr>
            </w:pPr>
            <w:r>
              <w:rPr>
                <w:rFonts w:ascii="Times New Roman" w:cs="Times New Roman" w:eastAsia="Times New Roman" w:hAnsi="Times New Roman"/>
                <w:sz w:val="8"/>
                <w:szCs w:val="8"/>
                <w:b w:val="1"/>
                <w:bCs w:val="1"/>
                <w:color w:val="auto"/>
              </w:rPr>
              <w:t>September 30, 2026</w:t>
            </w:r>
          </w:p>
        </w:tc>
        <w:tc>
          <w:tcPr>
            <w:tcW w:w="240" w:type="dxa"/>
            <w:vAlign w:val="bottom"/>
          </w:tcPr>
          <w:p>
            <w:pPr>
              <w:spacing w:after="0"/>
              <w:rPr>
                <w:sz w:val="10"/>
                <w:szCs w:val="10"/>
                <w:color w:val="auto"/>
              </w:rPr>
            </w:pPr>
          </w:p>
        </w:tc>
        <w:tc>
          <w:tcPr>
            <w:tcW w:w="1320" w:type="dxa"/>
            <w:vAlign w:val="bottom"/>
          </w:tcPr>
          <w:p>
            <w:pPr>
              <w:jc w:val="right"/>
              <w:ind w:right="495"/>
              <w:spacing w:after="0"/>
              <w:rPr>
                <w:sz w:val="20"/>
                <w:szCs w:val="20"/>
                <w:color w:val="auto"/>
              </w:rPr>
            </w:pPr>
            <w:r>
              <w:rPr>
                <w:rFonts w:ascii="Times New Roman" w:cs="Times New Roman" w:eastAsia="Times New Roman" w:hAnsi="Times New Roman"/>
                <w:sz w:val="8"/>
                <w:szCs w:val="8"/>
                <w:b w:val="1"/>
                <w:bCs w:val="1"/>
                <w:color w:val="auto"/>
              </w:rPr>
              <w:t>June 30, 2026</w:t>
            </w:r>
          </w:p>
        </w:tc>
        <w:tc>
          <w:tcPr>
            <w:tcW w:w="260" w:type="dxa"/>
            <w:vAlign w:val="bottom"/>
          </w:tcPr>
          <w:p>
            <w:pPr>
              <w:spacing w:after="0"/>
              <w:rPr>
                <w:sz w:val="10"/>
                <w:szCs w:val="10"/>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8"/>
                <w:szCs w:val="8"/>
                <w:b w:val="1"/>
                <w:bCs w:val="1"/>
                <w:color w:val="auto"/>
              </w:rPr>
              <w:t>September 30, 2025</w:t>
            </w:r>
          </w:p>
        </w:tc>
        <w:tc>
          <w:tcPr>
            <w:tcW w:w="220" w:type="dxa"/>
            <w:vAlign w:val="bottom"/>
          </w:tcPr>
          <w:p>
            <w:pPr>
              <w:spacing w:after="0"/>
              <w:rPr>
                <w:sz w:val="10"/>
                <w:szCs w:val="10"/>
                <w:color w:val="auto"/>
              </w:rPr>
            </w:pPr>
          </w:p>
        </w:tc>
        <w:tc>
          <w:tcPr>
            <w:tcW w:w="1320" w:type="dxa"/>
            <w:vAlign w:val="bottom"/>
          </w:tcPr>
          <w:p>
            <w:pPr>
              <w:jc w:val="right"/>
              <w:ind w:right="395"/>
              <w:spacing w:after="0"/>
              <w:rPr>
                <w:sz w:val="20"/>
                <w:szCs w:val="20"/>
                <w:color w:val="auto"/>
              </w:rPr>
            </w:pPr>
            <w:r>
              <w:rPr>
                <w:rFonts w:ascii="Times New Roman" w:cs="Times New Roman" w:eastAsia="Times New Roman" w:hAnsi="Times New Roman"/>
                <w:sz w:val="8"/>
                <w:szCs w:val="8"/>
                <w:b w:val="1"/>
                <w:bCs w:val="1"/>
                <w:color w:val="auto"/>
              </w:rPr>
              <w:t>September 30, 2026</w:t>
            </w:r>
          </w:p>
        </w:tc>
        <w:tc>
          <w:tcPr>
            <w:tcW w:w="380" w:type="dxa"/>
            <w:vAlign w:val="bottom"/>
          </w:tcPr>
          <w:p>
            <w:pPr>
              <w:spacing w:after="0"/>
              <w:rPr>
                <w:sz w:val="10"/>
                <w:szCs w:val="10"/>
                <w:color w:val="auto"/>
              </w:rPr>
            </w:pPr>
          </w:p>
        </w:tc>
        <w:tc>
          <w:tcPr>
            <w:tcW w:w="1140" w:type="dxa"/>
            <w:vAlign w:val="bottom"/>
          </w:tcPr>
          <w:p>
            <w:pPr>
              <w:jc w:val="right"/>
              <w:ind w:right="355"/>
              <w:spacing w:after="0"/>
              <w:rPr>
                <w:sz w:val="20"/>
                <w:szCs w:val="20"/>
                <w:color w:val="auto"/>
              </w:rPr>
            </w:pPr>
            <w:r>
              <w:rPr>
                <w:rFonts w:ascii="Times New Roman" w:cs="Times New Roman" w:eastAsia="Times New Roman" w:hAnsi="Times New Roman"/>
                <w:sz w:val="8"/>
                <w:szCs w:val="8"/>
                <w:b w:val="1"/>
                <w:bCs w:val="1"/>
                <w:color w:val="auto"/>
              </w:rPr>
              <w:t>September 30, 2025</w:t>
            </w:r>
          </w:p>
        </w:tc>
      </w:tr>
      <w:tr>
        <w:trPr>
          <w:trHeight w:val="149"/>
        </w:trPr>
        <w:tc>
          <w:tcPr>
            <w:tcW w:w="35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 Income</w:t>
            </w:r>
          </w:p>
        </w:tc>
        <w:tc>
          <w:tcPr>
            <w:tcW w:w="24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126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32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1140" w:type="dxa"/>
            <w:vAlign w:val="bottom"/>
            <w:tcBorders>
              <w:top w:val="single" w:sz="8" w:color="auto"/>
            </w:tcBorders>
            <w:shd w:val="clear" w:color="auto" w:fill="CFF0FC"/>
          </w:tcPr>
          <w:p>
            <w:pPr>
              <w:spacing w:after="0"/>
              <w:rPr>
                <w:sz w:val="12"/>
                <w:szCs w:val="12"/>
                <w:color w:val="auto"/>
              </w:rPr>
            </w:pPr>
          </w:p>
        </w:tc>
      </w:tr>
      <w:tr>
        <w:trPr>
          <w:trHeight w:val="144"/>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Interest and Fees on Loans and Leases</w:t>
            </w:r>
          </w:p>
        </w:tc>
        <w:tc>
          <w:tcPr>
            <w:tcW w:w="24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172,271</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168,624</w:t>
            </w: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169,411</w:t>
            </w:r>
          </w:p>
        </w:tc>
        <w:tc>
          <w:tcPr>
            <w:tcW w:w="80" w:type="dxa"/>
            <w:vAlign w:val="bottom"/>
          </w:tcPr>
          <w:p>
            <w:pPr>
              <w:spacing w:after="0"/>
              <w:rPr>
                <w:sz w:val="12"/>
                <w:szCs w:val="12"/>
                <w:color w:val="auto"/>
              </w:rPr>
            </w:pP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505,364</w:t>
            </w:r>
          </w:p>
        </w:tc>
        <w:tc>
          <w:tcPr>
            <w:tcW w:w="38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499,272</w:t>
            </w:r>
          </w:p>
        </w:tc>
      </w:tr>
      <w:tr>
        <w:trPr>
          <w:trHeight w:val="162"/>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Income on Investment Securities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r>
      <w:tr>
        <w:trPr>
          <w:trHeight w:val="143"/>
        </w:trPr>
        <w:tc>
          <w:tcPr>
            <w:tcW w:w="35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Available-for-Sale</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36,313</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36,397</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29,702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107,285</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81,077</w:t>
            </w:r>
          </w:p>
        </w:tc>
      </w:tr>
      <w:tr>
        <w:trPr>
          <w:trHeight w:val="163"/>
        </w:trPr>
        <w:tc>
          <w:tcPr>
            <w:tcW w:w="35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9"/>
                <w:szCs w:val="9"/>
                <w:color w:val="auto"/>
              </w:rPr>
              <w:t>Held-to-Maturity</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17,460</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18,056</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19,332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54,057</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59,458</w:t>
            </w:r>
          </w:p>
        </w:tc>
      </w:tr>
      <w:tr>
        <w:trPr>
          <w:trHeight w:val="144"/>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Cash and Cash Equivalents</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1,674</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1,726</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8,195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6,729</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17,472</w:t>
            </w:r>
          </w:p>
        </w:tc>
      </w:tr>
      <w:tr>
        <w:trPr>
          <w:trHeight w:val="153"/>
        </w:trPr>
        <w:tc>
          <w:tcPr>
            <w:tcW w:w="35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Other</w:t>
            </w: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1,431</w:t>
            </w: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1,313</w:t>
            </w:r>
          </w:p>
        </w:tc>
        <w:tc>
          <w:tcPr>
            <w:tcW w:w="2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1,068</w:t>
            </w:r>
          </w:p>
        </w:tc>
        <w:tc>
          <w:tcPr>
            <w:tcW w:w="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4,037</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3,250</w:t>
            </w:r>
          </w:p>
        </w:tc>
      </w:tr>
      <w:tr>
        <w:trPr>
          <w:trHeight w:val="14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Total Interest Income</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229,149</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226,116</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227,708</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677,472</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660,529</w:t>
            </w:r>
          </w:p>
        </w:tc>
      </w:tr>
      <w:tr>
        <w:trPr>
          <w:trHeight w:val="151"/>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Interest Expense</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44"/>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Deposits</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65,950</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65,804</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84,590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196,640</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248,758</w:t>
            </w:r>
          </w:p>
        </w:tc>
      </w:tr>
      <w:tr>
        <w:trPr>
          <w:trHeight w:val="16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Securities Sold Under Agreements to Repurchase</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496</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491</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496</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1,473</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1,731</w:t>
            </w:r>
          </w:p>
        </w:tc>
      </w:tr>
      <w:tr>
        <w:trPr>
          <w:trHeight w:val="143"/>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Other Debt</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6,649</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6,217</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5,947</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18,711</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17,875</w:t>
            </w:r>
          </w:p>
        </w:tc>
      </w:tr>
      <w:tr>
        <w:trPr>
          <w:trHeight w:val="142"/>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Total Interest Expense</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73,095</w:t>
            </w: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72,512</w:t>
            </w:r>
          </w:p>
        </w:tc>
        <w:tc>
          <w:tcPr>
            <w:tcW w:w="26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91,033</w:t>
            </w:r>
          </w:p>
        </w:tc>
        <w:tc>
          <w:tcPr>
            <w:tcW w:w="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216,824</w:t>
            </w:r>
          </w:p>
        </w:tc>
        <w:tc>
          <w:tcPr>
            <w:tcW w:w="3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268,364</w:t>
            </w: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Net Interest Income</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156,054</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153,604</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136,675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460,648</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392,165</w:t>
            </w:r>
          </w:p>
        </w:tc>
      </w:tr>
      <w:tr>
        <w:trPr>
          <w:trHeight w:val="153"/>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Provision for Credit Losses</w:t>
            </w: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2,750</w:t>
            </w: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3,600</w:t>
            </w:r>
          </w:p>
        </w:tc>
        <w:tc>
          <w:tcPr>
            <w:tcW w:w="2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2,500</w:t>
            </w:r>
          </w:p>
        </w:tc>
        <w:tc>
          <w:tcPr>
            <w:tcW w:w="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8,100</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9,000</w:t>
            </w:r>
          </w:p>
        </w:tc>
      </w:tr>
      <w:tr>
        <w:trPr>
          <w:trHeight w:val="14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color w:val="auto"/>
              </w:rPr>
              <w:t>Net Interest Income After Provision for Credit Losses</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153,304</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150,004</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134,175</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452,548</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383,165</w:t>
            </w:r>
          </w:p>
        </w:tc>
      </w:tr>
      <w:tr>
        <w:trPr>
          <w:trHeight w:val="151"/>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Noninterest Income</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44"/>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Trust and Asset Management</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13,420</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13,712</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12,598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39,577</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36,436</w:t>
            </w:r>
          </w:p>
        </w:tc>
      </w:tr>
      <w:tr>
        <w:trPr>
          <w:trHeight w:val="162"/>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Fees, Exchange, and Other Service Charges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10,839</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11,127</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15,219</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32,894</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44,039</w:t>
            </w:r>
          </w:p>
        </w:tc>
      </w:tr>
      <w:tr>
        <w:trPr>
          <w:trHeight w:val="143"/>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Service Charges on Deposit Accounts</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9,052</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8,353</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8,510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25,845</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24,888</w:t>
            </w:r>
          </w:p>
        </w:tc>
      </w:tr>
      <w:tr>
        <w:trPr>
          <w:trHeight w:val="16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Bank-Owned Life Insurance</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3,877</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3,923</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3,681</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11,947</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11,006</w:t>
            </w:r>
          </w:p>
        </w:tc>
      </w:tr>
      <w:tr>
        <w:trPr>
          <w:trHeight w:val="143"/>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Annuity and Insurance</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2,117</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2,017</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5,603</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4,087</w:t>
            </w:r>
          </w:p>
        </w:tc>
      </w:tr>
      <w:tr>
        <w:trPr>
          <w:trHeight w:val="16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Mortgage Banking</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906</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839</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906</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2,621</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2,743</w:t>
            </w:r>
          </w:p>
        </w:tc>
      </w:tr>
      <w:tr>
        <w:trPr>
          <w:trHeight w:val="143"/>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Investment Securities Losses, Net</w:t>
            </w:r>
          </w:p>
        </w:tc>
        <w:tc>
          <w:tcPr>
            <w:tcW w:w="240" w:type="dxa"/>
            <w:vAlign w:val="bottom"/>
          </w:tcPr>
          <w:p>
            <w:pPr>
              <w:spacing w:after="0"/>
              <w:rPr>
                <w:sz w:val="12"/>
                <w:szCs w:val="12"/>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(1,493)</w:t>
            </w:r>
          </w:p>
        </w:tc>
        <w:tc>
          <w:tcPr>
            <w:tcW w:w="240" w:type="dxa"/>
            <w:vAlign w:val="bottom"/>
          </w:tcPr>
          <w:p>
            <w:pPr>
              <w:spacing w:after="0"/>
              <w:rPr>
                <w:sz w:val="12"/>
                <w:szCs w:val="1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(1,287)</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(1,945)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(4,052)</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(4,678)</w:t>
            </w:r>
          </w:p>
        </w:tc>
      </w:tr>
      <w:tr>
        <w:trPr>
          <w:trHeight w:val="153"/>
        </w:trPr>
        <w:tc>
          <w:tcPr>
            <w:tcW w:w="35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Other</w:t>
            </w: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3,988</w:t>
            </w: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4,615</w:t>
            </w:r>
          </w:p>
        </w:tc>
        <w:tc>
          <w:tcPr>
            <w:tcW w:w="2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5,902</w:t>
            </w:r>
          </w:p>
        </w:tc>
        <w:tc>
          <w:tcPr>
            <w:tcW w:w="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12,902</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16,298</w:t>
            </w:r>
          </w:p>
        </w:tc>
      </w:tr>
      <w:tr>
        <w:trPr>
          <w:trHeight w:val="142"/>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Total Noninterest Income</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42,706</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43,299</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45,966</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127,337</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134,819</w:t>
            </w:r>
          </w:p>
        </w:tc>
      </w:tr>
      <w:tr>
        <w:trPr>
          <w:trHeight w:val="152"/>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Noninterest Expense</w:t>
            </w:r>
          </w:p>
        </w:tc>
        <w:tc>
          <w:tcPr>
            <w:tcW w:w="24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43"/>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Salaries and Benefits</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62,308</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62,642</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62,905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193,407</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187,097</w:t>
            </w:r>
          </w:p>
        </w:tc>
      </w:tr>
      <w:tr>
        <w:trPr>
          <w:trHeight w:val="16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Net Equipment</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11,307</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10,604</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10,285</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32,522</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30,454</w:t>
            </w:r>
          </w:p>
        </w:tc>
      </w:tr>
      <w:tr>
        <w:trPr>
          <w:trHeight w:val="143"/>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Net Occupancy</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11,197</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10,868</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10,932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32,847</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31,990</w:t>
            </w:r>
          </w:p>
        </w:tc>
      </w:tr>
      <w:tr>
        <w:trPr>
          <w:trHeight w:val="16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Professional Fees</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5,571</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5,276</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4,022</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15,073</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12,549</w:t>
            </w:r>
          </w:p>
        </w:tc>
      </w:tr>
      <w:tr>
        <w:trPr>
          <w:trHeight w:val="143"/>
        </w:trPr>
        <w:tc>
          <w:tcPr>
            <w:tcW w:w="3540" w:type="dxa"/>
            <w:vAlign w:val="bottom"/>
          </w:tcPr>
          <w:p>
            <w:pPr>
              <w:ind w:left="40"/>
              <w:spacing w:after="0"/>
              <w:rPr>
                <w:sz w:val="20"/>
                <w:szCs w:val="20"/>
                <w:color w:val="auto"/>
              </w:rPr>
            </w:pPr>
            <w:r>
              <w:rPr>
                <w:rFonts w:ascii="Times New Roman" w:cs="Times New Roman" w:eastAsia="Times New Roman" w:hAnsi="Times New Roman"/>
                <w:sz w:val="9"/>
                <w:szCs w:val="9"/>
                <w:color w:val="auto"/>
              </w:rPr>
              <w:t>Data Processing</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5,474</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5,463</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5,603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16,518</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16,326</w:t>
            </w:r>
          </w:p>
        </w:tc>
      </w:tr>
      <w:tr>
        <w:trPr>
          <w:trHeight w:val="163"/>
        </w:trPr>
        <w:tc>
          <w:tcPr>
            <w:tcW w:w="35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9"/>
                <w:szCs w:val="9"/>
                <w:color w:val="auto"/>
              </w:rPr>
              <w:t>FDIC Insurance</w:t>
            </w:r>
          </w:p>
        </w:tc>
        <w:tc>
          <w:tcPr>
            <w:tcW w:w="240" w:type="dxa"/>
            <w:vAlign w:val="bottom"/>
            <w:shd w:val="clear" w:color="auto" w:fill="CFF0FC"/>
          </w:tcPr>
          <w:p>
            <w:pPr>
              <w:spacing w:after="0"/>
              <w:rPr>
                <w:sz w:val="14"/>
                <w:szCs w:val="14"/>
                <w:color w:val="auto"/>
              </w:rPr>
            </w:pP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3,004</w:t>
            </w: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2,978</w:t>
            </w:r>
          </w:p>
        </w:tc>
        <w:tc>
          <w:tcPr>
            <w:tcW w:w="260" w:type="dxa"/>
            <w:vAlign w:val="bottom"/>
            <w:shd w:val="clear" w:color="auto" w:fill="CFF0FC"/>
          </w:tcPr>
          <w:p>
            <w:pPr>
              <w:spacing w:after="0"/>
              <w:rPr>
                <w:sz w:val="14"/>
                <w:szCs w:val="14"/>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3,508</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8,701</w:t>
            </w:r>
          </w:p>
        </w:tc>
        <w:tc>
          <w:tcPr>
            <w:tcW w:w="380" w:type="dxa"/>
            <w:vAlign w:val="bottom"/>
            <w:shd w:val="clear" w:color="auto" w:fill="CFF0FC"/>
          </w:tcPr>
          <w:p>
            <w:pPr>
              <w:spacing w:after="0"/>
              <w:rPr>
                <w:sz w:val="14"/>
                <w:szCs w:val="14"/>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8,790</w:t>
            </w:r>
          </w:p>
        </w:tc>
      </w:tr>
      <w:tr>
        <w:trPr>
          <w:trHeight w:val="144"/>
        </w:trPr>
        <w:tc>
          <w:tcPr>
            <w:tcW w:w="3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9"/>
                <w:szCs w:val="9"/>
                <w:color w:val="auto"/>
              </w:rPr>
              <w:t>Other</w:t>
            </w:r>
          </w:p>
        </w:tc>
        <w:tc>
          <w:tcPr>
            <w:tcW w:w="2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13,443</w:t>
            </w:r>
          </w:p>
        </w:tc>
        <w:tc>
          <w:tcPr>
            <w:tcW w:w="24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13,355</w:t>
            </w:r>
          </w:p>
        </w:tc>
        <w:tc>
          <w:tcPr>
            <w:tcW w:w="2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15,132</w:t>
            </w: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40,493</w:t>
            </w:r>
          </w:p>
        </w:tc>
        <w:tc>
          <w:tcPr>
            <w:tcW w:w="3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46,423</w:t>
            </w:r>
          </w:p>
        </w:tc>
      </w:tr>
      <w:tr>
        <w:trPr>
          <w:trHeight w:val="142"/>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b w:val="1"/>
                <w:bCs w:val="1"/>
                <w:color w:val="auto"/>
              </w:rPr>
              <w:t>Total Noninterest Expense</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112,304</w:t>
            </w: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111,186</w:t>
            </w:r>
          </w:p>
        </w:tc>
        <w:tc>
          <w:tcPr>
            <w:tcW w:w="26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112,387</w:t>
            </w:r>
          </w:p>
        </w:tc>
        <w:tc>
          <w:tcPr>
            <w:tcW w:w="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339,561</w:t>
            </w:r>
          </w:p>
        </w:tc>
        <w:tc>
          <w:tcPr>
            <w:tcW w:w="3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333,629</w:t>
            </w:r>
          </w:p>
        </w:tc>
      </w:tr>
      <w:tr>
        <w:trPr>
          <w:trHeight w:val="142"/>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Income Before Provision for Income Taxes</w:t>
            </w:r>
          </w:p>
        </w:tc>
        <w:tc>
          <w:tcPr>
            <w:tcW w:w="240" w:type="dxa"/>
            <w:vAlign w:val="bottom"/>
          </w:tcPr>
          <w:p>
            <w:pPr>
              <w:spacing w:after="0"/>
              <w:rPr>
                <w:sz w:val="12"/>
                <w:szCs w:val="12"/>
                <w:color w:val="auto"/>
              </w:rPr>
            </w:pP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83,706</w:t>
            </w:r>
          </w:p>
        </w:tc>
        <w:tc>
          <w:tcPr>
            <w:tcW w:w="240" w:type="dxa"/>
            <w:vAlign w:val="bottom"/>
          </w:tcPr>
          <w:p>
            <w:pPr>
              <w:spacing w:after="0"/>
              <w:rPr>
                <w:sz w:val="12"/>
                <w:szCs w:val="12"/>
                <w:color w:val="auto"/>
              </w:rPr>
            </w:pP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82,117</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67,754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240,324</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184,355</w:t>
            </w:r>
          </w:p>
        </w:tc>
      </w:tr>
      <w:tr>
        <w:trPr>
          <w:trHeight w:val="153"/>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Provision for Income Taxes</w:t>
            </w:r>
          </w:p>
        </w:tc>
        <w:tc>
          <w:tcPr>
            <w:tcW w:w="240" w:type="dxa"/>
            <w:vAlign w:val="bottom"/>
            <w:tcBorders>
              <w:bottom w:val="single" w:sz="8" w:color="auto"/>
            </w:tcBorders>
            <w:shd w:val="clear" w:color="auto" w:fill="CFF0FC"/>
          </w:tcPr>
          <w:p>
            <w:pPr>
              <w:spacing w:after="0"/>
              <w:rPr>
                <w:sz w:val="13"/>
                <w:szCs w:val="13"/>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19,448</w:t>
            </w:r>
          </w:p>
        </w:tc>
        <w:tc>
          <w:tcPr>
            <w:tcW w:w="24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18,318</w:t>
            </w:r>
          </w:p>
        </w:tc>
        <w:tc>
          <w:tcPr>
            <w:tcW w:w="260" w:type="dxa"/>
            <w:vAlign w:val="bottom"/>
            <w:tcBorders>
              <w:bottom w:val="single" w:sz="8" w:color="auto"/>
            </w:tcBorders>
            <w:shd w:val="clear" w:color="auto" w:fill="CFF0FC"/>
          </w:tcPr>
          <w:p>
            <w:pPr>
              <w:spacing w:after="0"/>
              <w:rPr>
                <w:sz w:val="13"/>
                <w:szCs w:val="13"/>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14,409</w:t>
            </w:r>
          </w:p>
        </w:tc>
        <w:tc>
          <w:tcPr>
            <w:tcW w:w="80" w:type="dxa"/>
            <w:vAlign w:val="bottom"/>
            <w:tcBorders>
              <w:bottom w:val="single" w:sz="8" w:color="auto"/>
            </w:tcBorders>
            <w:shd w:val="clear" w:color="auto" w:fill="CFF0FC"/>
          </w:tcPr>
          <w:p>
            <w:pPr>
              <w:spacing w:after="0"/>
              <w:rPr>
                <w:sz w:val="13"/>
                <w:szCs w:val="13"/>
                <w:color w:val="auto"/>
              </w:rPr>
            </w:pPr>
          </w:p>
        </w:tc>
        <w:tc>
          <w:tcPr>
            <w:tcW w:w="220" w:type="dxa"/>
            <w:vAlign w:val="bottom"/>
            <w:tcBorders>
              <w:bottom w:val="single" w:sz="8" w:color="auto"/>
            </w:tcBorders>
            <w:shd w:val="clear" w:color="auto" w:fill="CFF0FC"/>
          </w:tcPr>
          <w:p>
            <w:pPr>
              <w:spacing w:after="0"/>
              <w:rPr>
                <w:sz w:val="13"/>
                <w:szCs w:val="13"/>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54,835</w:t>
            </w:r>
          </w:p>
        </w:tc>
        <w:tc>
          <w:tcPr>
            <w:tcW w:w="38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39,388</w:t>
            </w:r>
          </w:p>
        </w:tc>
      </w:tr>
      <w:tr>
        <w:trPr>
          <w:trHeight w:val="16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Net Income</w:t>
            </w:r>
          </w:p>
        </w:tc>
        <w:tc>
          <w:tcPr>
            <w:tcW w:w="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64,258</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63,799</w:t>
            </w:r>
          </w:p>
        </w:tc>
        <w:tc>
          <w:tcPr>
            <w:tcW w:w="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53,345</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185,489</w:t>
            </w:r>
          </w:p>
        </w:tc>
        <w:tc>
          <w:tcPr>
            <w:tcW w:w="3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144,967</w:t>
            </w:r>
          </w:p>
        </w:tc>
      </w:tr>
      <w:tr>
        <w:trPr>
          <w:trHeight w:val="143"/>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Preferred Stock Dividends</w:t>
            </w:r>
          </w:p>
        </w:tc>
        <w:tc>
          <w:tcPr>
            <w:tcW w:w="24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5,269</w:t>
            </w:r>
          </w:p>
        </w:tc>
        <w:tc>
          <w:tcPr>
            <w:tcW w:w="24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5,269</w:t>
            </w:r>
          </w:p>
        </w:tc>
        <w:tc>
          <w:tcPr>
            <w:tcW w:w="260" w:type="dxa"/>
            <w:vAlign w:val="bottom"/>
            <w:tcBorders>
              <w:bottom w:val="single" w:sz="8" w:color="auto"/>
            </w:tcBorders>
            <w:shd w:val="clear" w:color="auto" w:fill="CFF0FC"/>
          </w:tcPr>
          <w:p>
            <w:pPr>
              <w:spacing w:after="0"/>
              <w:rPr>
                <w:sz w:val="12"/>
                <w:szCs w:val="12"/>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5,269</w:t>
            </w:r>
          </w:p>
        </w:tc>
        <w:tc>
          <w:tcPr>
            <w:tcW w:w="8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15,808</w:t>
            </w:r>
          </w:p>
        </w:tc>
        <w:tc>
          <w:tcPr>
            <w:tcW w:w="380" w:type="dxa"/>
            <w:vAlign w:val="bottom"/>
            <w:tcBorders>
              <w:bottom w:val="single" w:sz="8" w:color="auto"/>
            </w:tcBorders>
            <w:shd w:val="clear" w:color="auto" w:fill="CFF0FC"/>
          </w:tcPr>
          <w:p>
            <w:pPr>
              <w:spacing w:after="0"/>
              <w:rPr>
                <w:sz w:val="12"/>
                <w:szCs w:val="1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15,808</w:t>
            </w:r>
          </w:p>
        </w:tc>
      </w:tr>
      <w:tr>
        <w:trPr>
          <w:trHeight w:val="168"/>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9"/>
                <w:szCs w:val="9"/>
                <w:b w:val="1"/>
                <w:bCs w:val="1"/>
                <w:color w:val="auto"/>
              </w:rPr>
              <w:t>Net Income Available to Common Shareholders</w:t>
            </w:r>
          </w:p>
        </w:tc>
        <w:tc>
          <w:tcPr>
            <w:tcW w:w="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13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58,989</w:t>
            </w:r>
          </w:p>
        </w:tc>
        <w:tc>
          <w:tcPr>
            <w:tcW w:w="2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3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9"/>
                <w:szCs w:val="9"/>
                <w:color w:val="auto"/>
              </w:rPr>
              <w:t>58,530</w:t>
            </w:r>
          </w:p>
        </w:tc>
        <w:tc>
          <w:tcPr>
            <w:tcW w:w="2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48,076</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color w:val="auto"/>
              </w:rPr>
              <w:t>169,681</w:t>
            </w:r>
          </w:p>
        </w:tc>
        <w:tc>
          <w:tcPr>
            <w:tcW w:w="3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9"/>
                <w:szCs w:val="9"/>
                <w:color w:val="auto"/>
              </w:rPr>
              <w:t>129,159</w:t>
            </w:r>
          </w:p>
        </w:tc>
      </w:tr>
      <w:tr>
        <w:trPr>
          <w:trHeight w:val="15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Basic Earnings Per Common Share</w:t>
            </w:r>
          </w:p>
        </w:tc>
        <w:tc>
          <w:tcPr>
            <w:tcW w:w="2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1.50</w:t>
            </w:r>
          </w:p>
        </w:tc>
        <w:tc>
          <w:tcPr>
            <w:tcW w:w="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1.48</w:t>
            </w:r>
          </w:p>
        </w:tc>
        <w:tc>
          <w:tcPr>
            <w:tcW w:w="2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1.21</w:t>
            </w: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4.30</w:t>
            </w:r>
          </w:p>
        </w:tc>
        <w:tc>
          <w:tcPr>
            <w:tcW w:w="3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3.26</w:t>
            </w:r>
          </w:p>
        </w:tc>
      </w:tr>
      <w:tr>
        <w:trPr>
          <w:trHeight w:val="143"/>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Diluted Earnings Per Common Share</w:t>
            </w:r>
          </w:p>
        </w:tc>
        <w:tc>
          <w:tcPr>
            <w:tcW w:w="240" w:type="dxa"/>
            <w:vAlign w:val="bottom"/>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130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1.49</w:t>
            </w:r>
          </w:p>
        </w:tc>
        <w:tc>
          <w:tcPr>
            <w:tcW w:w="240" w:type="dxa"/>
            <w:vAlign w:val="bottom"/>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9"/>
                <w:szCs w:val="9"/>
                <w:color w:val="auto"/>
              </w:rPr>
              <w:t>1.47</w:t>
            </w:r>
          </w:p>
        </w:tc>
        <w:tc>
          <w:tcPr>
            <w:tcW w:w="26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1.20</w:t>
            </w:r>
          </w:p>
        </w:tc>
        <w:tc>
          <w:tcPr>
            <w:tcW w:w="80" w:type="dxa"/>
            <w:vAlign w:val="bottom"/>
          </w:tcPr>
          <w:p>
            <w:pPr>
              <w:spacing w:after="0"/>
              <w:rPr>
                <w:sz w:val="12"/>
                <w:szCs w:val="12"/>
                <w:color w:val="auto"/>
              </w:rPr>
            </w:pPr>
          </w:p>
        </w:tc>
        <w:tc>
          <w:tcPr>
            <w:tcW w:w="220" w:type="dxa"/>
            <w:vAlign w:val="bottom"/>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320" w:type="dxa"/>
            <w:vAlign w:val="bottom"/>
          </w:tcPr>
          <w:p>
            <w:pPr>
              <w:jc w:val="right"/>
              <w:ind w:right="55"/>
              <w:spacing w:after="0"/>
              <w:rPr>
                <w:sz w:val="20"/>
                <w:szCs w:val="20"/>
                <w:color w:val="auto"/>
              </w:rPr>
            </w:pPr>
            <w:r>
              <w:rPr>
                <w:rFonts w:ascii="Times New Roman" w:cs="Times New Roman" w:eastAsia="Times New Roman" w:hAnsi="Times New Roman"/>
                <w:sz w:val="9"/>
                <w:szCs w:val="9"/>
                <w:color w:val="auto"/>
              </w:rPr>
              <w:t>4.27</w:t>
            </w:r>
          </w:p>
        </w:tc>
        <w:tc>
          <w:tcPr>
            <w:tcW w:w="380" w:type="dxa"/>
            <w:vAlign w:val="bottom"/>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3.24</w:t>
            </w:r>
          </w:p>
        </w:tc>
      </w:tr>
      <w:tr>
        <w:trPr>
          <w:trHeight w:val="163"/>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9"/>
                <w:szCs w:val="9"/>
                <w:color w:val="auto"/>
              </w:rPr>
              <w:t>Dividends Declared Per Common Share</w:t>
            </w:r>
          </w:p>
        </w:tc>
        <w:tc>
          <w:tcPr>
            <w:tcW w:w="24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9"/>
                <w:szCs w:val="9"/>
                <w:color w:val="auto"/>
                <w:w w:val="87"/>
              </w:rPr>
              <w:t>$</w:t>
            </w:r>
          </w:p>
        </w:tc>
        <w:tc>
          <w:tcPr>
            <w:tcW w:w="13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0.70</w:t>
            </w:r>
          </w:p>
        </w:tc>
        <w:tc>
          <w:tcPr>
            <w:tcW w:w="24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9"/>
                <w:szCs w:val="9"/>
                <w:color w:val="auto"/>
              </w:rPr>
              <w:t>$</w:t>
            </w:r>
          </w:p>
        </w:tc>
        <w:tc>
          <w:tcPr>
            <w:tcW w:w="13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9"/>
                <w:szCs w:val="9"/>
                <w:color w:val="auto"/>
              </w:rPr>
              <w:t>0.70</w:t>
            </w:r>
          </w:p>
        </w:tc>
        <w:tc>
          <w:tcPr>
            <w:tcW w:w="26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0.70</w:t>
            </w: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9"/>
                <w:szCs w:val="9"/>
                <w:color w:val="auto"/>
                <w:w w:val="87"/>
              </w:rPr>
              <w:t>$</w:t>
            </w:r>
          </w:p>
        </w:tc>
        <w:tc>
          <w:tcPr>
            <w:tcW w:w="1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9"/>
                <w:szCs w:val="9"/>
                <w:color w:val="auto"/>
              </w:rPr>
              <w:t>2.10</w:t>
            </w:r>
          </w:p>
        </w:tc>
        <w:tc>
          <w:tcPr>
            <w:tcW w:w="380" w:type="dxa"/>
            <w:vAlign w:val="bottom"/>
            <w:shd w:val="clear" w:color="auto" w:fill="CFF0FC"/>
          </w:tcPr>
          <w:p>
            <w:pPr>
              <w:jc w:val="right"/>
              <w:ind w:right="255"/>
              <w:spacing w:after="0"/>
              <w:rPr>
                <w:sz w:val="20"/>
                <w:szCs w:val="20"/>
                <w:color w:val="auto"/>
              </w:rPr>
            </w:pPr>
            <w:r>
              <w:rPr>
                <w:rFonts w:ascii="Times New Roman" w:cs="Times New Roman" w:eastAsia="Times New Roman" w:hAnsi="Times New Roman"/>
                <w:sz w:val="9"/>
                <w:szCs w:val="9"/>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2.10</w:t>
            </w:r>
          </w:p>
        </w:tc>
      </w:tr>
      <w:tr>
        <w:trPr>
          <w:trHeight w:val="144"/>
        </w:trPr>
        <w:tc>
          <w:tcPr>
            <w:tcW w:w="3540" w:type="dxa"/>
            <w:vAlign w:val="bottom"/>
          </w:tcPr>
          <w:p>
            <w:pPr>
              <w:spacing w:after="0"/>
              <w:rPr>
                <w:sz w:val="20"/>
                <w:szCs w:val="20"/>
                <w:color w:val="auto"/>
              </w:rPr>
            </w:pPr>
            <w:r>
              <w:rPr>
                <w:rFonts w:ascii="Times New Roman" w:cs="Times New Roman" w:eastAsia="Times New Roman" w:hAnsi="Times New Roman"/>
                <w:sz w:val="9"/>
                <w:szCs w:val="9"/>
                <w:color w:val="auto"/>
              </w:rPr>
              <w:t>Basic Weighted Average Common Shares</w:t>
            </w:r>
          </w:p>
        </w:tc>
        <w:tc>
          <w:tcPr>
            <w:tcW w:w="240" w:type="dxa"/>
            <w:vAlign w:val="bottom"/>
          </w:tcPr>
          <w:p>
            <w:pPr>
              <w:spacing w:after="0"/>
              <w:rPr>
                <w:sz w:val="12"/>
                <w:szCs w:val="12"/>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39,316,506</w:t>
            </w:r>
          </w:p>
        </w:tc>
        <w:tc>
          <w:tcPr>
            <w:tcW w:w="240" w:type="dxa"/>
            <w:vAlign w:val="bottom"/>
          </w:tcPr>
          <w:p>
            <w:pPr>
              <w:spacing w:after="0"/>
              <w:rPr>
                <w:sz w:val="12"/>
                <w:szCs w:val="1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39,513,447</w:t>
            </w:r>
          </w:p>
        </w:tc>
        <w:tc>
          <w:tcPr>
            <w:tcW w:w="26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39,655,741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ind w:right="15"/>
              <w:spacing w:after="0"/>
              <w:rPr>
                <w:sz w:val="20"/>
                <w:szCs w:val="20"/>
                <w:color w:val="auto"/>
              </w:rPr>
            </w:pPr>
            <w:r>
              <w:rPr>
                <w:rFonts w:ascii="Times New Roman" w:cs="Times New Roman" w:eastAsia="Times New Roman" w:hAnsi="Times New Roman"/>
                <w:sz w:val="9"/>
                <w:szCs w:val="9"/>
                <w:color w:val="auto"/>
              </w:rPr>
              <w:t>39,464,588</w:t>
            </w:r>
          </w:p>
        </w:tc>
        <w:tc>
          <w:tcPr>
            <w:tcW w:w="3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9"/>
                <w:szCs w:val="9"/>
                <w:color w:val="auto"/>
              </w:rPr>
              <w:t>39,611,372</w:t>
            </w:r>
          </w:p>
        </w:tc>
      </w:tr>
      <w:tr>
        <w:trPr>
          <w:trHeight w:val="178"/>
        </w:trPr>
        <w:tc>
          <w:tcPr>
            <w:tcW w:w="354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9"/>
                <w:szCs w:val="9"/>
                <w:color w:val="auto"/>
              </w:rPr>
              <w:t>Diluted Weighted Average Common Shares</w:t>
            </w:r>
          </w:p>
        </w:tc>
        <w:tc>
          <w:tcPr>
            <w:tcW w:w="240" w:type="dxa"/>
            <w:vAlign w:val="bottom"/>
            <w:tcBorders>
              <w:bottom w:val="single" w:sz="8" w:color="auto"/>
            </w:tcBorders>
            <w:shd w:val="clear" w:color="auto" w:fill="CFF0FC"/>
          </w:tcPr>
          <w:p>
            <w:pPr>
              <w:spacing w:after="0"/>
              <w:rPr>
                <w:sz w:val="15"/>
                <w:szCs w:val="15"/>
                <w:color w:val="auto"/>
              </w:rPr>
            </w:pPr>
          </w:p>
        </w:tc>
        <w:tc>
          <w:tcPr>
            <w:tcW w:w="130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39,553,225</w:t>
            </w:r>
          </w:p>
        </w:tc>
        <w:tc>
          <w:tcPr>
            <w:tcW w:w="2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39,734,782</w:t>
            </w:r>
          </w:p>
        </w:tc>
        <w:tc>
          <w:tcPr>
            <w:tcW w:w="26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39,980,931</w:t>
            </w:r>
          </w:p>
        </w:tc>
        <w:tc>
          <w:tcPr>
            <w:tcW w:w="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9"/>
                <w:szCs w:val="9"/>
                <w:color w:val="auto"/>
              </w:rPr>
              <w:t>39,732,180</w:t>
            </w:r>
          </w:p>
        </w:tc>
        <w:tc>
          <w:tcPr>
            <w:tcW w:w="38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9"/>
                <w:szCs w:val="9"/>
                <w:color w:val="auto"/>
              </w:rPr>
              <w:t>39,919,998</w:t>
            </w: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0"/>
          </w:cols>
          <w:pgMar w:left="300" w:top="1093"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Consolidated Statements of Condition</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3</w:t>
            </w:r>
          </w:p>
        </w:tc>
      </w:tr>
      <w:tr>
        <w:trPr>
          <w:trHeight w:val="117"/>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(dollars in thousands, except per share amounts)</w:t>
            </w:r>
          </w:p>
        </w:tc>
        <w:tc>
          <w:tcPr>
            <w:tcW w:w="280" w:type="dxa"/>
            <w:vAlign w:val="bottom"/>
          </w:tcPr>
          <w:p>
            <w:pPr>
              <w:spacing w:after="0"/>
              <w:rPr>
                <w:sz w:val="10"/>
                <w:szCs w:val="10"/>
                <w:color w:val="auto"/>
              </w:rPr>
            </w:pPr>
          </w:p>
        </w:tc>
        <w:tc>
          <w:tcPr>
            <w:tcW w:w="1300" w:type="dxa"/>
            <w:vAlign w:val="bottom"/>
          </w:tcPr>
          <w:p>
            <w:pPr>
              <w:jc w:val="right"/>
              <w:ind w:right="398"/>
              <w:spacing w:after="0"/>
              <w:rPr>
                <w:sz w:val="20"/>
                <w:szCs w:val="20"/>
                <w:color w:val="auto"/>
              </w:rPr>
            </w:pPr>
            <w:r>
              <w:rPr>
                <w:rFonts w:ascii="Times New Roman" w:cs="Times New Roman" w:eastAsia="Times New Roman" w:hAnsi="Times New Roman"/>
                <w:sz w:val="8"/>
                <w:szCs w:val="8"/>
                <w:b w:val="1"/>
                <w:bCs w:val="1"/>
                <w:color w:val="auto"/>
              </w:rPr>
              <w:t>September 30, 2026</w:t>
            </w:r>
          </w:p>
        </w:tc>
        <w:tc>
          <w:tcPr>
            <w:tcW w:w="320" w:type="dxa"/>
            <w:vAlign w:val="bottom"/>
          </w:tcPr>
          <w:p>
            <w:pPr>
              <w:spacing w:after="0"/>
              <w:rPr>
                <w:sz w:val="10"/>
                <w:szCs w:val="10"/>
                <w:color w:val="auto"/>
              </w:rPr>
            </w:pPr>
          </w:p>
        </w:tc>
        <w:tc>
          <w:tcPr>
            <w:tcW w:w="1240" w:type="dxa"/>
            <w:vAlign w:val="bottom"/>
          </w:tcPr>
          <w:p>
            <w:pPr>
              <w:jc w:val="right"/>
              <w:ind w:right="498"/>
              <w:spacing w:after="0"/>
              <w:rPr>
                <w:sz w:val="20"/>
                <w:szCs w:val="20"/>
                <w:color w:val="auto"/>
              </w:rPr>
            </w:pPr>
            <w:r>
              <w:rPr>
                <w:rFonts w:ascii="Times New Roman" w:cs="Times New Roman" w:eastAsia="Times New Roman" w:hAnsi="Times New Roman"/>
                <w:sz w:val="8"/>
                <w:szCs w:val="8"/>
                <w:b w:val="1"/>
                <w:bCs w:val="1"/>
                <w:color w:val="auto"/>
              </w:rPr>
              <w:t>June 30, 2026</w:t>
            </w:r>
          </w:p>
        </w:tc>
        <w:tc>
          <w:tcPr>
            <w:tcW w:w="280" w:type="dxa"/>
            <w:vAlign w:val="bottom"/>
          </w:tcPr>
          <w:p>
            <w:pPr>
              <w:spacing w:after="0"/>
              <w:rPr>
                <w:sz w:val="10"/>
                <w:szCs w:val="10"/>
                <w:color w:val="auto"/>
              </w:rPr>
            </w:pPr>
          </w:p>
        </w:tc>
        <w:tc>
          <w:tcPr>
            <w:tcW w:w="1280" w:type="dxa"/>
            <w:vAlign w:val="bottom"/>
          </w:tcPr>
          <w:p>
            <w:pPr>
              <w:jc w:val="right"/>
              <w:ind w:right="398"/>
              <w:spacing w:after="0"/>
              <w:rPr>
                <w:sz w:val="20"/>
                <w:szCs w:val="20"/>
                <w:color w:val="auto"/>
              </w:rPr>
            </w:pPr>
            <w:r>
              <w:rPr>
                <w:rFonts w:ascii="Times New Roman" w:cs="Times New Roman" w:eastAsia="Times New Roman" w:hAnsi="Times New Roman"/>
                <w:sz w:val="8"/>
                <w:szCs w:val="8"/>
                <w:b w:val="1"/>
                <w:bCs w:val="1"/>
                <w:color w:val="auto"/>
              </w:rPr>
              <w:t>December 31, 2025</w:t>
            </w:r>
          </w:p>
        </w:tc>
        <w:tc>
          <w:tcPr>
            <w:tcW w:w="280" w:type="dxa"/>
            <w:vAlign w:val="bottom"/>
          </w:tcPr>
          <w:p>
            <w:pPr>
              <w:spacing w:after="0"/>
              <w:rPr>
                <w:sz w:val="10"/>
                <w:szCs w:val="10"/>
                <w:color w:val="auto"/>
              </w:rPr>
            </w:pPr>
          </w:p>
        </w:tc>
        <w:tc>
          <w:tcPr>
            <w:tcW w:w="1260" w:type="dxa"/>
            <w:vAlign w:val="bottom"/>
          </w:tcPr>
          <w:p>
            <w:pPr>
              <w:jc w:val="right"/>
              <w:ind w:right="358"/>
              <w:spacing w:after="0"/>
              <w:rPr>
                <w:sz w:val="20"/>
                <w:szCs w:val="20"/>
                <w:color w:val="auto"/>
              </w:rPr>
            </w:pPr>
            <w:r>
              <w:rPr>
                <w:rFonts w:ascii="Times New Roman" w:cs="Times New Roman" w:eastAsia="Times New Roman" w:hAnsi="Times New Roman"/>
                <w:sz w:val="8"/>
                <w:szCs w:val="8"/>
                <w:b w:val="1"/>
                <w:bCs w:val="1"/>
                <w:color w:val="auto"/>
              </w:rPr>
              <w:t>September 30, 2025</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Assets</w:t>
            </w:r>
          </w:p>
        </w:tc>
        <w:tc>
          <w:tcPr>
            <w:tcW w:w="280" w:type="dxa"/>
            <w:vAlign w:val="bottom"/>
            <w:tcBorders>
              <w:bottom w:val="single" w:sz="8" w:color="CFF0FC"/>
            </w:tcBorders>
            <w:shd w:val="clear" w:color="auto" w:fill="CFF0FC"/>
          </w:tcPr>
          <w:p>
            <w:pPr>
              <w:spacing w:after="0"/>
              <w:rPr>
                <w:sz w:val="9"/>
                <w:szCs w:val="9"/>
                <w:color w:val="auto"/>
              </w:rPr>
            </w:pPr>
          </w:p>
        </w:tc>
        <w:tc>
          <w:tcPr>
            <w:tcW w:w="1300" w:type="dxa"/>
            <w:vAlign w:val="bottom"/>
            <w:tcBorders>
              <w:bottom w:val="single" w:sz="8" w:color="CFF0FC"/>
            </w:tcBorders>
            <w:shd w:val="clear" w:color="auto" w:fill="CFF0FC"/>
          </w:tcPr>
          <w:p>
            <w:pPr>
              <w:spacing w:after="0"/>
              <w:rPr>
                <w:sz w:val="9"/>
                <w:szCs w:val="9"/>
                <w:color w:val="auto"/>
              </w:rPr>
            </w:pPr>
          </w:p>
        </w:tc>
        <w:tc>
          <w:tcPr>
            <w:tcW w:w="32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spacing w:after="0"/>
              <w:rPr>
                <w:sz w:val="9"/>
                <w:szCs w:val="9"/>
                <w:color w:val="auto"/>
              </w:rPr>
            </w:pPr>
          </w:p>
        </w:tc>
        <w:tc>
          <w:tcPr>
            <w:tcW w:w="28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spacing w:after="0"/>
              <w:rPr>
                <w:sz w:val="9"/>
                <w:szCs w:val="9"/>
                <w:color w:val="auto"/>
              </w:rPr>
            </w:pP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442,032</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452,814</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946,520</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985,223</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Investment Securities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r>
      <w:tr>
        <w:trPr>
          <w:trHeight w:val="123"/>
        </w:trPr>
        <w:tc>
          <w:tcPr>
            <w:tcW w:w="50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Available-for-Sale</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3,523,442</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3,618,515</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3,510,652</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3,280,410</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8"/>
                <w:szCs w:val="8"/>
                <w:color w:val="auto"/>
              </w:rPr>
              <w:t>Held-to-Maturity (Fair Value of $3,201,942; $3,452,980; $3,651,966; and $3,717,573)</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3,974,033</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4,070,908</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4,245,681</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4,340,032</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Loans Held for Sale</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3,971</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5,089</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4,369</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1,236</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Loans and Leases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14,371,336</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14,286,625</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14,082,050</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14,021,579</w:t>
            </w:r>
          </w:p>
        </w:tc>
      </w:tr>
      <w:tr>
        <w:trPr>
          <w:trHeight w:val="123"/>
        </w:trPr>
        <w:tc>
          <w:tcPr>
            <w:tcW w:w="5060" w:type="dxa"/>
            <w:vAlign w:val="bottom"/>
          </w:tcPr>
          <w:p>
            <w:pPr>
              <w:ind w:left="140"/>
              <w:spacing w:after="0"/>
              <w:rPr>
                <w:sz w:val="20"/>
                <w:szCs w:val="20"/>
                <w:color w:val="auto"/>
              </w:rPr>
            </w:pPr>
            <w:r>
              <w:rPr>
                <w:rFonts w:ascii="Times New Roman" w:cs="Times New Roman" w:eastAsia="Times New Roman" w:hAnsi="Times New Roman"/>
                <w:sz w:val="8"/>
                <w:szCs w:val="8"/>
                <w:color w:val="auto"/>
              </w:rPr>
              <w:t>Allowance for Credit Losses</w:t>
            </w:r>
          </w:p>
        </w:tc>
        <w:tc>
          <w:tcPr>
            <w:tcW w:w="280" w:type="dxa"/>
            <w:vAlign w:val="bottom"/>
          </w:tcPr>
          <w:p>
            <w:pPr>
              <w:spacing w:after="0"/>
              <w:rPr>
                <w:sz w:val="10"/>
                <w:szCs w:val="10"/>
                <w:color w:val="auto"/>
              </w:rPr>
            </w:pPr>
          </w:p>
        </w:tc>
        <w:tc>
          <w:tcPr>
            <w:tcW w:w="13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(146,170)</w:t>
            </w:r>
          </w:p>
        </w:tc>
        <w:tc>
          <w:tcPr>
            <w:tcW w:w="320" w:type="dxa"/>
            <w:vAlign w:val="bottom"/>
          </w:tcPr>
          <w:p>
            <w:pPr>
              <w:spacing w:after="0"/>
              <w:rPr>
                <w:sz w:val="10"/>
                <w:szCs w:val="10"/>
                <w:color w:val="auto"/>
              </w:rPr>
            </w:pPr>
          </w:p>
        </w:tc>
        <w:tc>
          <w:tcPr>
            <w:tcW w:w="12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(146,995)</w:t>
            </w:r>
          </w:p>
        </w:tc>
        <w:tc>
          <w:tcPr>
            <w:tcW w:w="28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(146,766)</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(148,778)</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5060" w:type="dxa"/>
            <w:vAlign w:val="bottom"/>
            <w:tcBorders>
              <w:bottom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8"/>
                <w:szCs w:val="8"/>
                <w:color w:val="auto"/>
              </w:rPr>
              <w:t>Net Loans and Leases</w:t>
            </w:r>
          </w:p>
        </w:tc>
        <w:tc>
          <w:tcPr>
            <w:tcW w:w="280" w:type="dxa"/>
            <w:vAlign w:val="bottom"/>
            <w:tcBorders>
              <w:bottom w:val="single" w:sz="8" w:color="CFF0FC"/>
            </w:tcBorders>
            <w:shd w:val="clear" w:color="auto" w:fill="CFF0FC"/>
          </w:tcPr>
          <w:p>
            <w:pPr>
              <w:spacing w:after="0"/>
              <w:rPr>
                <w:sz w:val="11"/>
                <w:szCs w:val="11"/>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14,225,166</w:t>
            </w:r>
          </w:p>
        </w:tc>
        <w:tc>
          <w:tcPr>
            <w:tcW w:w="3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14,139,630</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13,935,284</w:t>
            </w:r>
          </w:p>
        </w:tc>
        <w:tc>
          <w:tcPr>
            <w:tcW w:w="28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13,872,801</w:t>
            </w:r>
          </w:p>
        </w:tc>
      </w:tr>
      <w:tr>
        <w:trPr>
          <w:trHeight w:val="112"/>
        </w:trPr>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Premises and Equipment, Net</w:t>
            </w: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224,276</w:t>
            </w:r>
          </w:p>
        </w:tc>
        <w:tc>
          <w:tcPr>
            <w:tcW w:w="3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223,463</w:t>
            </w:r>
          </w:p>
        </w:tc>
        <w:tc>
          <w:tcPr>
            <w:tcW w:w="28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199,747</w:t>
            </w:r>
          </w:p>
        </w:tc>
        <w:tc>
          <w:tcPr>
            <w:tcW w:w="2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196,093</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Operating Lease Right-of-Use Assets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87,449</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84,519</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83,424</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82,804</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Accrued Interest Receivable</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71,749</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70,646</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69,899</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69,224</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Mortgage Servicing Rights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16,244</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16,626</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17,455</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17,927</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Goodwill</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31,517</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31,517</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31,517</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31,517</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Bank-Owned Life Insurance</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511,349</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508,869</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499,795</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494,041</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Other Assets</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708,308</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620,344</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632,021</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643,301</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5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23,819,536</w:t>
            </w:r>
          </w:p>
        </w:tc>
        <w:tc>
          <w:tcPr>
            <w:tcW w:w="320" w:type="dxa"/>
            <w:vAlign w:val="bottom"/>
            <w:tcBorders>
              <w:bottom w:val="single" w:sz="8" w:color="CFF0FC"/>
            </w:tcBorders>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23,842,940</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24,176,364</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24,014,609</w:t>
            </w:r>
          </w:p>
        </w:tc>
      </w:tr>
      <w:tr>
        <w:trPr>
          <w:trHeight w:val="123"/>
        </w:trPr>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Liabilities</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Deposits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spacing w:after="0"/>
              <w:rPr>
                <w:sz w:val="10"/>
                <w:szCs w:val="10"/>
                <w:color w:val="auto"/>
              </w:rPr>
            </w:pP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spacing w:after="0"/>
              <w:rPr>
                <w:sz w:val="10"/>
                <w:szCs w:val="10"/>
                <w:color w:val="auto"/>
              </w:rPr>
            </w:pP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spacing w:after="0"/>
              <w:rPr>
                <w:sz w:val="10"/>
                <w:szCs w:val="10"/>
                <w:color w:val="auto"/>
              </w:rPr>
            </w:pPr>
          </w:p>
        </w:tc>
      </w:tr>
      <w:tr>
        <w:trPr>
          <w:trHeight w:val="123"/>
        </w:trPr>
        <w:tc>
          <w:tcPr>
            <w:tcW w:w="50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Noninterest-Bearing Demand</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5,429,216</w:t>
            </w:r>
          </w:p>
        </w:tc>
        <w:tc>
          <w:tcPr>
            <w:tcW w:w="320" w:type="dxa"/>
            <w:vAlign w:val="bottom"/>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5,575,291</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5,755,371</w:t>
            </w:r>
          </w:p>
        </w:tc>
        <w:tc>
          <w:tcPr>
            <w:tcW w:w="28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5,400,943</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Interest-Bearing Demand</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3,739,272</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4,075,694</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3,910,952</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3,813,921</w:t>
            </w:r>
          </w:p>
        </w:tc>
      </w:tr>
      <w:tr>
        <w:trPr>
          <w:trHeight w:val="123"/>
        </w:trPr>
        <w:tc>
          <w:tcPr>
            <w:tcW w:w="5060" w:type="dxa"/>
            <w:vAlign w:val="bottom"/>
          </w:tcPr>
          <w:p>
            <w:pPr>
              <w:ind w:left="120"/>
              <w:spacing w:after="0"/>
              <w:rPr>
                <w:sz w:val="20"/>
                <w:szCs w:val="20"/>
                <w:color w:val="auto"/>
              </w:rPr>
            </w:pPr>
            <w:r>
              <w:rPr>
                <w:rFonts w:ascii="Times New Roman" w:cs="Times New Roman" w:eastAsia="Times New Roman" w:hAnsi="Times New Roman"/>
                <w:sz w:val="8"/>
                <w:szCs w:val="8"/>
                <w:color w:val="auto"/>
              </w:rPr>
              <w:t>Savings</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8,595,032</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8,705,102</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8,741,090</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8,814,451</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49"/>
        </w:trPr>
        <w:tc>
          <w:tcPr>
            <w:tcW w:w="50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8"/>
                <w:szCs w:val="8"/>
                <w:color w:val="auto"/>
              </w:rPr>
              <w:t>Time</w:t>
            </w:r>
          </w:p>
        </w:tc>
        <w:tc>
          <w:tcPr>
            <w:tcW w:w="280" w:type="dxa"/>
            <w:vAlign w:val="bottom"/>
            <w:tcBorders>
              <w:bottom w:val="single" w:sz="8" w:color="CFF0FC"/>
            </w:tcBorders>
            <w:shd w:val="clear" w:color="auto" w:fill="CFF0FC"/>
          </w:tcPr>
          <w:p>
            <w:pPr>
              <w:spacing w:after="0"/>
              <w:rPr>
                <w:sz w:val="12"/>
                <w:szCs w:val="12"/>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2,718,038</w:t>
            </w:r>
          </w:p>
        </w:tc>
        <w:tc>
          <w:tcPr>
            <w:tcW w:w="320" w:type="dxa"/>
            <w:vAlign w:val="bottom"/>
            <w:tcBorders>
              <w:bottom w:val="single" w:sz="8" w:color="CFF0FC"/>
            </w:tcBorders>
            <w:shd w:val="clear" w:color="auto" w:fill="CFF0FC"/>
          </w:tcPr>
          <w:p>
            <w:pPr>
              <w:spacing w:after="0"/>
              <w:rPr>
                <w:sz w:val="12"/>
                <w:szCs w:val="12"/>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2,536,688</w:t>
            </w:r>
          </w:p>
        </w:tc>
        <w:tc>
          <w:tcPr>
            <w:tcW w:w="280" w:type="dxa"/>
            <w:vAlign w:val="bottom"/>
            <w:tcBorders>
              <w:bottom w:val="single" w:sz="8" w:color="CFF0FC"/>
            </w:tcBorders>
            <w:shd w:val="clear" w:color="auto" w:fill="CFF0FC"/>
          </w:tcPr>
          <w:p>
            <w:pPr>
              <w:spacing w:after="0"/>
              <w:rPr>
                <w:sz w:val="12"/>
                <w:szCs w:val="12"/>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2,781,082</w:t>
            </w:r>
          </w:p>
        </w:tc>
        <w:tc>
          <w:tcPr>
            <w:tcW w:w="280" w:type="dxa"/>
            <w:vAlign w:val="bottom"/>
            <w:tcBorders>
              <w:bottom w:val="single" w:sz="8" w:color="CFF0FC"/>
            </w:tcBorders>
            <w:shd w:val="clear" w:color="auto" w:fill="CFF0FC"/>
          </w:tcPr>
          <w:p>
            <w:pPr>
              <w:spacing w:after="0"/>
              <w:rPr>
                <w:sz w:val="12"/>
                <w:szCs w:val="12"/>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3,051,354</w:t>
            </w:r>
          </w:p>
        </w:tc>
      </w:tr>
      <w:tr>
        <w:trPr>
          <w:trHeight w:val="112"/>
        </w:trPr>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Deposits</w:t>
            </w: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20,481,558</w:t>
            </w:r>
          </w:p>
        </w:tc>
        <w:tc>
          <w:tcPr>
            <w:tcW w:w="3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20,892,775</w:t>
            </w:r>
          </w:p>
        </w:tc>
        <w:tc>
          <w:tcPr>
            <w:tcW w:w="28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21,188,495</w:t>
            </w:r>
          </w:p>
        </w:tc>
        <w:tc>
          <w:tcPr>
            <w:tcW w:w="2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21,080,669</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Securities Sold Under Agreements to Repurchase</w:t>
            </w:r>
          </w:p>
        </w:tc>
        <w:tc>
          <w:tcPr>
            <w:tcW w:w="280" w:type="dxa"/>
            <w:vAlign w:val="bottom"/>
            <w:tcBorders>
              <w:bottom w:val="single" w:sz="8" w:color="CFF0FC"/>
            </w:tcBorders>
            <w:shd w:val="clear" w:color="auto" w:fill="CFF0FC"/>
          </w:tcPr>
          <w:p>
            <w:pPr>
              <w:spacing w:after="0"/>
              <w:rPr>
                <w:sz w:val="9"/>
                <w:szCs w:val="9"/>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50,000</w:t>
            </w:r>
          </w:p>
        </w:tc>
        <w:tc>
          <w:tcPr>
            <w:tcW w:w="32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50,000</w:t>
            </w:r>
          </w:p>
        </w:tc>
        <w:tc>
          <w:tcPr>
            <w:tcW w:w="28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50,000</w:t>
            </w:r>
          </w:p>
        </w:tc>
        <w:tc>
          <w:tcPr>
            <w:tcW w:w="28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50,000</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Other Debt</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853,098</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508,124</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558,176</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558,201</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Operating Lease Liabilities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96,499</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93,568</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92,402</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91,690</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Retirement Benefits Payable</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25,236</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25,496</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20,139</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23,352</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Accrued Interest Payable</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16,675</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16,390</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22,370</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27,580</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470,394</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381,120</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393,570</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391,934</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Liabilities</w:t>
            </w:r>
          </w:p>
        </w:tc>
        <w:tc>
          <w:tcPr>
            <w:tcW w:w="280" w:type="dxa"/>
            <w:vAlign w:val="bottom"/>
            <w:tcBorders>
              <w:bottom w:val="single" w:sz="8" w:color="CFF0FC"/>
            </w:tcBorders>
            <w:shd w:val="clear" w:color="auto" w:fill="CFF0FC"/>
          </w:tcPr>
          <w:p>
            <w:pPr>
              <w:spacing w:after="0"/>
              <w:rPr>
                <w:sz w:val="11"/>
                <w:szCs w:val="11"/>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21,993,460</w:t>
            </w:r>
          </w:p>
        </w:tc>
        <w:tc>
          <w:tcPr>
            <w:tcW w:w="3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21,967,473</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22,325,152</w:t>
            </w:r>
          </w:p>
        </w:tc>
        <w:tc>
          <w:tcPr>
            <w:tcW w:w="28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22,223,426</w:t>
            </w:r>
          </w:p>
        </w:tc>
      </w:tr>
      <w:tr>
        <w:trPr>
          <w:trHeight w:val="112"/>
        </w:trPr>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Shareholders’ Equity</w:t>
            </w: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spacing w:after="0"/>
              <w:rPr>
                <w:sz w:val="9"/>
                <w:szCs w:val="9"/>
                <w:color w:val="auto"/>
              </w:rPr>
            </w:pP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Preferred Stock (Series A, $.01 par value; authorized 180,000 shares issued and outstanding)</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180,000</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180,000</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180,000</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Preferred Stock (Series B, $.01 par value; authorized 165,000 shares issued and outstanding)</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165,000</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165,000</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165,000</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165,000</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1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Common Stock ($.01 par value; authorized 500,000,000 shares; issued / outstanding: September 30, 2026 - 59,035,722 / 39,209,600; June 30, 2026 -</w:t>
            </w: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r>
      <w:tr>
        <w:trPr>
          <w:trHeight w:val="108"/>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59,020,336 / 39,439,677; December 31, 2025 - 58,780,253 / 39,725,698 and September 30, 2025 - 58,779,666 / 39,785,201)</w:t>
            </w:r>
          </w:p>
        </w:tc>
        <w:tc>
          <w:tcPr>
            <w:tcW w:w="280" w:type="dxa"/>
            <w:vAlign w:val="bottom"/>
            <w:tcBorders>
              <w:bottom w:val="single" w:sz="8" w:color="CFF0FC"/>
            </w:tcBorders>
            <w:shd w:val="clear" w:color="auto" w:fill="CFF0FC"/>
          </w:tcPr>
          <w:p>
            <w:pPr>
              <w:spacing w:after="0"/>
              <w:rPr>
                <w:sz w:val="9"/>
                <w:szCs w:val="9"/>
                <w:color w:val="auto"/>
              </w:rPr>
            </w:pP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590</w:t>
            </w:r>
          </w:p>
        </w:tc>
        <w:tc>
          <w:tcPr>
            <w:tcW w:w="320" w:type="dxa"/>
            <w:vAlign w:val="bottom"/>
            <w:tcBorders>
              <w:bottom w:val="single" w:sz="8" w:color="CFF0FC"/>
            </w:tcBorders>
            <w:shd w:val="clear" w:color="auto" w:fill="CFF0FC"/>
          </w:tcPr>
          <w:p>
            <w:pPr>
              <w:spacing w:after="0"/>
              <w:rPr>
                <w:sz w:val="9"/>
                <w:szCs w:val="9"/>
                <w:color w:val="auto"/>
              </w:rPr>
            </w:pP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590</w:t>
            </w:r>
          </w:p>
        </w:tc>
        <w:tc>
          <w:tcPr>
            <w:tcW w:w="280" w:type="dxa"/>
            <w:vAlign w:val="bottom"/>
            <w:tcBorders>
              <w:bottom w:val="single" w:sz="8" w:color="CFF0FC"/>
            </w:tcBorders>
            <w:shd w:val="clear" w:color="auto" w:fill="CFF0FC"/>
          </w:tcPr>
          <w:p>
            <w:pPr>
              <w:spacing w:after="0"/>
              <w:rPr>
                <w:sz w:val="9"/>
                <w:szCs w:val="9"/>
                <w:color w:val="auto"/>
              </w:rPr>
            </w:pP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587</w:t>
            </w:r>
          </w:p>
        </w:tc>
        <w:tc>
          <w:tcPr>
            <w:tcW w:w="280" w:type="dxa"/>
            <w:vAlign w:val="bottom"/>
            <w:tcBorders>
              <w:bottom w:val="single" w:sz="8" w:color="CFF0FC"/>
            </w:tcBorders>
            <w:shd w:val="clear" w:color="auto" w:fill="CFF0FC"/>
          </w:tcPr>
          <w:p>
            <w:pPr>
              <w:spacing w:after="0"/>
              <w:rPr>
                <w:sz w:val="9"/>
                <w:szCs w:val="9"/>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587</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Capital Surplus</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679,084</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675,654</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664,781</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659,922</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24"/>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Accumulated Other Comprehensive Loss</w:t>
            </w:r>
          </w:p>
        </w:tc>
        <w:tc>
          <w:tcPr>
            <w:tcW w:w="280" w:type="dxa"/>
            <w:vAlign w:val="bottom"/>
            <w:tcBorders>
              <w:bottom w:val="single" w:sz="8" w:color="CFF0FC"/>
            </w:tcBorders>
            <w:shd w:val="clear" w:color="auto" w:fill="CFF0FC"/>
          </w:tcPr>
          <w:p>
            <w:pPr>
              <w:spacing w:after="0"/>
              <w:rPr>
                <w:sz w:val="10"/>
                <w:szCs w:val="10"/>
                <w:color w:val="auto"/>
              </w:rPr>
            </w:pPr>
          </w:p>
        </w:tc>
        <w:tc>
          <w:tcPr>
            <w:tcW w:w="13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(307,653)</w:t>
            </w:r>
          </w:p>
        </w:tc>
        <w:tc>
          <w:tcPr>
            <w:tcW w:w="320" w:type="dxa"/>
            <w:vAlign w:val="bottom"/>
            <w:tcBorders>
              <w:bottom w:val="single" w:sz="8" w:color="CFF0FC"/>
            </w:tcBorders>
            <w:shd w:val="clear" w:color="auto" w:fill="CFF0FC"/>
          </w:tcPr>
          <w:p>
            <w:pPr>
              <w:spacing w:after="0"/>
              <w:rPr>
                <w:sz w:val="10"/>
                <w:szCs w:val="10"/>
                <w:color w:val="auto"/>
              </w:rPr>
            </w:pPr>
          </w:p>
        </w:tc>
        <w:tc>
          <w:tcPr>
            <w:tcW w:w="124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(243,475)</w:t>
            </w:r>
          </w:p>
        </w:tc>
        <w:tc>
          <w:tcPr>
            <w:tcW w:w="280" w:type="dxa"/>
            <w:vAlign w:val="bottom"/>
            <w:tcBorders>
              <w:bottom w:val="single" w:sz="8" w:color="CFF0FC"/>
            </w:tcBorders>
            <w:shd w:val="clear" w:color="auto" w:fill="CFF0FC"/>
          </w:tcPr>
          <w:p>
            <w:pPr>
              <w:spacing w:after="0"/>
              <w:rPr>
                <w:sz w:val="10"/>
                <w:szCs w:val="10"/>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(244,438)</w:t>
            </w:r>
          </w:p>
        </w:tc>
        <w:tc>
          <w:tcPr>
            <w:tcW w:w="280" w:type="dxa"/>
            <w:vAlign w:val="bottom"/>
            <w:tcBorders>
              <w:bottom w:val="single" w:sz="8" w:color="CFF0FC"/>
            </w:tcBorders>
            <w:shd w:val="clear" w:color="auto" w:fill="CFF0FC"/>
          </w:tcPr>
          <w:p>
            <w:pPr>
              <w:spacing w:after="0"/>
              <w:rPr>
                <w:sz w:val="10"/>
                <w:szCs w:val="10"/>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(276,251)</w:t>
            </w:r>
          </w:p>
        </w:tc>
      </w:tr>
      <w:tr>
        <w:trPr>
          <w:trHeight w:val="123"/>
        </w:trPr>
        <w:tc>
          <w:tcPr>
            <w:tcW w:w="5060" w:type="dxa"/>
            <w:vAlign w:val="bottom"/>
          </w:tcPr>
          <w:p>
            <w:pPr>
              <w:spacing w:after="0"/>
              <w:rPr>
                <w:sz w:val="20"/>
                <w:szCs w:val="20"/>
                <w:color w:val="auto"/>
              </w:rPr>
            </w:pPr>
            <w:r>
              <w:rPr>
                <w:rFonts w:ascii="Times New Roman" w:cs="Times New Roman" w:eastAsia="Times New Roman" w:hAnsi="Times New Roman"/>
                <w:sz w:val="8"/>
                <w:szCs w:val="8"/>
                <w:color w:val="auto"/>
              </w:rPr>
              <w:t>Retained Earnings</w:t>
            </w:r>
          </w:p>
        </w:tc>
        <w:tc>
          <w:tcPr>
            <w:tcW w:w="280" w:type="dxa"/>
            <w:vAlign w:val="bottom"/>
          </w:tcPr>
          <w:p>
            <w:pPr>
              <w:spacing w:after="0"/>
              <w:rPr>
                <w:sz w:val="10"/>
                <w:szCs w:val="10"/>
                <w:color w:val="auto"/>
              </w:rPr>
            </w:pPr>
          </w:p>
        </w:tc>
        <w:tc>
          <w:tcPr>
            <w:tcW w:w="130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2,291,275</w:t>
            </w:r>
          </w:p>
        </w:tc>
        <w:tc>
          <w:tcPr>
            <w:tcW w:w="320" w:type="dxa"/>
            <w:vAlign w:val="bottom"/>
          </w:tcPr>
          <w:p>
            <w:pPr>
              <w:spacing w:after="0"/>
              <w:rPr>
                <w:sz w:val="10"/>
                <w:szCs w:val="10"/>
                <w:color w:val="auto"/>
              </w:rPr>
            </w:pPr>
          </w:p>
        </w:tc>
        <w:tc>
          <w:tcPr>
            <w:tcW w:w="12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rPr>
              <w:t>2,260,152</w:t>
            </w:r>
          </w:p>
        </w:tc>
        <w:tc>
          <w:tcPr>
            <w:tcW w:w="280" w:type="dxa"/>
            <w:vAlign w:val="bottom"/>
          </w:tcPr>
          <w:p>
            <w:pPr>
              <w:spacing w:after="0"/>
              <w:rPr>
                <w:sz w:val="10"/>
                <w:szCs w:val="10"/>
                <w:color w:val="auto"/>
              </w:rPr>
            </w:pPr>
          </w:p>
        </w:tc>
        <w:tc>
          <w:tcPr>
            <w:tcW w:w="128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2,205,707</w:t>
            </w:r>
          </w:p>
        </w:tc>
        <w:tc>
          <w:tcPr>
            <w:tcW w:w="280" w:type="dxa"/>
            <w:vAlign w:val="bottom"/>
          </w:tcPr>
          <w:p>
            <w:pPr>
              <w:spacing w:after="0"/>
              <w:rPr>
                <w:sz w:val="10"/>
                <w:szCs w:val="1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2,178,263</w:t>
            </w:r>
          </w:p>
        </w:tc>
      </w:tr>
      <w:tr>
        <w:trPr>
          <w:trHeight w:val="21"/>
        </w:trPr>
        <w:tc>
          <w:tcPr>
            <w:tcW w:w="5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15"/>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Treasury Stock, at Cost (Shares: September 30, 2026 - 19,826,122; June 30, 2026 - 19,580,659; December 31, 2025 - 19,054,555; and September 30,</w:t>
            </w:r>
          </w:p>
        </w:tc>
        <w:tc>
          <w:tcPr>
            <w:tcW w:w="280" w:type="dxa"/>
            <w:vAlign w:val="bottom"/>
            <w:shd w:val="clear" w:color="auto" w:fill="CFF0FC"/>
          </w:tcPr>
          <w:p>
            <w:pPr>
              <w:spacing w:after="0"/>
              <w:rPr>
                <w:sz w:val="10"/>
                <w:szCs w:val="10"/>
                <w:color w:val="auto"/>
              </w:rPr>
            </w:pPr>
          </w:p>
        </w:tc>
        <w:tc>
          <w:tcPr>
            <w:tcW w:w="13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8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60" w:type="dxa"/>
            <w:vAlign w:val="bottom"/>
            <w:shd w:val="clear" w:color="auto" w:fill="CFF0FC"/>
          </w:tcPr>
          <w:p>
            <w:pPr>
              <w:spacing w:after="0"/>
              <w:rPr>
                <w:sz w:val="10"/>
                <w:szCs w:val="10"/>
                <w:color w:val="auto"/>
              </w:rPr>
            </w:pPr>
          </w:p>
        </w:tc>
      </w:tr>
      <w:tr>
        <w:trPr>
          <w:trHeight w:val="13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color w:val="auto"/>
              </w:rPr>
              <w:t>2025 - 18,994,465)</w:t>
            </w:r>
          </w:p>
        </w:tc>
        <w:tc>
          <w:tcPr>
            <w:tcW w:w="280" w:type="dxa"/>
            <w:vAlign w:val="bottom"/>
            <w:tcBorders>
              <w:bottom w:val="single" w:sz="8" w:color="CFF0FC"/>
            </w:tcBorders>
            <w:shd w:val="clear" w:color="auto" w:fill="CFF0FC"/>
          </w:tcPr>
          <w:p>
            <w:pPr>
              <w:spacing w:after="0"/>
              <w:rPr>
                <w:sz w:val="11"/>
                <w:szCs w:val="11"/>
                <w:color w:val="auto"/>
              </w:rPr>
            </w:pPr>
          </w:p>
        </w:tc>
        <w:tc>
          <w:tcPr>
            <w:tcW w:w="130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(1,182,220)</w:t>
            </w:r>
          </w:p>
        </w:tc>
        <w:tc>
          <w:tcPr>
            <w:tcW w:w="320" w:type="dxa"/>
            <w:vAlign w:val="bottom"/>
            <w:tcBorders>
              <w:bottom w:val="single" w:sz="8" w:color="CFF0FC"/>
            </w:tcBorders>
            <w:shd w:val="clear" w:color="auto" w:fill="CFF0FC"/>
          </w:tcPr>
          <w:p>
            <w:pPr>
              <w:spacing w:after="0"/>
              <w:rPr>
                <w:sz w:val="11"/>
                <w:szCs w:val="11"/>
                <w:color w:val="auto"/>
              </w:rPr>
            </w:pPr>
          </w:p>
        </w:tc>
        <w:tc>
          <w:tcPr>
            <w:tcW w:w="124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(1,162,454)</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(1,120,425)</w:t>
            </w:r>
          </w:p>
        </w:tc>
        <w:tc>
          <w:tcPr>
            <w:tcW w:w="280" w:type="dxa"/>
            <w:vAlign w:val="bottom"/>
            <w:tcBorders>
              <w:bottom w:val="single" w:sz="8" w:color="CFF0FC"/>
            </w:tcBorders>
            <w:shd w:val="clear" w:color="auto" w:fill="CFF0FC"/>
          </w:tcPr>
          <w:p>
            <w:pPr>
              <w:spacing w:after="0"/>
              <w:rPr>
                <w:sz w:val="11"/>
                <w:szCs w:val="11"/>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(1,116,338)</w:t>
            </w:r>
          </w:p>
        </w:tc>
      </w:tr>
      <w:tr>
        <w:trPr>
          <w:trHeight w:val="112"/>
        </w:trPr>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b w:val="1"/>
                <w:bCs w:val="1"/>
                <w:color w:val="auto"/>
              </w:rPr>
              <w:t>Total Shareholders’ Equity</w:t>
            </w:r>
          </w:p>
        </w:tc>
        <w:tc>
          <w:tcPr>
            <w:tcW w:w="280" w:type="dxa"/>
            <w:vAlign w:val="bottom"/>
            <w:tcBorders>
              <w:top w:val="single" w:sz="8" w:color="auto"/>
            </w:tcBorders>
          </w:tcPr>
          <w:p>
            <w:pPr>
              <w:spacing w:after="0"/>
              <w:rPr>
                <w:sz w:val="9"/>
                <w:szCs w:val="9"/>
                <w:color w:val="auto"/>
              </w:rPr>
            </w:pPr>
          </w:p>
        </w:tc>
        <w:tc>
          <w:tcPr>
            <w:tcW w:w="13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1,826,076</w:t>
            </w:r>
          </w:p>
        </w:tc>
        <w:tc>
          <w:tcPr>
            <w:tcW w:w="3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rPr>
              <w:t>1,875,467</w:t>
            </w:r>
          </w:p>
        </w:tc>
        <w:tc>
          <w:tcPr>
            <w:tcW w:w="28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rPr>
              <w:t>1,851,212</w:t>
            </w:r>
          </w:p>
        </w:tc>
        <w:tc>
          <w:tcPr>
            <w:tcW w:w="280" w:type="dxa"/>
            <w:vAlign w:val="bottom"/>
            <w:tcBorders>
              <w:top w:val="single" w:sz="8" w:color="auto"/>
            </w:tcBorders>
          </w:tcPr>
          <w:p>
            <w:pPr>
              <w:spacing w:after="0"/>
              <w:rPr>
                <w:sz w:val="9"/>
                <w:szCs w:val="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1,791,183</w:t>
            </w:r>
          </w:p>
        </w:tc>
      </w:tr>
      <w:tr>
        <w:trPr>
          <w:trHeight w:val="21"/>
        </w:trPr>
        <w:tc>
          <w:tcPr>
            <w:tcW w:w="5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3"/>
        </w:trPr>
        <w:tc>
          <w:tcPr>
            <w:tcW w:w="5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8"/>
                <w:szCs w:val="8"/>
                <w:b w:val="1"/>
                <w:bCs w:val="1"/>
                <w:color w:val="auto"/>
              </w:rPr>
              <w:t>Total Liabilities and Shareholders’ Equity</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30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23,819,536</w:t>
            </w:r>
          </w:p>
        </w:tc>
        <w:tc>
          <w:tcPr>
            <w:tcW w:w="320" w:type="dxa"/>
            <w:vAlign w:val="bottom"/>
            <w:tcBorders>
              <w:bottom w:val="single" w:sz="8" w:color="CFF0FC"/>
            </w:tcBorders>
            <w:shd w:val="clear" w:color="auto" w:fill="CFF0FC"/>
          </w:tcPr>
          <w:p>
            <w:pPr>
              <w:jc w:val="right"/>
              <w:ind w:right="178"/>
              <w:spacing w:after="0"/>
              <w:rPr>
                <w:sz w:val="20"/>
                <w:szCs w:val="20"/>
                <w:color w:val="auto"/>
              </w:rPr>
            </w:pPr>
            <w:r>
              <w:rPr>
                <w:rFonts w:ascii="Times New Roman" w:cs="Times New Roman" w:eastAsia="Times New Roman" w:hAnsi="Times New Roman"/>
                <w:sz w:val="8"/>
                <w:szCs w:val="8"/>
                <w:color w:val="auto"/>
              </w:rPr>
              <w:t>$</w:t>
            </w:r>
          </w:p>
        </w:tc>
        <w:tc>
          <w:tcPr>
            <w:tcW w:w="1240" w:type="dxa"/>
            <w:vAlign w:val="bottom"/>
            <w:tcBorders>
              <w:bottom w:val="single" w:sz="8" w:color="CFF0FC"/>
            </w:tcBorders>
            <w:shd w:val="clear" w:color="auto" w:fill="CFF0FC"/>
          </w:tcPr>
          <w:p>
            <w:pPr>
              <w:jc w:val="right"/>
              <w:ind w:right="38"/>
              <w:spacing w:after="0"/>
              <w:rPr>
                <w:sz w:val="20"/>
                <w:szCs w:val="20"/>
                <w:color w:val="auto"/>
              </w:rPr>
            </w:pPr>
            <w:r>
              <w:rPr>
                <w:rFonts w:ascii="Times New Roman" w:cs="Times New Roman" w:eastAsia="Times New Roman" w:hAnsi="Times New Roman"/>
                <w:sz w:val="8"/>
                <w:szCs w:val="8"/>
                <w:color w:val="auto"/>
              </w:rPr>
              <w:t>23,842,940</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80" w:type="dxa"/>
            <w:vAlign w:val="bottom"/>
            <w:tcBorders>
              <w:bottom w:val="single" w:sz="8" w:color="CFF0FC"/>
            </w:tcBorders>
            <w:shd w:val="clear" w:color="auto" w:fill="CFF0FC"/>
          </w:tcPr>
          <w:p>
            <w:pPr>
              <w:jc w:val="right"/>
              <w:ind w:right="18"/>
              <w:spacing w:after="0"/>
              <w:rPr>
                <w:sz w:val="20"/>
                <w:szCs w:val="20"/>
                <w:color w:val="auto"/>
              </w:rPr>
            </w:pPr>
            <w:r>
              <w:rPr>
                <w:rFonts w:ascii="Times New Roman" w:cs="Times New Roman" w:eastAsia="Times New Roman" w:hAnsi="Times New Roman"/>
                <w:sz w:val="8"/>
                <w:szCs w:val="8"/>
                <w:color w:val="auto"/>
              </w:rPr>
              <w:t>24,176,364</w:t>
            </w:r>
          </w:p>
        </w:tc>
        <w:tc>
          <w:tcPr>
            <w:tcW w:w="280" w:type="dxa"/>
            <w:vAlign w:val="bottom"/>
            <w:tcBorders>
              <w:bottom w:val="single" w:sz="8" w:color="CFF0FC"/>
            </w:tcBorders>
            <w:shd w:val="clear" w:color="auto" w:fill="CFF0FC"/>
          </w:tcPr>
          <w:p>
            <w:pPr>
              <w:jc w:val="right"/>
              <w:ind w:right="138"/>
              <w:spacing w:after="0"/>
              <w:rPr>
                <w:sz w:val="20"/>
                <w:szCs w:val="20"/>
                <w:color w:val="auto"/>
              </w:rPr>
            </w:pPr>
            <w:r>
              <w:rPr>
                <w:rFonts w:ascii="Times New Roman" w:cs="Times New Roman" w:eastAsia="Times New Roman" w:hAnsi="Times New Roman"/>
                <w:sz w:val="8"/>
                <w:szCs w:val="8"/>
                <w:color w:val="auto"/>
              </w:rPr>
              <w:t>$</w:t>
            </w: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24,014,609</w:t>
            </w:r>
          </w:p>
        </w:tc>
      </w:tr>
      <w:tr>
        <w:trPr>
          <w:trHeight w:val="36"/>
        </w:trPr>
        <w:tc>
          <w:tcPr>
            <w:tcW w:w="50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2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093" w:right="299" w:bottom="1440" w:gutter="0" w:footer="0" w:header="0"/>
        </w:sectPr>
      </w:pPr>
    </w:p>
    <w:bookmarkStart w:id="11" w:name="page12"/>
    <w:bookmarkEnd w:id="11"/>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7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b w:val="1"/>
                <w:bCs w:val="1"/>
                <w:color w:val="auto"/>
              </w:rPr>
              <w:t xml:space="preserve">Average Balances and Interest Rates - Taxable-Equivalent Basis </w:t>
            </w:r>
            <w:r>
              <w:rPr>
                <w:rFonts w:ascii="Times New Roman" w:cs="Times New Roman" w:eastAsia="Times New Roman" w:hAnsi="Times New Roman"/>
                <w:sz w:val="18"/>
                <w:szCs w:val="18"/>
                <w:b w:val="1"/>
                <w:bCs w:val="1"/>
                <w:color w:val="auto"/>
                <w:vertAlign w:val="superscript"/>
              </w:rPr>
              <w:t>1</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2"/>
                <w:szCs w:val="12"/>
                <w:b w:val="1"/>
                <w:bCs w:val="1"/>
                <w:color w:val="auto"/>
                <w:w w:val="94"/>
              </w:rPr>
              <w:t>Table 4a</w:t>
            </w:r>
          </w:p>
        </w:tc>
      </w:tr>
      <w:tr>
        <w:trPr>
          <w:trHeight w:val="113"/>
        </w:trPr>
        <w:tc>
          <w:tcPr>
            <w:tcW w:w="26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2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8"/>
                <w:szCs w:val="8"/>
                <w:b w:val="1"/>
                <w:bCs w:val="1"/>
                <w:color w:val="auto"/>
                <w:w w:val="97"/>
              </w:rPr>
              <w:t>Three Months Ended September 30, 2026</w:t>
            </w:r>
          </w:p>
        </w:tc>
        <w:tc>
          <w:tcPr>
            <w:tcW w:w="7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98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8"/>
                <w:szCs w:val="8"/>
                <w:b w:val="1"/>
                <w:bCs w:val="1"/>
                <w:color w:val="auto"/>
              </w:rPr>
              <w:t>Three Months Ended June 30, 2026</w:t>
            </w: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8"/>
                <w:szCs w:val="8"/>
                <w:b w:val="1"/>
                <w:bCs w:val="1"/>
                <w:color w:val="auto"/>
                <w:w w:val="98"/>
              </w:rPr>
              <w:t>Three Months Ended September 30, 2025</w:t>
            </w:r>
          </w:p>
        </w:tc>
        <w:tc>
          <w:tcPr>
            <w:tcW w:w="700" w:type="dxa"/>
            <w:vAlign w:val="bottom"/>
            <w:tcBorders>
              <w:bottom w:val="single" w:sz="8" w:color="auto"/>
            </w:tcBorders>
          </w:tcPr>
          <w:p>
            <w:pPr>
              <w:spacing w:after="0"/>
              <w:rPr>
                <w:sz w:val="9"/>
                <w:szCs w:val="9"/>
                <w:color w:val="auto"/>
              </w:rPr>
            </w:pPr>
          </w:p>
        </w:tc>
      </w:tr>
      <w:tr>
        <w:trPr>
          <w:trHeight w:val="144"/>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(dollars in millions)</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Yield/Rate</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8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Yield/Rate</w:t>
            </w: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b w:val="1"/>
                <w:bCs w:val="1"/>
                <w:color w:val="auto"/>
              </w:rPr>
              <w:t>Yield/Rate</w:t>
            </w:r>
          </w:p>
        </w:tc>
      </w:tr>
      <w:tr>
        <w:trPr>
          <w:trHeight w:val="11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Earning Assets</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r>
      <w:tr>
        <w:trPr>
          <w:trHeight w:val="123"/>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00" w:type="dxa"/>
            <w:vAlign w:val="bottom"/>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187.7</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3.49 %</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196.2</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3.48 %</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744.3</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4.31 %</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Investment Securities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r>
      <w:tr>
        <w:trPr>
          <w:trHeight w:val="123"/>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Available-for-Sale</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Taxable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3,602.0</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36.0</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3.99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3,669.5</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36.1</w:t>
            </w: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3.93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3,157.8</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29.3</w:t>
            </w: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3.70</w:t>
            </w:r>
          </w:p>
        </w:tc>
      </w:tr>
      <w:tr>
        <w:trPr>
          <w:trHeight w:val="123"/>
        </w:trPr>
        <w:tc>
          <w:tcPr>
            <w:tcW w:w="26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Non-Taxable</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31.6</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0.4</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5.14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31.7</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0.4</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5.08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32.4</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5.98</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Held-to-Maturity</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r>
      <w:tr>
        <w:trPr>
          <w:trHeight w:val="123"/>
        </w:trPr>
        <w:tc>
          <w:tcPr>
            <w:tcW w:w="2620" w:type="dxa"/>
            <w:vAlign w:val="bottom"/>
          </w:tcPr>
          <w:p>
            <w:pPr>
              <w:ind w:left="100"/>
              <w:spacing w:after="0"/>
              <w:rPr>
                <w:sz w:val="20"/>
                <w:szCs w:val="20"/>
                <w:color w:val="auto"/>
              </w:rPr>
            </w:pPr>
            <w:r>
              <w:rPr>
                <w:rFonts w:ascii="Times New Roman" w:cs="Times New Roman" w:eastAsia="Times New Roman" w:hAnsi="Times New Roman"/>
                <w:sz w:val="8"/>
                <w:szCs w:val="8"/>
                <w:color w:val="auto"/>
              </w:rPr>
              <w:t>Taxable</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3,995.2</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17.3</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1.74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4,091.6</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17.9</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1.75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4,363.9</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19.2</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1.76</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9"/>
        </w:trPr>
        <w:tc>
          <w:tcPr>
            <w:tcW w:w="2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Non-Taxable</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32.9</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1.92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33.4</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w:t>
            </w: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2.10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33.8</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2.10</w:t>
            </w:r>
          </w:p>
        </w:tc>
      </w:tr>
      <w:tr>
        <w:trPr>
          <w:trHeight w:val="112"/>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Investment Securities</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7,661.7</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53.9</w:t>
            </w:r>
          </w:p>
        </w:tc>
        <w:tc>
          <w:tcPr>
            <w:tcW w:w="2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2.81</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7,826.2</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54.6</w:t>
            </w: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rPr>
              <w:t>2.79</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7,587.9</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49.2</w:t>
            </w: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2.59</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1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Loans Held for Sale</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w:t>
            </w: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5.83</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w:t>
            </w: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6.20</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w:t>
            </w:r>
          </w:p>
        </w:tc>
        <w:tc>
          <w:tcPr>
            <w:tcW w:w="28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5.92</w:t>
            </w:r>
          </w:p>
        </w:tc>
      </w:tr>
      <w:tr>
        <w:trPr>
          <w:trHeight w:val="144"/>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Loans and Leases </w:t>
            </w:r>
            <w:r>
              <w:rPr>
                <w:rFonts w:ascii="Times New Roman" w:cs="Times New Roman" w:eastAsia="Times New Roman" w:hAnsi="Times New Roman"/>
                <w:sz w:val="10"/>
                <w:szCs w:val="10"/>
                <w:color w:val="auto"/>
                <w:vertAlign w:val="superscript"/>
              </w:rPr>
              <w:t>3</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2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Commercial Mortgage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4,393.9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57.1</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5.15</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4,314.9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w:t>
            </w: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5.17</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4,016.3</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54.3</w:t>
            </w: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5.36</w:t>
            </w:r>
          </w:p>
        </w:tc>
      </w:tr>
      <w:tr>
        <w:trPr>
          <w:trHeight w:val="123"/>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Commercial and Industrial</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1,656.2</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20.6</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4.92</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1,624.6</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19.5</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4.83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1,600.7</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20.5</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5.09</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Construction</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145.7</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6.09</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209.7</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w:t>
            </w: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6.30</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394.4</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7.3</w:t>
            </w: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7.32</w:t>
            </w:r>
          </w:p>
        </w:tc>
      </w:tr>
      <w:tr>
        <w:trPr>
          <w:trHeight w:val="123"/>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Commercial Lease Financing</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83.6</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0.9</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4.47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0.9</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4.26</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93.0</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4.11</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Residential Mortgage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4,854.9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50.2</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4.13</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4,812.6</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48.9</w:t>
            </w: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4.06</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4,638.1</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46.7</w:t>
            </w: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4.02</w:t>
            </w:r>
          </w:p>
        </w:tc>
      </w:tr>
      <w:tr>
        <w:trPr>
          <w:trHeight w:val="123"/>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Home Equity</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2,080.5</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24.5</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4.68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2,085.3</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24.1</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4.63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2,129.6</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23.9</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4.46</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Automobile</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670.9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9.7</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5.75</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677.4</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w:t>
            </w: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5.65</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706.9</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w:t>
            </w: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5.35</w:t>
            </w:r>
          </w:p>
        </w:tc>
      </w:tr>
      <w:tr>
        <w:trPr>
          <w:trHeight w:val="123"/>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Other</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419.7</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8.2</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7.78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409.9</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7.9</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7.74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403.0</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7.7</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7.63</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Loans and Leases</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14,305.4</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173.4</w:t>
            </w:r>
          </w:p>
        </w:tc>
        <w:tc>
          <w:tcPr>
            <w:tcW w:w="2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4.82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14,219.0</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169.8</w:t>
            </w:r>
          </w:p>
        </w:tc>
        <w:tc>
          <w:tcPr>
            <w:tcW w:w="2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4.79</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13,982.0</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170.9</w:t>
            </w: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4.86</w:t>
            </w:r>
          </w:p>
        </w:tc>
      </w:tr>
      <w:tr>
        <w:trPr>
          <w:trHeight w:val="112"/>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Other</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83.7</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w:t>
            </w:r>
          </w:p>
        </w:tc>
        <w:tc>
          <w:tcPr>
            <w:tcW w:w="2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6.85</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82.8</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1.4</w:t>
            </w: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rPr>
              <w:t>6.34</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65.3</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1.1</w:t>
            </w: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6.54</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Earning Assets</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22,241.4</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230.5</w:t>
            </w:r>
          </w:p>
        </w:tc>
        <w:tc>
          <w:tcPr>
            <w:tcW w:w="2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4.13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22,326.9</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227.5</w:t>
            </w:r>
          </w:p>
        </w:tc>
        <w:tc>
          <w:tcPr>
            <w:tcW w:w="2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4.08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22,381.1</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229.4</w:t>
            </w: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4.08</w:t>
            </w:r>
          </w:p>
        </w:tc>
      </w:tr>
      <w:tr>
        <w:trPr>
          <w:trHeight w:val="112"/>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Non-Earning Assets</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1,527.2</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1,534.9</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1,613.9</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r>
      <w:tr>
        <w:trPr>
          <w:trHeight w:val="21"/>
        </w:trPr>
        <w:tc>
          <w:tcPr>
            <w:tcW w:w="2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r>
      <w:tr>
        <w:trPr>
          <w:trHeight w:val="14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23,768.6</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23,861.8</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23,995.0</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r>
      <w:tr>
        <w:trPr>
          <w:trHeight w:val="126"/>
        </w:trPr>
        <w:tc>
          <w:tcPr>
            <w:tcW w:w="2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2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Interest-Bearing Liabilities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r>
      <w:tr>
        <w:trPr>
          <w:trHeight w:val="123"/>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Interest-Bearing Deposits</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Demand</w:t>
            </w:r>
          </w:p>
        </w:tc>
        <w:tc>
          <w:tcPr>
            <w:tcW w:w="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3,836.6</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7.1</w:t>
            </w: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0.73 %</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3,781.7</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7.4</w:t>
            </w: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0.78 %</w:t>
            </w: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3,781.0</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7.8</w:t>
            </w: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0.81 %</w:t>
            </w:r>
          </w:p>
        </w:tc>
      </w:tr>
      <w:tr>
        <w:trPr>
          <w:trHeight w:val="123"/>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Savings</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8,798.7</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41.5</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1.87</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8,750.0</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39.9</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1.83</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8,831.0</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50.6</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2.28</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9"/>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Time</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2,555.8</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17.3</w:t>
            </w: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2.69</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2,707.6</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18.5</w:t>
            </w: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2.75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3,057.6</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26.2</w:t>
            </w: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3.40</w:t>
            </w:r>
          </w:p>
        </w:tc>
      </w:tr>
      <w:tr>
        <w:trPr>
          <w:trHeight w:val="112"/>
        </w:trPr>
        <w:tc>
          <w:tcPr>
            <w:tcW w:w="2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Interest-Bearing Deposits</w:t>
            </w: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15,191.1</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65.9</w:t>
            </w:r>
          </w:p>
        </w:tc>
        <w:tc>
          <w:tcPr>
            <w:tcW w:w="2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1.72</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15,239.3</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65.8</w:t>
            </w:r>
          </w:p>
        </w:tc>
        <w:tc>
          <w:tcPr>
            <w:tcW w:w="22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8"/>
                <w:szCs w:val="8"/>
                <w:color w:val="auto"/>
              </w:rPr>
              <w:t>1.73</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15,669.6</w:t>
            </w:r>
          </w:p>
        </w:tc>
        <w:tc>
          <w:tcPr>
            <w:tcW w:w="1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84.6</w:t>
            </w: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8"/>
                <w:szCs w:val="8"/>
                <w:color w:val="auto"/>
              </w:rPr>
              <w:t>2.14</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13"/>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Securities Sold Under Agreements to Repurchase</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3.89</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3.88</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28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3.89</w:t>
            </w:r>
          </w:p>
        </w:tc>
      </w:tr>
      <w:tr>
        <w:trPr>
          <w:trHeight w:val="123"/>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Other Debt</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627.8</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w:t>
            </w: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4.19</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593.3</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w:t>
            </w: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4.20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558.3</w:t>
            </w:r>
          </w:p>
        </w:tc>
        <w:tc>
          <w:tcPr>
            <w:tcW w:w="12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w:t>
            </w: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4.23</w:t>
            </w:r>
          </w:p>
        </w:tc>
      </w:tr>
      <w:tr>
        <w:trPr>
          <w:trHeight w:val="21"/>
        </w:trPr>
        <w:tc>
          <w:tcPr>
            <w:tcW w:w="2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38"/>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Interest-Bearing Liabilities</w:t>
            </w:r>
          </w:p>
        </w:tc>
        <w:tc>
          <w:tcPr>
            <w:tcW w:w="10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15,868.9</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73.1</w:t>
            </w:r>
          </w:p>
        </w:tc>
        <w:tc>
          <w:tcPr>
            <w:tcW w:w="2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1.83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15,882.6</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72.5</w:t>
            </w:r>
          </w:p>
        </w:tc>
        <w:tc>
          <w:tcPr>
            <w:tcW w:w="22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1.83</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16,277.9</w:t>
            </w:r>
          </w:p>
        </w:tc>
        <w:tc>
          <w:tcPr>
            <w:tcW w:w="1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91.1</w:t>
            </w:r>
          </w:p>
        </w:tc>
        <w:tc>
          <w:tcPr>
            <w:tcW w:w="28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2.22</w:t>
            </w:r>
          </w:p>
        </w:tc>
      </w:tr>
      <w:tr>
        <w:trPr>
          <w:trHeight w:val="149"/>
        </w:trPr>
        <w:tc>
          <w:tcPr>
            <w:tcW w:w="262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Net Interest Income</w:t>
            </w:r>
          </w:p>
        </w:tc>
        <w:tc>
          <w:tcPr>
            <w:tcW w:w="10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157.4</w:t>
            </w:r>
          </w:p>
        </w:tc>
        <w:tc>
          <w:tcPr>
            <w:tcW w:w="2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155.0</w:t>
            </w:r>
          </w:p>
        </w:tc>
        <w:tc>
          <w:tcPr>
            <w:tcW w:w="2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138.3</w:t>
            </w:r>
          </w:p>
        </w:tc>
        <w:tc>
          <w:tcPr>
            <w:tcW w:w="28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r>
      <w:tr>
        <w:trPr>
          <w:trHeight w:val="10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Interest Rate Spread</w:t>
            </w:r>
          </w:p>
        </w:tc>
        <w:tc>
          <w:tcPr>
            <w:tcW w:w="10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6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2.30 %</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8"/>
                <w:szCs w:val="8"/>
                <w:color w:val="auto"/>
              </w:rPr>
              <w:t>2.25 %</w:t>
            </w:r>
          </w:p>
        </w:tc>
        <w:tc>
          <w:tcPr>
            <w:tcW w:w="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78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28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1.86 %</w:t>
            </w:r>
          </w:p>
        </w:tc>
      </w:tr>
      <w:tr>
        <w:trPr>
          <w:trHeight w:val="123"/>
        </w:trPr>
        <w:tc>
          <w:tcPr>
            <w:tcW w:w="262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Interest Margin</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2.82 %</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480"/>
              <w:spacing w:after="0"/>
              <w:rPr>
                <w:sz w:val="20"/>
                <w:szCs w:val="20"/>
                <w:color w:val="auto"/>
              </w:rPr>
            </w:pPr>
            <w:r>
              <w:rPr>
                <w:rFonts w:ascii="Times New Roman" w:cs="Times New Roman" w:eastAsia="Times New Roman" w:hAnsi="Times New Roman"/>
                <w:sz w:val="8"/>
                <w:szCs w:val="8"/>
                <w:color w:val="auto"/>
              </w:rPr>
              <w:t>2.78 %</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8"/>
                <w:szCs w:val="8"/>
                <w:color w:val="auto"/>
              </w:rPr>
              <w:t>2.46 %</w:t>
            </w: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Noninterest-Bearing Demand Deposits</w:t>
            </w:r>
          </w:p>
        </w:tc>
        <w:tc>
          <w:tcPr>
            <w:tcW w:w="10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5,471.3</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5,587.6</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5,398.7</w:t>
            </w:r>
          </w:p>
        </w:tc>
        <w:tc>
          <w:tcPr>
            <w:tcW w:w="12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700" w:type="dxa"/>
            <w:vAlign w:val="bottom"/>
            <w:tcBorders>
              <w:bottom w:val="single" w:sz="8" w:color="CCEEFF"/>
            </w:tcBorders>
            <w:shd w:val="clear" w:color="auto" w:fill="CCEEFF"/>
          </w:tcPr>
          <w:p>
            <w:pPr>
              <w:spacing w:after="0"/>
              <w:rPr>
                <w:sz w:val="10"/>
                <w:szCs w:val="10"/>
                <w:color w:val="auto"/>
              </w:rPr>
            </w:pPr>
          </w:p>
        </w:tc>
      </w:tr>
      <w:tr>
        <w:trPr>
          <w:trHeight w:val="123"/>
        </w:trPr>
        <w:tc>
          <w:tcPr>
            <w:tcW w:w="2620" w:type="dxa"/>
            <w:vAlign w:val="bottom"/>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10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562.1</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529.1</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569.8</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21"/>
        </w:trPr>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44"/>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Shareholders' Equity</w:t>
            </w:r>
          </w:p>
        </w:tc>
        <w:tc>
          <w:tcPr>
            <w:tcW w:w="10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1,866.3</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1,862.5</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1,748.6</w:t>
            </w:r>
          </w:p>
        </w:tc>
        <w:tc>
          <w:tcPr>
            <w:tcW w:w="12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spacing w:after="0"/>
              <w:rPr>
                <w:sz w:val="12"/>
                <w:szCs w:val="12"/>
                <w:color w:val="auto"/>
              </w:rPr>
            </w:pPr>
          </w:p>
        </w:tc>
      </w:tr>
      <w:tr>
        <w:trPr>
          <w:trHeight w:val="132"/>
        </w:trPr>
        <w:tc>
          <w:tcPr>
            <w:tcW w:w="262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Liabilities and Shareholders' Equity</w:t>
            </w: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23,768.6</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23,861.8</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23,995.0</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0"/>
        </w:trPr>
        <w:tc>
          <w:tcPr>
            <w:tcW w:w="2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bl>
    <w:p>
      <w:pPr>
        <w:spacing w:after="0" w:line="86" w:lineRule="exact"/>
        <w:rPr>
          <w:sz w:val="20"/>
          <w:szCs w:val="20"/>
          <w:color w:val="auto"/>
        </w:rPr>
      </w:pPr>
    </w:p>
    <w:p>
      <w:pPr>
        <w:ind w:left="48" w:hanging="48"/>
        <w:spacing w:after="0"/>
        <w:tabs>
          <w:tab w:leader="none" w:pos="48" w:val="left"/>
        </w:tabs>
        <w:numPr>
          <w:ilvl w:val="0"/>
          <w:numId w:val="6"/>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Due to rounding, the amounts presented in this table may not tie to other amounts presented elsewhere in this report.</w:t>
      </w:r>
    </w:p>
    <w:p>
      <w:pPr>
        <w:ind w:left="48" w:hanging="48"/>
        <w:spacing w:after="0" w:line="188" w:lineRule="auto"/>
        <w:tabs>
          <w:tab w:leader="none" w:pos="48" w:val="left"/>
        </w:tabs>
        <w:numPr>
          <w:ilvl w:val="0"/>
          <w:numId w:val="7"/>
        </w:numPr>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8"/>
          <w:szCs w:val="8"/>
          <w:color w:val="auto"/>
        </w:rPr>
        <w:t>Interest income includes taxable-equivalent basis adjustments, based upon a federal statutory tax rate of 21%, of $1.3 million, $1.4 million, and $1.7 million for the three months ended September 30, 2026, June 30, 2026, and September 30, 2025, respectively.</w:t>
      </w:r>
    </w:p>
    <w:p>
      <w:pPr>
        <w:ind w:left="8"/>
        <w:spacing w:after="0"/>
        <w:rPr>
          <w:rFonts w:ascii="Times New Roman" w:cs="Times New Roman" w:eastAsia="Times New Roman" w:hAnsi="Times New Roman"/>
          <w:sz w:val="11"/>
          <w:szCs w:val="11"/>
          <w:color w:val="auto"/>
          <w:vertAlign w:val="superscript"/>
        </w:rPr>
      </w:pPr>
      <w:r>
        <w:rPr>
          <w:rFonts w:ascii="Times New Roman" w:cs="Times New Roman" w:eastAsia="Times New Roman" w:hAnsi="Times New Roman"/>
          <w:sz w:val="10"/>
          <w:szCs w:val="10"/>
          <w:color w:val="auto"/>
          <w:vertAlign w:val="superscript"/>
        </w:rPr>
        <w:t>3</w:t>
      </w:r>
      <w:r>
        <w:rPr>
          <w:rFonts w:ascii="Times New Roman" w:cs="Times New Roman" w:eastAsia="Times New Roman" w:hAnsi="Times New Roman"/>
          <w:sz w:val="8"/>
          <w:szCs w:val="8"/>
          <w:color w:val="auto"/>
        </w:rPr>
        <w:t xml:space="preserve"> Non-performing loans and leases are included in the respective average loan and lease balances.</w:t>
      </w:r>
    </w:p>
    <w:p>
      <w:pPr>
        <w:spacing w:after="0" w:line="38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308"/>
          </w:cols>
          <w:pgMar w:left="292" w:top="1093" w:right="29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48"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 xml:space="preserve">Average Balances and Interest Rates - Taxable-Equivalent Basis </w:t>
            </w:r>
            <w:r>
              <w:rPr>
                <w:rFonts w:ascii="Times New Roman" w:cs="Times New Roman" w:eastAsia="Times New Roman" w:hAnsi="Times New Roman"/>
                <w:sz w:val="18"/>
                <w:szCs w:val="18"/>
                <w:b w:val="1"/>
                <w:bCs w:val="1"/>
                <w:color w:val="auto"/>
                <w:vertAlign w:val="superscript"/>
              </w:rPr>
              <w:t>1</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Table 4b</w:t>
            </w:r>
          </w:p>
        </w:tc>
      </w:tr>
      <w:tr>
        <w:trPr>
          <w:trHeight w:val="112"/>
        </w:trPr>
        <w:tc>
          <w:tcPr>
            <w:tcW w:w="4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gridSpan w:val="4"/>
          </w:tcPr>
          <w:p>
            <w:pPr>
              <w:ind w:left="780"/>
              <w:spacing w:after="0"/>
              <w:rPr>
                <w:sz w:val="20"/>
                <w:szCs w:val="20"/>
                <w:color w:val="auto"/>
              </w:rPr>
            </w:pPr>
            <w:r>
              <w:rPr>
                <w:rFonts w:ascii="Times New Roman" w:cs="Times New Roman" w:eastAsia="Times New Roman" w:hAnsi="Times New Roman"/>
                <w:sz w:val="8"/>
                <w:szCs w:val="8"/>
                <w:b w:val="1"/>
                <w:bCs w:val="1"/>
                <w:color w:val="auto"/>
              </w:rPr>
              <w:t>Nine Months Ended September 30, 2026</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20" w:type="dxa"/>
            <w:vAlign w:val="bottom"/>
            <w:gridSpan w:val="4"/>
          </w:tcPr>
          <w:p>
            <w:pPr>
              <w:ind w:left="780"/>
              <w:spacing w:after="0"/>
              <w:rPr>
                <w:sz w:val="20"/>
                <w:szCs w:val="20"/>
                <w:color w:val="auto"/>
              </w:rPr>
            </w:pPr>
            <w:r>
              <w:rPr>
                <w:rFonts w:ascii="Times New Roman" w:cs="Times New Roman" w:eastAsia="Times New Roman" w:hAnsi="Times New Roman"/>
                <w:sz w:val="8"/>
                <w:szCs w:val="8"/>
                <w:b w:val="1"/>
                <w:bCs w:val="1"/>
                <w:color w:val="auto"/>
              </w:rPr>
              <w:t>Nine Months Ended September 30, 2025</w:t>
            </w: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33"/>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rPr>
              <w:t>(dollars in millions)</w:t>
            </w:r>
          </w:p>
        </w:tc>
        <w:tc>
          <w:tcPr>
            <w:tcW w:w="1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rPr>
              <w:t>Yield/Rate</w:t>
            </w: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Average Balance</w:t>
            </w: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8"/>
                <w:szCs w:val="8"/>
                <w:b w:val="1"/>
                <w:bCs w:val="1"/>
                <w:color w:val="auto"/>
              </w:rPr>
              <w:t xml:space="preserve">Income/Expense </w:t>
            </w:r>
            <w:r>
              <w:rPr>
                <w:rFonts w:ascii="Times New Roman" w:cs="Times New Roman" w:eastAsia="Times New Roman" w:hAnsi="Times New Roman"/>
                <w:sz w:val="10"/>
                <w:szCs w:val="10"/>
                <w:b w:val="1"/>
                <w:bCs w:val="1"/>
                <w:color w:val="auto"/>
                <w:vertAlign w:val="superscript"/>
              </w:rPr>
              <w:t>2</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rPr>
              <w:t>Yield/Rate</w:t>
            </w:r>
          </w:p>
        </w:tc>
        <w:tc>
          <w:tcPr>
            <w:tcW w:w="100" w:type="dxa"/>
            <w:vAlign w:val="bottom"/>
            <w:tcBorders>
              <w:bottom w:val="single" w:sz="8" w:color="auto"/>
            </w:tcBorders>
          </w:tcPr>
          <w:p>
            <w:pPr>
              <w:spacing w:after="0"/>
              <w:rPr>
                <w:sz w:val="11"/>
                <w:szCs w:val="11"/>
                <w:color w:val="auto"/>
              </w:rPr>
            </w:pPr>
          </w:p>
        </w:tc>
      </w:tr>
      <w:tr>
        <w:trPr>
          <w:trHeight w:val="113"/>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Earning Assets</w:t>
            </w:r>
          </w:p>
        </w:tc>
        <w:tc>
          <w:tcPr>
            <w:tcW w:w="14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r>
      <w:tr>
        <w:trPr>
          <w:trHeight w:val="123"/>
        </w:trPr>
        <w:tc>
          <w:tcPr>
            <w:tcW w:w="4640" w:type="dxa"/>
            <w:vAlign w:val="bottom"/>
          </w:tcPr>
          <w:p>
            <w:pPr>
              <w:spacing w:after="0"/>
              <w:rPr>
                <w:sz w:val="20"/>
                <w:szCs w:val="20"/>
                <w:color w:val="auto"/>
              </w:rPr>
            </w:pPr>
            <w:r>
              <w:rPr>
                <w:rFonts w:ascii="Times New Roman" w:cs="Times New Roman" w:eastAsia="Times New Roman" w:hAnsi="Times New Roman"/>
                <w:sz w:val="8"/>
                <w:szCs w:val="8"/>
                <w:color w:val="auto"/>
              </w:rPr>
              <w:t>Cash and Cash Equivalents</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251.4</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6.7</w:t>
            </w:r>
          </w:p>
        </w:tc>
        <w:tc>
          <w:tcPr>
            <w:tcW w:w="300" w:type="dxa"/>
            <w:vAlign w:val="bottom"/>
          </w:tcPr>
          <w:p>
            <w:pPr>
              <w:spacing w:after="0"/>
              <w:rPr>
                <w:sz w:val="10"/>
                <w:szCs w:val="1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3.53 %</w:t>
            </w:r>
          </w:p>
        </w:tc>
        <w:tc>
          <w:tcPr>
            <w:tcW w:w="80" w:type="dxa"/>
            <w:vAlign w:val="bottom"/>
          </w:tcPr>
          <w:p>
            <w:pPr>
              <w:spacing w:after="0"/>
              <w:rPr>
                <w:sz w:val="10"/>
                <w:szCs w:val="10"/>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533.5</w:t>
            </w:r>
          </w:p>
        </w:tc>
        <w:tc>
          <w:tcPr>
            <w:tcW w:w="140" w:type="dxa"/>
            <w:vAlign w:val="bottom"/>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17.5</w:t>
            </w:r>
          </w:p>
        </w:tc>
        <w:tc>
          <w:tcPr>
            <w:tcW w:w="300" w:type="dxa"/>
            <w:vAlign w:val="bottom"/>
          </w:tcPr>
          <w:p>
            <w:pPr>
              <w:spacing w:after="0"/>
              <w:rPr>
                <w:sz w:val="10"/>
                <w:szCs w:val="1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4.32 %</w:t>
            </w: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Investment Securities</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spacing w:after="0"/>
              <w:rPr>
                <w:sz w:val="20"/>
                <w:szCs w:val="20"/>
                <w:color w:val="auto"/>
              </w:rPr>
            </w:pPr>
            <w:r>
              <w:rPr>
                <w:rFonts w:ascii="Times New Roman" w:cs="Times New Roman" w:eastAsia="Times New Roman" w:hAnsi="Times New Roman"/>
                <w:sz w:val="8"/>
                <w:szCs w:val="8"/>
                <w:color w:val="auto"/>
              </w:rPr>
              <w:t>Available-for-Sale</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Taxable</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3,623.2</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106.3</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3.91</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2,979.8</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80.2</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3.59</w:t>
            </w: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Non-Taxable</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31.8</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5.10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27.0</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5.85</w:t>
            </w: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Held-to-Maturity</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Taxable</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4,086.7</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53.7</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1.75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4,457.6</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59.0</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1.77</w:t>
            </w: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46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Non-Taxable</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33.3</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2.04</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34.0</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0.5</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2.10</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12"/>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Investment Securities</w:t>
            </w: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7,775.0</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161.7</w:t>
            </w: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w w:val="99"/>
              </w:rPr>
              <w:t>2.77</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7,498.4</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140.9</w:t>
            </w: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w w:val="99"/>
              </w:rPr>
              <w:t>2.51</w:t>
            </w:r>
          </w:p>
        </w:tc>
        <w:tc>
          <w:tcPr>
            <w:tcW w:w="100" w:type="dxa"/>
            <w:vAlign w:val="bottom"/>
            <w:tcBorders>
              <w:top w:val="single" w:sz="8" w:color="auto"/>
            </w:tcBorders>
          </w:tcPr>
          <w:p>
            <w:pPr>
              <w:spacing w:after="0"/>
              <w:rPr>
                <w:sz w:val="9"/>
                <w:szCs w:val="9"/>
                <w:color w:val="auto"/>
              </w:rPr>
            </w:pP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13"/>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Loans Held for Sale</w:t>
            </w:r>
          </w:p>
        </w:tc>
        <w:tc>
          <w:tcPr>
            <w:tcW w:w="14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w:t>
            </w: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w:t>
            </w: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5.71</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w:t>
            </w: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5.89</w:t>
            </w:r>
          </w:p>
        </w:tc>
        <w:tc>
          <w:tcPr>
            <w:tcW w:w="100" w:type="dxa"/>
            <w:vAlign w:val="bottom"/>
            <w:tcBorders>
              <w:bottom w:val="single" w:sz="8" w:color="CCEEFF"/>
            </w:tcBorders>
            <w:shd w:val="clear" w:color="auto" w:fill="CCEEFF"/>
          </w:tcPr>
          <w:p>
            <w:pPr>
              <w:spacing w:after="0"/>
              <w:rPr>
                <w:sz w:val="9"/>
                <w:szCs w:val="9"/>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8"/>
                <w:szCs w:val="8"/>
                <w:color w:val="auto"/>
              </w:rPr>
              <w:t xml:space="preserve">Loans and Leases </w:t>
            </w:r>
            <w:r>
              <w:rPr>
                <w:rFonts w:ascii="Times New Roman" w:cs="Times New Roman" w:eastAsia="Times New Roman" w:hAnsi="Times New Roman"/>
                <w:sz w:val="10"/>
                <w:szCs w:val="10"/>
                <w:color w:val="auto"/>
                <w:vertAlign w:val="superscript"/>
              </w:rPr>
              <w:t>3</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Commercial Mortgage</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4,310.4</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166.7</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5.17</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4,018.9</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160.5</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5.34</w:t>
            </w: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Commercial and Industrial</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1,621.7</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58.8</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4.85</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1,657.1</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62.9</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5.07</w:t>
            </w: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Construction</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190.1</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6.31</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366.6</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20.0</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7.28</w:t>
            </w: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Commercial Lease Financing</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85.0</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4.34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92.5</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4.00</w:t>
            </w: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Residential Mortgage</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4,816.7</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146.9</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4.07</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4,627.2</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137.1</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3.95</w:t>
            </w: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Home Equity</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2,089.6</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72.2</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4.62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2,141.8</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69.7</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4.35</w:t>
            </w: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Automobile</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677.6</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28.7</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5.66</w:t>
            </w: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729.7</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28.3</w:t>
            </w: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5.18</w:t>
            </w: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Other</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412.4</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23.9</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7.76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397.0</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22.3</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7.52</w:t>
            </w:r>
          </w:p>
        </w:tc>
        <w:tc>
          <w:tcPr>
            <w:tcW w:w="100" w:type="dxa"/>
            <w:vAlign w:val="bottom"/>
          </w:tcPr>
          <w:p>
            <w:pPr>
              <w:spacing w:after="0"/>
              <w:rPr>
                <w:sz w:val="10"/>
                <w:szCs w:val="10"/>
                <w:color w:val="auto"/>
              </w:rPr>
            </w:pP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38"/>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Total Loans and Leases</w:t>
            </w:r>
          </w:p>
        </w:tc>
        <w:tc>
          <w:tcPr>
            <w:tcW w:w="1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14,203.5</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509.0</w:t>
            </w:r>
          </w:p>
        </w:tc>
        <w:tc>
          <w:tcPr>
            <w:tcW w:w="3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4.79</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14,030.8</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503.6</w:t>
            </w:r>
          </w:p>
        </w:tc>
        <w:tc>
          <w:tcPr>
            <w:tcW w:w="3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4.80</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12"/>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Other</w:t>
            </w: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82.9</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4.1</w:t>
            </w: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w w:val="99"/>
              </w:rPr>
              <w:t>6.50</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65.2</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w w:val="99"/>
              </w:rPr>
              <w:t>6.64</w:t>
            </w:r>
          </w:p>
        </w:tc>
        <w:tc>
          <w:tcPr>
            <w:tcW w:w="100" w:type="dxa"/>
            <w:vAlign w:val="bottom"/>
            <w:tcBorders>
              <w:top w:val="single" w:sz="8" w:color="auto"/>
            </w:tcBorders>
          </w:tcPr>
          <w:p>
            <w:pPr>
              <w:spacing w:after="0"/>
              <w:rPr>
                <w:sz w:val="9"/>
                <w:szCs w:val="9"/>
                <w:color w:val="auto"/>
              </w:rPr>
            </w:pP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38"/>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Earning Assets</w:t>
            </w:r>
          </w:p>
        </w:tc>
        <w:tc>
          <w:tcPr>
            <w:tcW w:w="1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22,315.9</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681.6</w:t>
            </w:r>
          </w:p>
        </w:tc>
        <w:tc>
          <w:tcPr>
            <w:tcW w:w="3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4.08</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22,129.9</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665.3</w:t>
            </w:r>
          </w:p>
        </w:tc>
        <w:tc>
          <w:tcPr>
            <w:tcW w:w="3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4.01</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12"/>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Non-Earning Assets</w:t>
            </w: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1,532.1</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1,614.8</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r>
      <w:tr>
        <w:trPr>
          <w:trHeight w:val="21"/>
        </w:trPr>
        <w:tc>
          <w:tcPr>
            <w:tcW w:w="46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49"/>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Assets</w:t>
            </w:r>
          </w:p>
        </w:tc>
        <w:tc>
          <w:tcPr>
            <w:tcW w:w="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23,848.0</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23,744.7</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r>
      <w:tr>
        <w:trPr>
          <w:trHeight w:val="126"/>
        </w:trPr>
        <w:tc>
          <w:tcPr>
            <w:tcW w:w="4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Interest-Bearing Liabilities</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spacing w:after="0"/>
              <w:rPr>
                <w:sz w:val="20"/>
                <w:szCs w:val="20"/>
                <w:color w:val="auto"/>
              </w:rPr>
            </w:pPr>
            <w:r>
              <w:rPr>
                <w:rFonts w:ascii="Times New Roman" w:cs="Times New Roman" w:eastAsia="Times New Roman" w:hAnsi="Times New Roman"/>
                <w:sz w:val="8"/>
                <w:szCs w:val="8"/>
                <w:color w:val="auto"/>
              </w:rPr>
              <w:t>Interest-Bearing Deposits</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Demand</w:t>
            </w:r>
          </w:p>
        </w:tc>
        <w:tc>
          <w:tcPr>
            <w:tcW w:w="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3,819.1</w:t>
            </w:r>
          </w:p>
        </w:tc>
        <w:tc>
          <w:tcPr>
            <w:tcW w:w="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21.1</w:t>
            </w:r>
          </w:p>
        </w:tc>
        <w:tc>
          <w:tcPr>
            <w:tcW w:w="3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0.74 %</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3,753.3</w:t>
            </w:r>
          </w:p>
        </w:tc>
        <w:tc>
          <w:tcPr>
            <w:tcW w:w="1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22.4</w:t>
            </w:r>
          </w:p>
        </w:tc>
        <w:tc>
          <w:tcPr>
            <w:tcW w:w="3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rPr>
              <w:t>0.80 %</w:t>
            </w:r>
          </w:p>
        </w:tc>
      </w:tr>
      <w:tr>
        <w:trPr>
          <w:trHeight w:val="123"/>
        </w:trPr>
        <w:tc>
          <w:tcPr>
            <w:tcW w:w="4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Savings</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8,739.5</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120.0</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1.84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8,652.4</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146.0</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2.25</w:t>
            </w: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9"/>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Time</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2,671.6</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55.5</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2.78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3,048.4</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80.4</w:t>
            </w: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3.53</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112"/>
        </w:trPr>
        <w:tc>
          <w:tcPr>
            <w:tcW w:w="4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8"/>
                <w:szCs w:val="8"/>
                <w:color w:val="auto"/>
              </w:rPr>
              <w:t>Total Interest-Bearing Deposits</w:t>
            </w: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15,230.2</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196.6</w:t>
            </w: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w w:val="99"/>
              </w:rPr>
              <w:t>1.73</w:t>
            </w: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15,454.1</w:t>
            </w: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248.8</w:t>
            </w:r>
          </w:p>
        </w:tc>
        <w:tc>
          <w:tcPr>
            <w:tcW w:w="3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8"/>
                <w:szCs w:val="8"/>
                <w:color w:val="auto"/>
                <w:w w:val="99"/>
              </w:rPr>
              <w:t>2.15</w:t>
            </w:r>
          </w:p>
        </w:tc>
        <w:tc>
          <w:tcPr>
            <w:tcW w:w="100" w:type="dxa"/>
            <w:vAlign w:val="bottom"/>
            <w:tcBorders>
              <w:top w:val="single" w:sz="8" w:color="auto"/>
            </w:tcBorders>
          </w:tcPr>
          <w:p>
            <w:pPr>
              <w:spacing w:after="0"/>
              <w:rPr>
                <w:sz w:val="9"/>
                <w:szCs w:val="9"/>
                <w:color w:val="auto"/>
              </w:rPr>
            </w:pP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13"/>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Securities Sold Under Agreements to Repurchase</w:t>
            </w:r>
          </w:p>
        </w:tc>
        <w:tc>
          <w:tcPr>
            <w:tcW w:w="14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50.0</w:t>
            </w: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w:t>
            </w: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3.89</w:t>
            </w:r>
          </w:p>
        </w:tc>
        <w:tc>
          <w:tcPr>
            <w:tcW w:w="1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58.8</w:t>
            </w: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3.88</w:t>
            </w:r>
          </w:p>
        </w:tc>
        <w:tc>
          <w:tcPr>
            <w:tcW w:w="100" w:type="dxa"/>
            <w:vAlign w:val="bottom"/>
            <w:tcBorders>
              <w:bottom w:val="single" w:sz="8" w:color="CCEEFF"/>
            </w:tcBorders>
            <w:shd w:val="clear" w:color="auto" w:fill="CCEEFF"/>
          </w:tcPr>
          <w:p>
            <w:pPr>
              <w:spacing w:after="0"/>
              <w:rPr>
                <w:sz w:val="9"/>
                <w:szCs w:val="9"/>
                <w:color w:val="auto"/>
              </w:rPr>
            </w:pPr>
          </w:p>
        </w:tc>
      </w:tr>
      <w:tr>
        <w:trPr>
          <w:trHeight w:val="123"/>
        </w:trPr>
        <w:tc>
          <w:tcPr>
            <w:tcW w:w="4640" w:type="dxa"/>
            <w:vAlign w:val="bottom"/>
          </w:tcPr>
          <w:p>
            <w:pPr>
              <w:spacing w:after="0"/>
              <w:rPr>
                <w:sz w:val="20"/>
                <w:szCs w:val="20"/>
                <w:color w:val="auto"/>
              </w:rPr>
            </w:pPr>
            <w:r>
              <w:rPr>
                <w:rFonts w:ascii="Times New Roman" w:cs="Times New Roman" w:eastAsia="Times New Roman" w:hAnsi="Times New Roman"/>
                <w:sz w:val="8"/>
                <w:szCs w:val="8"/>
                <w:color w:val="auto"/>
              </w:rPr>
              <w:t>Other Debt</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594.2</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18.8</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564.9</w:t>
            </w: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17.8</w:t>
            </w:r>
          </w:p>
        </w:tc>
        <w:tc>
          <w:tcPr>
            <w:tcW w:w="300" w:type="dxa"/>
            <w:vAlign w:val="bottom"/>
          </w:tcPr>
          <w:p>
            <w:pPr>
              <w:spacing w:after="0"/>
              <w:rPr>
                <w:sz w:val="10"/>
                <w:szCs w:val="10"/>
                <w:color w:val="auto"/>
              </w:rPr>
            </w:pPr>
          </w:p>
        </w:tc>
        <w:tc>
          <w:tcPr>
            <w:tcW w:w="740" w:type="dxa"/>
            <w:vAlign w:val="bottom"/>
          </w:tcPr>
          <w:p>
            <w:pPr>
              <w:ind w:left="580"/>
              <w:spacing w:after="0"/>
              <w:rPr>
                <w:sz w:val="20"/>
                <w:szCs w:val="20"/>
                <w:color w:val="auto"/>
              </w:rPr>
            </w:pPr>
            <w:r>
              <w:rPr>
                <w:rFonts w:ascii="Times New Roman" w:cs="Times New Roman" w:eastAsia="Times New Roman" w:hAnsi="Times New Roman"/>
                <w:sz w:val="8"/>
                <w:szCs w:val="8"/>
                <w:color w:val="auto"/>
                <w:w w:val="99"/>
              </w:rPr>
              <w:t>4.23</w:t>
            </w:r>
          </w:p>
        </w:tc>
        <w:tc>
          <w:tcPr>
            <w:tcW w:w="100" w:type="dxa"/>
            <w:vAlign w:val="bottom"/>
          </w:tcPr>
          <w:p>
            <w:pPr>
              <w:spacing w:after="0"/>
              <w:rPr>
                <w:sz w:val="10"/>
                <w:szCs w:val="10"/>
                <w:color w:val="auto"/>
              </w:rPr>
            </w:pPr>
          </w:p>
        </w:tc>
      </w:tr>
      <w:tr>
        <w:trPr>
          <w:trHeight w:val="21"/>
        </w:trPr>
        <w:tc>
          <w:tcPr>
            <w:tcW w:w="4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38"/>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Interest-Bearing Liabilities</w:t>
            </w:r>
          </w:p>
        </w:tc>
        <w:tc>
          <w:tcPr>
            <w:tcW w:w="14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15,874.4</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216.9</w:t>
            </w:r>
          </w:p>
        </w:tc>
        <w:tc>
          <w:tcPr>
            <w:tcW w:w="3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1.83</w:t>
            </w:r>
          </w:p>
        </w:tc>
        <w:tc>
          <w:tcPr>
            <w:tcW w:w="1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16,077.8</w:t>
            </w:r>
          </w:p>
        </w:tc>
        <w:tc>
          <w:tcPr>
            <w:tcW w:w="14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268.3</w:t>
            </w:r>
          </w:p>
        </w:tc>
        <w:tc>
          <w:tcPr>
            <w:tcW w:w="30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2.23</w:t>
            </w:r>
          </w:p>
        </w:tc>
        <w:tc>
          <w:tcPr>
            <w:tcW w:w="100" w:type="dxa"/>
            <w:vAlign w:val="bottom"/>
            <w:tcBorders>
              <w:bottom w:val="single" w:sz="8" w:color="CCEEFF"/>
            </w:tcBorders>
            <w:shd w:val="clear" w:color="auto" w:fill="CCEEFF"/>
          </w:tcPr>
          <w:p>
            <w:pPr>
              <w:spacing w:after="0"/>
              <w:rPr>
                <w:sz w:val="11"/>
                <w:szCs w:val="11"/>
                <w:color w:val="auto"/>
              </w:rPr>
            </w:pPr>
          </w:p>
        </w:tc>
      </w:tr>
      <w:tr>
        <w:trPr>
          <w:trHeight w:val="149"/>
        </w:trPr>
        <w:tc>
          <w:tcPr>
            <w:tcW w:w="4640" w:type="dxa"/>
            <w:vAlign w:val="bottom"/>
            <w:tcBorders>
              <w:top w:val="single" w:sz="8" w:color="auto"/>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Net Interest Income</w:t>
            </w:r>
          </w:p>
        </w:tc>
        <w:tc>
          <w:tcPr>
            <w:tcW w:w="14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464.7</w:t>
            </w:r>
          </w:p>
        </w:tc>
        <w:tc>
          <w:tcPr>
            <w:tcW w:w="3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397.0</w:t>
            </w:r>
          </w:p>
        </w:tc>
        <w:tc>
          <w:tcPr>
            <w:tcW w:w="30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r>
      <w:tr>
        <w:trPr>
          <w:trHeight w:val="106"/>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Interest Rate Spread</w:t>
            </w:r>
          </w:p>
        </w:tc>
        <w:tc>
          <w:tcPr>
            <w:tcW w:w="140" w:type="dxa"/>
            <w:vAlign w:val="bottom"/>
            <w:tcBorders>
              <w:bottom w:val="single" w:sz="8" w:color="CCEEFF"/>
            </w:tcBorders>
            <w:shd w:val="clear" w:color="auto" w:fill="CCEEFF"/>
          </w:tcPr>
          <w:p>
            <w:pPr>
              <w:spacing w:after="0"/>
              <w:rPr>
                <w:sz w:val="9"/>
                <w:szCs w:val="9"/>
                <w:color w:val="auto"/>
              </w:rPr>
            </w:pPr>
          </w:p>
        </w:tc>
        <w:tc>
          <w:tcPr>
            <w:tcW w:w="9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2.25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89"/>
              </w:rPr>
              <w:t>%</w:t>
            </w:r>
          </w:p>
        </w:tc>
        <w:tc>
          <w:tcPr>
            <w:tcW w:w="8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94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74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8"/>
                <w:szCs w:val="8"/>
                <w:color w:val="auto"/>
                <w:w w:val="99"/>
              </w:rPr>
              <w:t>1.78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89"/>
              </w:rPr>
              <w:t>%</w:t>
            </w:r>
          </w:p>
        </w:tc>
      </w:tr>
      <w:tr>
        <w:trPr>
          <w:trHeight w:val="123"/>
        </w:trPr>
        <w:tc>
          <w:tcPr>
            <w:tcW w:w="4640" w:type="dxa"/>
            <w:vAlign w:val="bottom"/>
          </w:tcPr>
          <w:p>
            <w:pPr>
              <w:ind w:left="20"/>
              <w:spacing w:after="0"/>
              <w:rPr>
                <w:sz w:val="20"/>
                <w:szCs w:val="20"/>
                <w:color w:val="auto"/>
              </w:rPr>
            </w:pPr>
            <w:r>
              <w:rPr>
                <w:rFonts w:ascii="Times New Roman" w:cs="Times New Roman" w:eastAsia="Times New Roman" w:hAnsi="Times New Roman"/>
                <w:sz w:val="8"/>
                <w:szCs w:val="8"/>
                <w:color w:val="auto"/>
              </w:rPr>
              <w:t>Net Interest Margin</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2.78 %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ind w:left="580"/>
              <w:spacing w:after="0"/>
              <w:rPr>
                <w:sz w:val="20"/>
                <w:szCs w:val="20"/>
                <w:color w:val="auto"/>
              </w:rPr>
            </w:pPr>
            <w:r>
              <w:rPr>
                <w:rFonts w:ascii="Times New Roman" w:cs="Times New Roman" w:eastAsia="Times New Roman" w:hAnsi="Times New Roman"/>
                <w:sz w:val="8"/>
                <w:szCs w:val="8"/>
                <w:color w:val="auto"/>
              </w:rPr>
              <w:t>2.39 %</w:t>
            </w: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Noninterest-Bearing Demand Deposits</w:t>
            </w:r>
          </w:p>
        </w:tc>
        <w:tc>
          <w:tcPr>
            <w:tcW w:w="14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5,570.5</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5,359.9</w:t>
            </w:r>
          </w:p>
        </w:tc>
        <w:tc>
          <w:tcPr>
            <w:tcW w:w="1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30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r>
      <w:tr>
        <w:trPr>
          <w:trHeight w:val="123"/>
        </w:trPr>
        <w:tc>
          <w:tcPr>
            <w:tcW w:w="4640" w:type="dxa"/>
            <w:vAlign w:val="bottom"/>
          </w:tcPr>
          <w:p>
            <w:pPr>
              <w:spacing w:after="0"/>
              <w:rPr>
                <w:sz w:val="20"/>
                <w:szCs w:val="20"/>
                <w:color w:val="auto"/>
              </w:rPr>
            </w:pPr>
            <w:r>
              <w:rPr>
                <w:rFonts w:ascii="Times New Roman" w:cs="Times New Roman" w:eastAsia="Times New Roman" w:hAnsi="Times New Roman"/>
                <w:sz w:val="8"/>
                <w:szCs w:val="8"/>
                <w:color w:val="auto"/>
              </w:rPr>
              <w:t>Other Liabilities</w:t>
            </w:r>
          </w:p>
        </w:tc>
        <w:tc>
          <w:tcPr>
            <w:tcW w:w="14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537.8</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597.2</w:t>
            </w: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1"/>
        </w:trPr>
        <w:tc>
          <w:tcPr>
            <w:tcW w:w="4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4"/>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Shareholders’ Equity</w:t>
            </w:r>
          </w:p>
        </w:tc>
        <w:tc>
          <w:tcPr>
            <w:tcW w:w="1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1,865.3</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1,709.8</w:t>
            </w:r>
          </w:p>
        </w:tc>
        <w:tc>
          <w:tcPr>
            <w:tcW w:w="14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r>
      <w:tr>
        <w:trPr>
          <w:trHeight w:val="131"/>
        </w:trPr>
        <w:tc>
          <w:tcPr>
            <w:tcW w:w="464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Total Liabilities and Shareholders’ Equity</w:t>
            </w: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23,848.0</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23,744.7</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3" w:lineRule="exact"/>
        <w:rPr>
          <w:sz w:val="20"/>
          <w:szCs w:val="20"/>
          <w:color w:val="auto"/>
        </w:rPr>
      </w:pPr>
    </w:p>
    <w:p>
      <w:pPr>
        <w:ind w:left="48" w:hanging="48"/>
        <w:spacing w:after="0"/>
        <w:tabs>
          <w:tab w:leader="none" w:pos="48" w:val="left"/>
        </w:tabs>
        <w:numPr>
          <w:ilvl w:val="0"/>
          <w:numId w:val="8"/>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Due to rounding, the amounts presented in this table may not tie to other amounts presented elsewhere in this report.</w:t>
      </w:r>
    </w:p>
    <w:p>
      <w:pPr>
        <w:spacing w:after="0" w:line="12" w:lineRule="exact"/>
        <w:rPr>
          <w:rFonts w:ascii="Times New Roman" w:cs="Times New Roman" w:eastAsia="Times New Roman" w:hAnsi="Times New Roman"/>
          <w:sz w:val="9"/>
          <w:szCs w:val="9"/>
          <w:color w:val="auto"/>
          <w:vertAlign w:val="superscript"/>
        </w:rPr>
      </w:pPr>
    </w:p>
    <w:p>
      <w:pPr>
        <w:ind w:left="48" w:hanging="48"/>
        <w:spacing w:after="0" w:line="229" w:lineRule="auto"/>
        <w:tabs>
          <w:tab w:leader="none" w:pos="48" w:val="left"/>
        </w:tabs>
        <w:numPr>
          <w:ilvl w:val="0"/>
          <w:numId w:val="8"/>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Interest income includes taxable-equivalent basis adjustments, based upon a federal statutory tax rate of 21%, of $4.1 million and $4.8 million for the nine months ended September 30, 2026 and September 30, 2025, respectively.</w:t>
      </w:r>
    </w:p>
    <w:p>
      <w:pPr>
        <w:ind w:left="48" w:hanging="48"/>
        <w:spacing w:after="0" w:line="229" w:lineRule="auto"/>
        <w:tabs>
          <w:tab w:leader="none" w:pos="48" w:val="left"/>
        </w:tabs>
        <w:numPr>
          <w:ilvl w:val="0"/>
          <w:numId w:val="8"/>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Non-performing loans and leases are included in the respective average loan and lease balances.</w:t>
      </w:r>
    </w:p>
    <w:p>
      <w:pPr>
        <w:spacing w:after="0" w:line="3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8"/>
          </w:cols>
          <w:pgMar w:left="292" w:top="1093"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Loan and Lease Portfolio Balances</w:t>
            </w: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5</w:t>
            </w:r>
          </w:p>
        </w:tc>
      </w:tr>
      <w:tr>
        <w:trPr>
          <w:trHeight w:val="113"/>
        </w:trPr>
        <w:tc>
          <w:tcPr>
            <w:tcW w:w="26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300" w:type="dxa"/>
            <w:vAlign w:val="bottom"/>
          </w:tcPr>
          <w:p>
            <w:pPr>
              <w:jc w:val="center"/>
              <w:ind w:right="247"/>
              <w:spacing w:after="0" w:line="113" w:lineRule="exact"/>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00" w:type="dxa"/>
            <w:vAlign w:val="bottom"/>
          </w:tcPr>
          <w:p>
            <w:pPr>
              <w:spacing w:after="0"/>
              <w:rPr>
                <w:sz w:val="9"/>
                <w:szCs w:val="9"/>
                <w:color w:val="auto"/>
              </w:rPr>
            </w:pPr>
          </w:p>
        </w:tc>
        <w:tc>
          <w:tcPr>
            <w:tcW w:w="1260" w:type="dxa"/>
            <w:vAlign w:val="bottom"/>
          </w:tcPr>
          <w:p>
            <w:pPr>
              <w:jc w:val="center"/>
              <w:ind w:right="307"/>
              <w:spacing w:after="0" w:line="113" w:lineRule="exact"/>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9"/>
                <w:szCs w:val="9"/>
                <w:color w:val="auto"/>
              </w:rPr>
            </w:pPr>
          </w:p>
        </w:tc>
        <w:tc>
          <w:tcPr>
            <w:tcW w:w="1260" w:type="dxa"/>
            <w:vAlign w:val="bottom"/>
          </w:tcPr>
          <w:p>
            <w:pPr>
              <w:jc w:val="center"/>
              <w:ind w:right="307"/>
              <w:spacing w:after="0" w:line="113" w:lineRule="exact"/>
              <w:rPr>
                <w:sz w:val="20"/>
                <w:szCs w:val="20"/>
                <w:color w:val="auto"/>
              </w:rPr>
            </w:pPr>
            <w:r>
              <w:rPr>
                <w:rFonts w:ascii="Times New Roman" w:cs="Times New Roman" w:eastAsia="Times New Roman" w:hAnsi="Times New Roman"/>
                <w:sz w:val="10"/>
                <w:szCs w:val="10"/>
                <w:b w:val="1"/>
                <w:bCs w:val="1"/>
                <w:color w:val="auto"/>
                <w:w w:val="95"/>
              </w:rPr>
              <w:t>March 31,</w:t>
            </w:r>
          </w:p>
        </w:tc>
        <w:tc>
          <w:tcPr>
            <w:tcW w:w="360" w:type="dxa"/>
            <w:vAlign w:val="bottom"/>
          </w:tcPr>
          <w:p>
            <w:pPr>
              <w:spacing w:after="0"/>
              <w:rPr>
                <w:sz w:val="9"/>
                <w:szCs w:val="9"/>
                <w:color w:val="auto"/>
              </w:rPr>
            </w:pPr>
          </w:p>
        </w:tc>
        <w:tc>
          <w:tcPr>
            <w:tcW w:w="1300" w:type="dxa"/>
            <w:vAlign w:val="bottom"/>
          </w:tcPr>
          <w:p>
            <w:pPr>
              <w:jc w:val="center"/>
              <w:ind w:right="247"/>
              <w:spacing w:after="0" w:line="113" w:lineRule="exact"/>
              <w:rPr>
                <w:sz w:val="20"/>
                <w:szCs w:val="20"/>
                <w:color w:val="auto"/>
              </w:rPr>
            </w:pPr>
            <w:r>
              <w:rPr>
                <w:rFonts w:ascii="Times New Roman" w:cs="Times New Roman" w:eastAsia="Times New Roman" w:hAnsi="Times New Roman"/>
                <w:sz w:val="10"/>
                <w:szCs w:val="10"/>
                <w:b w:val="1"/>
                <w:bCs w:val="1"/>
                <w:color w:val="auto"/>
                <w:w w:val="95"/>
              </w:rPr>
              <w:t>December 31,</w:t>
            </w:r>
          </w:p>
        </w:tc>
        <w:tc>
          <w:tcPr>
            <w:tcW w:w="340" w:type="dxa"/>
            <w:vAlign w:val="bottom"/>
          </w:tcPr>
          <w:p>
            <w:pPr>
              <w:spacing w:after="0"/>
              <w:rPr>
                <w:sz w:val="9"/>
                <w:szCs w:val="9"/>
                <w:color w:val="auto"/>
              </w:rPr>
            </w:pPr>
          </w:p>
        </w:tc>
        <w:tc>
          <w:tcPr>
            <w:tcW w:w="1300" w:type="dxa"/>
            <w:vAlign w:val="bottom"/>
          </w:tcPr>
          <w:p>
            <w:pPr>
              <w:jc w:val="center"/>
              <w:ind w:right="227"/>
              <w:spacing w:after="0" w:line="113" w:lineRule="exact"/>
              <w:rPr>
                <w:sz w:val="20"/>
                <w:szCs w:val="20"/>
                <w:color w:val="auto"/>
              </w:rPr>
            </w:pPr>
            <w:r>
              <w:rPr>
                <w:rFonts w:ascii="Times New Roman" w:cs="Times New Roman" w:eastAsia="Times New Roman" w:hAnsi="Times New Roman"/>
                <w:sz w:val="10"/>
                <w:szCs w:val="10"/>
                <w:b w:val="1"/>
                <w:bCs w:val="1"/>
                <w:color w:val="auto"/>
                <w:w w:val="94"/>
              </w:rPr>
              <w:t>September 30,</w:t>
            </w:r>
          </w:p>
        </w:tc>
      </w:tr>
      <w:tr>
        <w:trPr>
          <w:trHeight w:val="134"/>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760" w:type="dxa"/>
            <w:vAlign w:val="bottom"/>
          </w:tcPr>
          <w:p>
            <w:pPr>
              <w:spacing w:after="0"/>
              <w:rPr>
                <w:sz w:val="11"/>
                <w:szCs w:val="11"/>
                <w:color w:val="auto"/>
              </w:rPr>
            </w:pPr>
          </w:p>
        </w:tc>
        <w:tc>
          <w:tcPr>
            <w:tcW w:w="1300" w:type="dxa"/>
            <w:vAlign w:val="bottom"/>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400" w:type="dxa"/>
            <w:vAlign w:val="bottom"/>
          </w:tcPr>
          <w:p>
            <w:pPr>
              <w:spacing w:after="0"/>
              <w:rPr>
                <w:sz w:val="11"/>
                <w:szCs w:val="11"/>
                <w:color w:val="auto"/>
              </w:rPr>
            </w:pPr>
          </w:p>
        </w:tc>
        <w:tc>
          <w:tcPr>
            <w:tcW w:w="1260" w:type="dxa"/>
            <w:vAlign w:val="bottom"/>
          </w:tcPr>
          <w:p>
            <w:pPr>
              <w:jc w:val="center"/>
              <w:ind w:right="327"/>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80" w:type="dxa"/>
            <w:vAlign w:val="bottom"/>
          </w:tcPr>
          <w:p>
            <w:pPr>
              <w:spacing w:after="0"/>
              <w:rPr>
                <w:sz w:val="11"/>
                <w:szCs w:val="11"/>
                <w:color w:val="auto"/>
              </w:rPr>
            </w:pPr>
          </w:p>
        </w:tc>
        <w:tc>
          <w:tcPr>
            <w:tcW w:w="1260" w:type="dxa"/>
            <w:vAlign w:val="bottom"/>
          </w:tcPr>
          <w:p>
            <w:pPr>
              <w:jc w:val="center"/>
              <w:ind w:right="287"/>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60" w:type="dxa"/>
            <w:vAlign w:val="bottom"/>
          </w:tcPr>
          <w:p>
            <w:pPr>
              <w:spacing w:after="0"/>
              <w:rPr>
                <w:sz w:val="11"/>
                <w:szCs w:val="11"/>
                <w:color w:val="auto"/>
              </w:rPr>
            </w:pPr>
          </w:p>
        </w:tc>
        <w:tc>
          <w:tcPr>
            <w:tcW w:w="130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340" w:type="dxa"/>
            <w:vAlign w:val="bottom"/>
          </w:tcPr>
          <w:p>
            <w:pPr>
              <w:spacing w:after="0"/>
              <w:rPr>
                <w:sz w:val="11"/>
                <w:szCs w:val="11"/>
                <w:color w:val="auto"/>
              </w:rPr>
            </w:pPr>
          </w:p>
        </w:tc>
        <w:tc>
          <w:tcPr>
            <w:tcW w:w="130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26"/>
        </w:trPr>
        <w:tc>
          <w:tcPr>
            <w:tcW w:w="2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Commercial</w:t>
            </w:r>
          </w:p>
        </w:tc>
        <w:tc>
          <w:tcPr>
            <w:tcW w:w="7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64"/>
        </w:trPr>
        <w:tc>
          <w:tcPr>
            <w:tcW w:w="2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Commercial Mortgage</w:t>
            </w:r>
          </w:p>
        </w:tc>
        <w:tc>
          <w:tcPr>
            <w:tcW w:w="7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4,467,245</w:t>
            </w:r>
          </w:p>
        </w:tc>
        <w:tc>
          <w:tcPr>
            <w:tcW w:w="40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4,319,221</w:t>
            </w: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4,341,448</w:t>
            </w:r>
          </w:p>
        </w:tc>
        <w:tc>
          <w:tcPr>
            <w:tcW w:w="36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4,205,791</w:t>
            </w:r>
          </w:p>
        </w:tc>
        <w:tc>
          <w:tcPr>
            <w:tcW w:w="34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4,040,711</w:t>
            </w:r>
          </w:p>
        </w:tc>
      </w:tr>
      <w:tr>
        <w:trPr>
          <w:trHeight w:val="178"/>
        </w:trPr>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Commercial and Industrial</w:t>
            </w: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1,652,329</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1,676,535</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1,575,207</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1,584,245</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1,581,232</w:t>
            </w:r>
          </w:p>
        </w:tc>
      </w:tr>
      <w:tr>
        <w:trPr>
          <w:trHeight w:val="164"/>
        </w:trPr>
        <w:tc>
          <w:tcPr>
            <w:tcW w:w="2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Construction</w:t>
            </w:r>
          </w:p>
        </w:tc>
        <w:tc>
          <w:tcPr>
            <w:tcW w:w="7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117,919</w:t>
            </w:r>
          </w:p>
        </w:tc>
        <w:tc>
          <w:tcPr>
            <w:tcW w:w="400" w:type="dxa"/>
            <w:vAlign w:val="bottom"/>
          </w:tcPr>
          <w:p>
            <w:pPr>
              <w:spacing w:after="0"/>
              <w:rPr>
                <w:sz w:val="14"/>
                <w:szCs w:val="14"/>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164,504</w:t>
            </w:r>
          </w:p>
        </w:tc>
        <w:tc>
          <w:tcPr>
            <w:tcW w:w="3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204,993</w:t>
            </w:r>
          </w:p>
        </w:tc>
        <w:tc>
          <w:tcPr>
            <w:tcW w:w="3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208,584</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380,944</w:t>
            </w:r>
          </w:p>
        </w:tc>
      </w:tr>
      <w:tr>
        <w:trPr>
          <w:trHeight w:val="171"/>
        </w:trPr>
        <w:tc>
          <w:tcPr>
            <w:tcW w:w="2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Lease Financing</w:t>
            </w:r>
          </w:p>
        </w:tc>
        <w:tc>
          <w:tcPr>
            <w:tcW w:w="7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81,556</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85,338</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84,651</w:t>
            </w:r>
          </w:p>
        </w:tc>
        <w:tc>
          <w:tcPr>
            <w:tcW w:w="3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88,303</w:t>
            </w: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92,213</w:t>
            </w:r>
          </w:p>
        </w:tc>
      </w:tr>
      <w:tr>
        <w:trPr>
          <w:trHeight w:val="160"/>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Commercial</w:t>
            </w:r>
          </w:p>
        </w:tc>
        <w:tc>
          <w:tcPr>
            <w:tcW w:w="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6,319,049</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6,245,598</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6,206,299</w:t>
            </w: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6,086,923</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6,095,100</w:t>
            </w:r>
          </w:p>
        </w:tc>
      </w:tr>
      <w:tr>
        <w:trPr>
          <w:trHeight w:val="16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w:t>
            </w:r>
          </w:p>
        </w:tc>
        <w:tc>
          <w:tcPr>
            <w:tcW w:w="7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64"/>
        </w:trPr>
        <w:tc>
          <w:tcPr>
            <w:tcW w:w="2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Residential Mortgage</w:t>
            </w:r>
          </w:p>
        </w:tc>
        <w:tc>
          <w:tcPr>
            <w:tcW w:w="7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4,857,923</w:t>
            </w:r>
          </w:p>
        </w:tc>
        <w:tc>
          <w:tcPr>
            <w:tcW w:w="400" w:type="dxa"/>
            <w:vAlign w:val="bottom"/>
          </w:tcPr>
          <w:p>
            <w:pPr>
              <w:spacing w:after="0"/>
              <w:rPr>
                <w:sz w:val="14"/>
                <w:szCs w:val="14"/>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4,864,875</w:t>
            </w:r>
          </w:p>
        </w:tc>
        <w:tc>
          <w:tcPr>
            <w:tcW w:w="3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4,800,256</w:t>
            </w:r>
          </w:p>
        </w:tc>
        <w:tc>
          <w:tcPr>
            <w:tcW w:w="3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4,775,502</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4,685,214</w:t>
            </w:r>
          </w:p>
        </w:tc>
      </w:tr>
      <w:tr>
        <w:trPr>
          <w:trHeight w:val="178"/>
        </w:trPr>
        <w:tc>
          <w:tcPr>
            <w:tcW w:w="2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Home Equity</w:t>
            </w:r>
          </w:p>
        </w:tc>
        <w:tc>
          <w:tcPr>
            <w:tcW w:w="7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2,091,468</w:t>
            </w:r>
          </w:p>
        </w:tc>
        <w:tc>
          <w:tcPr>
            <w:tcW w:w="4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2,079,127</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2,095,521</w:t>
            </w:r>
          </w:p>
        </w:tc>
        <w:tc>
          <w:tcPr>
            <w:tcW w:w="36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2,114,809</w:t>
            </w:r>
          </w:p>
        </w:tc>
        <w:tc>
          <w:tcPr>
            <w:tcW w:w="3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2,129,599</w:t>
            </w:r>
          </w:p>
        </w:tc>
      </w:tr>
      <w:tr>
        <w:trPr>
          <w:trHeight w:val="164"/>
        </w:trPr>
        <w:tc>
          <w:tcPr>
            <w:tcW w:w="264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Automobile</w:t>
            </w:r>
          </w:p>
        </w:tc>
        <w:tc>
          <w:tcPr>
            <w:tcW w:w="7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671,597</w:t>
            </w:r>
          </w:p>
        </w:tc>
        <w:tc>
          <w:tcPr>
            <w:tcW w:w="400" w:type="dxa"/>
            <w:vAlign w:val="bottom"/>
          </w:tcPr>
          <w:p>
            <w:pPr>
              <w:spacing w:after="0"/>
              <w:rPr>
                <w:sz w:val="14"/>
                <w:szCs w:val="14"/>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674,899</w:t>
            </w:r>
          </w:p>
        </w:tc>
        <w:tc>
          <w:tcPr>
            <w:tcW w:w="3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680,570</w:t>
            </w:r>
          </w:p>
        </w:tc>
        <w:tc>
          <w:tcPr>
            <w:tcW w:w="3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690,376</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699,244</w:t>
            </w:r>
          </w:p>
        </w:tc>
      </w:tr>
      <w:tr>
        <w:trPr>
          <w:trHeight w:val="171"/>
        </w:trPr>
        <w:tc>
          <w:tcPr>
            <w:tcW w:w="2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Other</w:t>
            </w:r>
          </w:p>
        </w:tc>
        <w:tc>
          <w:tcPr>
            <w:tcW w:w="7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431,299</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422,126</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410,165</w:t>
            </w:r>
          </w:p>
        </w:tc>
        <w:tc>
          <w:tcPr>
            <w:tcW w:w="3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414,440</w:t>
            </w: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412,422</w:t>
            </w:r>
          </w:p>
        </w:tc>
      </w:tr>
      <w:tr>
        <w:trPr>
          <w:trHeight w:val="160"/>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Total Consumer</w:t>
            </w:r>
          </w:p>
        </w:tc>
        <w:tc>
          <w:tcPr>
            <w:tcW w:w="7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8,052,287</w:t>
            </w: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8,041,027</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7,986,512</w:t>
            </w:r>
          </w:p>
        </w:tc>
        <w:tc>
          <w:tcPr>
            <w:tcW w:w="3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7,995,127</w:t>
            </w: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7,926,479</w:t>
            </w:r>
          </w:p>
        </w:tc>
      </w:tr>
      <w:tr>
        <w:trPr>
          <w:trHeight w:val="183"/>
        </w:trPr>
        <w:tc>
          <w:tcPr>
            <w:tcW w:w="2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Total Loans and Leases</w:t>
            </w:r>
          </w:p>
        </w:tc>
        <w:tc>
          <w:tcPr>
            <w:tcW w:w="76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14,371,336</w:t>
            </w:r>
          </w:p>
        </w:tc>
        <w:tc>
          <w:tcPr>
            <w:tcW w:w="400" w:type="dxa"/>
            <w:vAlign w:val="bottom"/>
            <w:tcBorders>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14,286,625</w:t>
            </w:r>
          </w:p>
        </w:tc>
        <w:tc>
          <w:tcPr>
            <w:tcW w:w="380" w:type="dxa"/>
            <w:vAlign w:val="bottom"/>
            <w:tcBorders>
              <w:bottom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14,192,811</w:t>
            </w:r>
          </w:p>
        </w:tc>
        <w:tc>
          <w:tcPr>
            <w:tcW w:w="36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14,082,050</w:t>
            </w:r>
          </w:p>
        </w:tc>
        <w:tc>
          <w:tcPr>
            <w:tcW w:w="34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14,021,579</w:t>
            </w:r>
          </w:p>
        </w:tc>
      </w:tr>
      <w:tr>
        <w:trPr>
          <w:trHeight w:val="607"/>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Deposits</w:t>
            </w:r>
          </w:p>
        </w:tc>
        <w:tc>
          <w:tcPr>
            <w:tcW w:w="7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22"/>
        </w:trPr>
        <w:tc>
          <w:tcPr>
            <w:tcW w:w="26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300" w:type="dxa"/>
            <w:vAlign w:val="bottom"/>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400" w:type="dxa"/>
            <w:vAlign w:val="bottom"/>
          </w:tcPr>
          <w:p>
            <w:pPr>
              <w:spacing w:after="0"/>
              <w:rPr>
                <w:sz w:val="10"/>
                <w:szCs w:val="10"/>
                <w:color w:val="auto"/>
              </w:rPr>
            </w:pPr>
          </w:p>
        </w:tc>
        <w:tc>
          <w:tcPr>
            <w:tcW w:w="1260" w:type="dxa"/>
            <w:vAlign w:val="bottom"/>
          </w:tcPr>
          <w:p>
            <w:pPr>
              <w:jc w:val="center"/>
              <w:ind w:right="307"/>
              <w:spacing w:after="0"/>
              <w:rPr>
                <w:sz w:val="20"/>
                <w:szCs w:val="20"/>
                <w:color w:val="auto"/>
              </w:rPr>
            </w:pPr>
            <w:r>
              <w:rPr>
                <w:rFonts w:ascii="Times New Roman" w:cs="Times New Roman" w:eastAsia="Times New Roman" w:hAnsi="Times New Roman"/>
                <w:sz w:val="10"/>
                <w:szCs w:val="10"/>
                <w:b w:val="1"/>
                <w:bCs w:val="1"/>
                <w:color w:val="auto"/>
                <w:w w:val="95"/>
              </w:rPr>
              <w:t>June 30,</w:t>
            </w:r>
          </w:p>
        </w:tc>
        <w:tc>
          <w:tcPr>
            <w:tcW w:w="380" w:type="dxa"/>
            <w:vAlign w:val="bottom"/>
          </w:tcPr>
          <w:p>
            <w:pPr>
              <w:spacing w:after="0"/>
              <w:rPr>
                <w:sz w:val="10"/>
                <w:szCs w:val="10"/>
                <w:color w:val="auto"/>
              </w:rPr>
            </w:pPr>
          </w:p>
        </w:tc>
        <w:tc>
          <w:tcPr>
            <w:tcW w:w="1260" w:type="dxa"/>
            <w:vAlign w:val="bottom"/>
          </w:tcPr>
          <w:p>
            <w:pPr>
              <w:jc w:val="center"/>
              <w:ind w:right="307"/>
              <w:spacing w:after="0"/>
              <w:rPr>
                <w:sz w:val="20"/>
                <w:szCs w:val="20"/>
                <w:color w:val="auto"/>
              </w:rPr>
            </w:pPr>
            <w:r>
              <w:rPr>
                <w:rFonts w:ascii="Times New Roman" w:cs="Times New Roman" w:eastAsia="Times New Roman" w:hAnsi="Times New Roman"/>
                <w:sz w:val="10"/>
                <w:szCs w:val="10"/>
                <w:b w:val="1"/>
                <w:bCs w:val="1"/>
                <w:color w:val="auto"/>
                <w:w w:val="95"/>
              </w:rPr>
              <w:t>March 31,</w:t>
            </w:r>
          </w:p>
        </w:tc>
        <w:tc>
          <w:tcPr>
            <w:tcW w:w="360" w:type="dxa"/>
            <w:vAlign w:val="bottom"/>
          </w:tcPr>
          <w:p>
            <w:pPr>
              <w:spacing w:after="0"/>
              <w:rPr>
                <w:sz w:val="10"/>
                <w:szCs w:val="10"/>
                <w:color w:val="auto"/>
              </w:rPr>
            </w:pPr>
          </w:p>
        </w:tc>
        <w:tc>
          <w:tcPr>
            <w:tcW w:w="1300" w:type="dxa"/>
            <w:vAlign w:val="bottom"/>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340" w:type="dxa"/>
            <w:vAlign w:val="bottom"/>
          </w:tcPr>
          <w:p>
            <w:pPr>
              <w:spacing w:after="0"/>
              <w:rPr>
                <w:sz w:val="10"/>
                <w:szCs w:val="10"/>
                <w:color w:val="auto"/>
              </w:rPr>
            </w:pPr>
          </w:p>
        </w:tc>
        <w:tc>
          <w:tcPr>
            <w:tcW w:w="130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r>
      <w:tr>
        <w:trPr>
          <w:trHeight w:val="125"/>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(dollars in thousands)</w:t>
            </w:r>
          </w:p>
        </w:tc>
        <w:tc>
          <w:tcPr>
            <w:tcW w:w="760" w:type="dxa"/>
            <w:vAlign w:val="bottom"/>
          </w:tcPr>
          <w:p>
            <w:pPr>
              <w:spacing w:after="0"/>
              <w:rPr>
                <w:sz w:val="10"/>
                <w:szCs w:val="10"/>
                <w:color w:val="auto"/>
              </w:rPr>
            </w:pPr>
          </w:p>
        </w:tc>
        <w:tc>
          <w:tcPr>
            <w:tcW w:w="1300" w:type="dxa"/>
            <w:vAlign w:val="bottom"/>
          </w:tcPr>
          <w:p>
            <w:pPr>
              <w:jc w:val="center"/>
              <w:ind w:right="247"/>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400" w:type="dxa"/>
            <w:vAlign w:val="bottom"/>
          </w:tcPr>
          <w:p>
            <w:pPr>
              <w:spacing w:after="0"/>
              <w:rPr>
                <w:sz w:val="10"/>
                <w:szCs w:val="10"/>
                <w:color w:val="auto"/>
              </w:rPr>
            </w:pPr>
          </w:p>
        </w:tc>
        <w:tc>
          <w:tcPr>
            <w:tcW w:w="1260" w:type="dxa"/>
            <w:vAlign w:val="bottom"/>
          </w:tcPr>
          <w:p>
            <w:pPr>
              <w:jc w:val="center"/>
              <w:ind w:right="327"/>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80" w:type="dxa"/>
            <w:vAlign w:val="bottom"/>
          </w:tcPr>
          <w:p>
            <w:pPr>
              <w:spacing w:after="0"/>
              <w:rPr>
                <w:sz w:val="10"/>
                <w:szCs w:val="10"/>
                <w:color w:val="auto"/>
              </w:rPr>
            </w:pPr>
          </w:p>
        </w:tc>
        <w:tc>
          <w:tcPr>
            <w:tcW w:w="1260" w:type="dxa"/>
            <w:vAlign w:val="bottom"/>
          </w:tcPr>
          <w:p>
            <w:pPr>
              <w:jc w:val="center"/>
              <w:ind w:right="287"/>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360" w:type="dxa"/>
            <w:vAlign w:val="bottom"/>
          </w:tcPr>
          <w:p>
            <w:pPr>
              <w:spacing w:after="0"/>
              <w:rPr>
                <w:sz w:val="10"/>
                <w:szCs w:val="10"/>
                <w:color w:val="auto"/>
              </w:rPr>
            </w:pPr>
          </w:p>
        </w:tc>
        <w:tc>
          <w:tcPr>
            <w:tcW w:w="1300" w:type="dxa"/>
            <w:vAlign w:val="bottom"/>
          </w:tcPr>
          <w:p>
            <w:pPr>
              <w:jc w:val="center"/>
              <w:ind w:right="267"/>
              <w:spacing w:after="0"/>
              <w:rPr>
                <w:sz w:val="20"/>
                <w:szCs w:val="20"/>
                <w:color w:val="auto"/>
              </w:rPr>
            </w:pPr>
            <w:r>
              <w:rPr>
                <w:rFonts w:ascii="Times New Roman" w:cs="Times New Roman" w:eastAsia="Times New Roman" w:hAnsi="Times New Roman"/>
                <w:sz w:val="10"/>
                <w:szCs w:val="10"/>
                <w:b w:val="1"/>
                <w:bCs w:val="1"/>
                <w:color w:val="auto"/>
                <w:w w:val="89"/>
              </w:rPr>
              <w:t>2025</w:t>
            </w:r>
          </w:p>
        </w:tc>
        <w:tc>
          <w:tcPr>
            <w:tcW w:w="340" w:type="dxa"/>
            <w:vAlign w:val="bottom"/>
          </w:tcPr>
          <w:p>
            <w:pPr>
              <w:spacing w:after="0"/>
              <w:rPr>
                <w:sz w:val="10"/>
                <w:szCs w:val="10"/>
                <w:color w:val="auto"/>
              </w:rPr>
            </w:pPr>
          </w:p>
        </w:tc>
        <w:tc>
          <w:tcPr>
            <w:tcW w:w="1300" w:type="dxa"/>
            <w:vAlign w:val="bottom"/>
          </w:tcPr>
          <w:p>
            <w:pPr>
              <w:jc w:val="center"/>
              <w:ind w:right="227"/>
              <w:spacing w:after="0"/>
              <w:rPr>
                <w:sz w:val="20"/>
                <w:szCs w:val="20"/>
                <w:color w:val="auto"/>
              </w:rPr>
            </w:pPr>
            <w:r>
              <w:rPr>
                <w:rFonts w:ascii="Times New Roman" w:cs="Times New Roman" w:eastAsia="Times New Roman" w:hAnsi="Times New Roman"/>
                <w:sz w:val="10"/>
                <w:szCs w:val="10"/>
                <w:b w:val="1"/>
                <w:bCs w:val="1"/>
                <w:color w:val="auto"/>
                <w:w w:val="89"/>
              </w:rPr>
              <w:t>2025</w:t>
            </w:r>
          </w:p>
        </w:tc>
      </w:tr>
      <w:tr>
        <w:trPr>
          <w:trHeight w:val="26"/>
        </w:trPr>
        <w:tc>
          <w:tcPr>
            <w:tcW w:w="2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Consumer</w:t>
            </w:r>
          </w:p>
        </w:tc>
        <w:tc>
          <w:tcPr>
            <w:tcW w:w="7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10,432,007</w:t>
            </w:r>
          </w:p>
        </w:tc>
        <w:tc>
          <w:tcPr>
            <w:tcW w:w="40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10,454,082</w:t>
            </w:r>
          </w:p>
        </w:tc>
        <w:tc>
          <w:tcPr>
            <w:tcW w:w="38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10,530,223</w:t>
            </w:r>
          </w:p>
        </w:tc>
        <w:tc>
          <w:tcPr>
            <w:tcW w:w="36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10,466,617</w:t>
            </w:r>
          </w:p>
        </w:tc>
        <w:tc>
          <w:tcPr>
            <w:tcW w:w="3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10,393,932</w:t>
            </w:r>
          </w:p>
        </w:tc>
      </w:tr>
      <w:tr>
        <w:trPr>
          <w:trHeight w:val="165"/>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Commercial</w:t>
            </w:r>
          </w:p>
        </w:tc>
        <w:tc>
          <w:tcPr>
            <w:tcW w:w="7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7,977,291</w:t>
            </w:r>
          </w:p>
        </w:tc>
        <w:tc>
          <w:tcPr>
            <w:tcW w:w="400" w:type="dxa"/>
            <w:vAlign w:val="bottom"/>
          </w:tcPr>
          <w:p>
            <w:pPr>
              <w:spacing w:after="0"/>
              <w:rPr>
                <w:sz w:val="14"/>
                <w:szCs w:val="14"/>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8,167,262</w:t>
            </w:r>
          </w:p>
        </w:tc>
        <w:tc>
          <w:tcPr>
            <w:tcW w:w="38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8,340,279</w:t>
            </w:r>
          </w:p>
        </w:tc>
        <w:tc>
          <w:tcPr>
            <w:tcW w:w="360" w:type="dxa"/>
            <w:vAlign w:val="bottom"/>
          </w:tcPr>
          <w:p>
            <w:pPr>
              <w:spacing w:after="0"/>
              <w:rPr>
                <w:sz w:val="14"/>
                <w:szCs w:val="14"/>
                <w:color w:val="auto"/>
              </w:rPr>
            </w:pPr>
          </w:p>
        </w:tc>
        <w:tc>
          <w:tcPr>
            <w:tcW w:w="130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rPr>
              <w:t>8,597,265</w:t>
            </w:r>
          </w:p>
        </w:tc>
        <w:tc>
          <w:tcPr>
            <w:tcW w:w="3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8,348,396</w:t>
            </w:r>
          </w:p>
        </w:tc>
      </w:tr>
      <w:tr>
        <w:trPr>
          <w:trHeight w:val="171"/>
        </w:trPr>
        <w:tc>
          <w:tcPr>
            <w:tcW w:w="26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Public and Other</w:t>
            </w:r>
          </w:p>
        </w:tc>
        <w:tc>
          <w:tcPr>
            <w:tcW w:w="7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2,072,260</w:t>
            </w:r>
          </w:p>
        </w:tc>
        <w:tc>
          <w:tcPr>
            <w:tcW w:w="40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2,271,431</w:t>
            </w: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2,087,428</w:t>
            </w:r>
          </w:p>
        </w:tc>
        <w:tc>
          <w:tcPr>
            <w:tcW w:w="3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rPr>
              <w:t>2,124,613</w:t>
            </w:r>
          </w:p>
        </w:tc>
        <w:tc>
          <w:tcPr>
            <w:tcW w:w="34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2,338,341</w:t>
            </w:r>
          </w:p>
        </w:tc>
      </w:tr>
      <w:tr>
        <w:trPr>
          <w:trHeight w:val="160"/>
        </w:trPr>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Total Deposits</w:t>
            </w:r>
          </w:p>
        </w:tc>
        <w:tc>
          <w:tcPr>
            <w:tcW w:w="7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20,481,558</w:t>
            </w:r>
          </w:p>
        </w:tc>
        <w:tc>
          <w:tcPr>
            <w:tcW w:w="40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20,892,775</w:t>
            </w: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20,957,930</w:t>
            </w:r>
          </w:p>
        </w:tc>
        <w:tc>
          <w:tcPr>
            <w:tcW w:w="36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rPr>
              <w:t>21,188,495</w:t>
            </w:r>
          </w:p>
        </w:tc>
        <w:tc>
          <w:tcPr>
            <w:tcW w:w="3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21,080,669</w:t>
            </w:r>
          </w:p>
        </w:tc>
      </w:tr>
      <w:tr>
        <w:trPr>
          <w:trHeight w:val="20"/>
        </w:trPr>
        <w:tc>
          <w:tcPr>
            <w:tcW w:w="26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1093"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Non-Performing Assets and Accruing Loans and Leases Past Due 90 Days or More</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6</w:t>
            </w:r>
          </w:p>
        </w:tc>
      </w:tr>
      <w:tr>
        <w:trPr>
          <w:trHeight w:val="111"/>
        </w:trPr>
        <w:tc>
          <w:tcPr>
            <w:tcW w:w="3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tcPr>
          <w:p>
            <w:pPr>
              <w:jc w:val="right"/>
              <w:ind w:right="493"/>
              <w:spacing w:after="0"/>
              <w:rPr>
                <w:sz w:val="20"/>
                <w:szCs w:val="20"/>
                <w:color w:val="auto"/>
              </w:rPr>
            </w:pPr>
            <w:r>
              <w:rPr>
                <w:rFonts w:ascii="Times New Roman" w:cs="Times New Roman" w:eastAsia="Times New Roman" w:hAnsi="Times New Roman"/>
                <w:sz w:val="8"/>
                <w:szCs w:val="8"/>
                <w:b w:val="1"/>
                <w:bCs w:val="1"/>
                <w:color w:val="auto"/>
              </w:rPr>
              <w:t>September 30,</w:t>
            </w:r>
          </w:p>
        </w:tc>
        <w:tc>
          <w:tcPr>
            <w:tcW w:w="380" w:type="dxa"/>
            <w:vAlign w:val="bottom"/>
          </w:tcPr>
          <w:p>
            <w:pPr>
              <w:spacing w:after="0"/>
              <w:rPr>
                <w:sz w:val="9"/>
                <w:szCs w:val="9"/>
                <w:color w:val="auto"/>
              </w:rPr>
            </w:pPr>
          </w:p>
        </w:tc>
        <w:tc>
          <w:tcPr>
            <w:tcW w:w="1240" w:type="dxa"/>
            <w:vAlign w:val="bottom"/>
          </w:tcPr>
          <w:p>
            <w:pPr>
              <w:jc w:val="right"/>
              <w:ind w:right="613"/>
              <w:spacing w:after="0"/>
              <w:rPr>
                <w:sz w:val="20"/>
                <w:szCs w:val="20"/>
                <w:color w:val="auto"/>
              </w:rPr>
            </w:pPr>
            <w:r>
              <w:rPr>
                <w:rFonts w:ascii="Times New Roman" w:cs="Times New Roman" w:eastAsia="Times New Roman" w:hAnsi="Times New Roman"/>
                <w:sz w:val="8"/>
                <w:szCs w:val="8"/>
                <w:b w:val="1"/>
                <w:bCs w:val="1"/>
                <w:color w:val="auto"/>
              </w:rPr>
              <w:t>June 30,</w:t>
            </w:r>
          </w:p>
        </w:tc>
        <w:tc>
          <w:tcPr>
            <w:tcW w:w="340" w:type="dxa"/>
            <w:vAlign w:val="bottom"/>
          </w:tcPr>
          <w:p>
            <w:pPr>
              <w:spacing w:after="0"/>
              <w:rPr>
                <w:sz w:val="9"/>
                <w:szCs w:val="9"/>
                <w:color w:val="auto"/>
              </w:rPr>
            </w:pPr>
          </w:p>
        </w:tc>
        <w:tc>
          <w:tcPr>
            <w:tcW w:w="1260" w:type="dxa"/>
            <w:vAlign w:val="bottom"/>
          </w:tcPr>
          <w:p>
            <w:pPr>
              <w:jc w:val="right"/>
              <w:ind w:right="573"/>
              <w:spacing w:after="0"/>
              <w:rPr>
                <w:sz w:val="20"/>
                <w:szCs w:val="20"/>
                <w:color w:val="auto"/>
              </w:rPr>
            </w:pPr>
            <w:r>
              <w:rPr>
                <w:rFonts w:ascii="Times New Roman" w:cs="Times New Roman" w:eastAsia="Times New Roman" w:hAnsi="Times New Roman"/>
                <w:sz w:val="8"/>
                <w:szCs w:val="8"/>
                <w:b w:val="1"/>
                <w:bCs w:val="1"/>
                <w:color w:val="auto"/>
              </w:rPr>
              <w:t>March 31,</w:t>
            </w:r>
          </w:p>
        </w:tc>
        <w:tc>
          <w:tcPr>
            <w:tcW w:w="320" w:type="dxa"/>
            <w:vAlign w:val="bottom"/>
          </w:tcPr>
          <w:p>
            <w:pPr>
              <w:spacing w:after="0"/>
              <w:rPr>
                <w:sz w:val="9"/>
                <w:szCs w:val="9"/>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8"/>
                <w:szCs w:val="8"/>
                <w:b w:val="1"/>
                <w:bCs w:val="1"/>
                <w:color w:val="auto"/>
              </w:rPr>
              <w:t>December 31,</w:t>
            </w:r>
          </w:p>
        </w:tc>
        <w:tc>
          <w:tcPr>
            <w:tcW w:w="320" w:type="dxa"/>
            <w:vAlign w:val="bottom"/>
          </w:tcPr>
          <w:p>
            <w:pPr>
              <w:spacing w:after="0"/>
              <w:rPr>
                <w:sz w:val="9"/>
                <w:szCs w:val="9"/>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8"/>
                <w:szCs w:val="8"/>
                <w:b w:val="1"/>
                <w:bCs w:val="1"/>
                <w:color w:val="auto"/>
              </w:rPr>
              <w:t>September 30,</w:t>
            </w:r>
          </w:p>
        </w:tc>
      </w:tr>
      <w:tr>
        <w:trPr>
          <w:trHeight w:val="109"/>
        </w:trPr>
        <w:tc>
          <w:tcPr>
            <w:tcW w:w="3360" w:type="dxa"/>
            <w:vAlign w:val="bottom"/>
          </w:tcPr>
          <w:p>
            <w:pPr>
              <w:spacing w:after="0"/>
              <w:rPr>
                <w:sz w:val="20"/>
                <w:szCs w:val="20"/>
                <w:color w:val="auto"/>
              </w:rPr>
            </w:pPr>
            <w:r>
              <w:rPr>
                <w:rFonts w:ascii="Times New Roman" w:cs="Times New Roman" w:eastAsia="Times New Roman" w:hAnsi="Times New Roman"/>
                <w:sz w:val="7"/>
                <w:szCs w:val="7"/>
                <w:color w:val="auto"/>
              </w:rPr>
              <w:t>(dollars in thousands)</w:t>
            </w:r>
          </w:p>
        </w:tc>
        <w:tc>
          <w:tcPr>
            <w:tcW w:w="300" w:type="dxa"/>
            <w:vAlign w:val="bottom"/>
          </w:tcPr>
          <w:p>
            <w:pPr>
              <w:spacing w:after="0"/>
              <w:rPr>
                <w:sz w:val="9"/>
                <w:szCs w:val="9"/>
                <w:color w:val="auto"/>
              </w:rPr>
            </w:pPr>
          </w:p>
        </w:tc>
        <w:tc>
          <w:tcPr>
            <w:tcW w:w="1260" w:type="dxa"/>
            <w:vAlign w:val="bottom"/>
          </w:tcPr>
          <w:p>
            <w:pPr>
              <w:jc w:val="right"/>
              <w:ind w:right="653"/>
              <w:spacing w:after="0"/>
              <w:rPr>
                <w:sz w:val="20"/>
                <w:szCs w:val="20"/>
                <w:color w:val="auto"/>
              </w:rPr>
            </w:pPr>
            <w:r>
              <w:rPr>
                <w:rFonts w:ascii="Times New Roman" w:cs="Times New Roman" w:eastAsia="Times New Roman" w:hAnsi="Times New Roman"/>
                <w:sz w:val="8"/>
                <w:szCs w:val="8"/>
                <w:b w:val="1"/>
                <w:bCs w:val="1"/>
                <w:color w:val="auto"/>
              </w:rPr>
              <w:t>2026</w:t>
            </w:r>
          </w:p>
        </w:tc>
        <w:tc>
          <w:tcPr>
            <w:tcW w:w="380" w:type="dxa"/>
            <w:vAlign w:val="bottom"/>
          </w:tcPr>
          <w:p>
            <w:pPr>
              <w:spacing w:after="0"/>
              <w:rPr>
                <w:sz w:val="9"/>
                <w:szCs w:val="9"/>
                <w:color w:val="auto"/>
              </w:rPr>
            </w:pPr>
          </w:p>
        </w:tc>
        <w:tc>
          <w:tcPr>
            <w:tcW w:w="1240" w:type="dxa"/>
            <w:vAlign w:val="bottom"/>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2026</w:t>
            </w:r>
          </w:p>
        </w:tc>
        <w:tc>
          <w:tcPr>
            <w:tcW w:w="340" w:type="dxa"/>
            <w:vAlign w:val="bottom"/>
          </w:tcPr>
          <w:p>
            <w:pPr>
              <w:spacing w:after="0"/>
              <w:rPr>
                <w:sz w:val="9"/>
                <w:szCs w:val="9"/>
                <w:color w:val="auto"/>
              </w:rPr>
            </w:pPr>
          </w:p>
        </w:tc>
        <w:tc>
          <w:tcPr>
            <w:tcW w:w="1260" w:type="dxa"/>
            <w:vAlign w:val="bottom"/>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2026</w:t>
            </w:r>
          </w:p>
        </w:tc>
        <w:tc>
          <w:tcPr>
            <w:tcW w:w="320" w:type="dxa"/>
            <w:vAlign w:val="bottom"/>
          </w:tcPr>
          <w:p>
            <w:pPr>
              <w:spacing w:after="0"/>
              <w:rPr>
                <w:sz w:val="9"/>
                <w:szCs w:val="9"/>
                <w:color w:val="auto"/>
              </w:rPr>
            </w:pPr>
          </w:p>
        </w:tc>
        <w:tc>
          <w:tcPr>
            <w:tcW w:w="1280" w:type="dxa"/>
            <w:vAlign w:val="bottom"/>
          </w:tcPr>
          <w:p>
            <w:pPr>
              <w:jc w:val="right"/>
              <w:ind w:right="673"/>
              <w:spacing w:after="0"/>
              <w:rPr>
                <w:sz w:val="20"/>
                <w:szCs w:val="20"/>
                <w:color w:val="auto"/>
              </w:rPr>
            </w:pPr>
            <w:r>
              <w:rPr>
                <w:rFonts w:ascii="Times New Roman" w:cs="Times New Roman" w:eastAsia="Times New Roman" w:hAnsi="Times New Roman"/>
                <w:sz w:val="8"/>
                <w:szCs w:val="8"/>
                <w:b w:val="1"/>
                <w:bCs w:val="1"/>
                <w:color w:val="auto"/>
              </w:rPr>
              <w:t>2025</w:t>
            </w:r>
          </w:p>
        </w:tc>
        <w:tc>
          <w:tcPr>
            <w:tcW w:w="320" w:type="dxa"/>
            <w:vAlign w:val="bottom"/>
          </w:tcPr>
          <w:p>
            <w:pPr>
              <w:spacing w:after="0"/>
              <w:rPr>
                <w:sz w:val="9"/>
                <w:szCs w:val="9"/>
                <w:color w:val="auto"/>
              </w:rPr>
            </w:pPr>
          </w:p>
        </w:tc>
        <w:tc>
          <w:tcPr>
            <w:tcW w:w="1240" w:type="dxa"/>
            <w:vAlign w:val="bottom"/>
          </w:tcPr>
          <w:p>
            <w:pPr>
              <w:jc w:val="right"/>
              <w:ind w:right="632"/>
              <w:spacing w:after="0"/>
              <w:rPr>
                <w:sz w:val="20"/>
                <w:szCs w:val="20"/>
                <w:color w:val="auto"/>
              </w:rPr>
            </w:pPr>
            <w:r>
              <w:rPr>
                <w:rFonts w:ascii="Times New Roman" w:cs="Times New Roman" w:eastAsia="Times New Roman" w:hAnsi="Times New Roman"/>
                <w:sz w:val="8"/>
                <w:szCs w:val="8"/>
                <w:b w:val="1"/>
                <w:bCs w:val="1"/>
                <w:color w:val="auto"/>
              </w:rPr>
              <w:t>2025</w:t>
            </w: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1"/>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Non-Performing Assets</w:t>
            </w:r>
          </w:p>
        </w:tc>
        <w:tc>
          <w:tcPr>
            <w:tcW w:w="3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r>
      <w:tr>
        <w:trPr>
          <w:trHeight w:val="136"/>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Non-Accrual Loans and Leases</w:t>
            </w: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2"/>
        </w:trPr>
        <w:tc>
          <w:tcPr>
            <w:tcW w:w="33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Commercial</w:t>
            </w:r>
          </w:p>
        </w:tc>
        <w:tc>
          <w:tcPr>
            <w:tcW w:w="3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36"/>
        </w:trPr>
        <w:tc>
          <w:tcPr>
            <w:tcW w:w="3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Commercial Mortgage</w:t>
            </w:r>
          </w:p>
        </w:tc>
        <w:tc>
          <w:tcPr>
            <w:tcW w:w="3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32,500</w:t>
            </w: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2,085</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2,498</w:t>
            </w: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7"/>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3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1,622</w:t>
            </w: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1,734</w:t>
            </w:r>
          </w:p>
        </w:tc>
        <w:tc>
          <w:tcPr>
            <w:tcW w:w="3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1,860</w:t>
            </w: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1,940</w:t>
            </w: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3,506</w:t>
            </w:r>
          </w:p>
        </w:tc>
      </w:tr>
      <w:tr>
        <w:trPr>
          <w:trHeight w:val="125"/>
        </w:trPr>
        <w:tc>
          <w:tcPr>
            <w:tcW w:w="33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Total Commercial</w:t>
            </w: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34,122</w:t>
            </w: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1,734</w:t>
            </w:r>
          </w:p>
        </w:tc>
        <w:tc>
          <w:tcPr>
            <w:tcW w:w="3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1,860</w:t>
            </w:r>
          </w:p>
        </w:tc>
        <w:tc>
          <w:tcPr>
            <w:tcW w:w="3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4,025</w:t>
            </w: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6,004</w:t>
            </w:r>
          </w:p>
        </w:tc>
      </w:tr>
      <w:tr>
        <w:trPr>
          <w:trHeight w:val="26"/>
        </w:trPr>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1"/>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Consumer</w:t>
            </w:r>
          </w:p>
        </w:tc>
        <w:tc>
          <w:tcPr>
            <w:tcW w:w="30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28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r>
      <w:tr>
        <w:trPr>
          <w:trHeight w:val="136"/>
        </w:trPr>
        <w:tc>
          <w:tcPr>
            <w:tcW w:w="3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Residential Mortgage</w:t>
            </w:r>
          </w:p>
        </w:tc>
        <w:tc>
          <w:tcPr>
            <w:tcW w:w="300" w:type="dxa"/>
            <w:vAlign w:val="bottom"/>
          </w:tcPr>
          <w:p>
            <w:pPr>
              <w:spacing w:after="0"/>
              <w:rPr>
                <w:sz w:val="11"/>
                <w:szCs w:val="1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5,068</w:t>
            </w:r>
          </w:p>
        </w:tc>
        <w:tc>
          <w:tcPr>
            <w:tcW w:w="380" w:type="dxa"/>
            <w:vAlign w:val="bottom"/>
          </w:tcPr>
          <w:p>
            <w:pPr>
              <w:spacing w:after="0"/>
              <w:rPr>
                <w:sz w:val="11"/>
                <w:szCs w:val="1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5,348</w:t>
            </w:r>
          </w:p>
        </w:tc>
        <w:tc>
          <w:tcPr>
            <w:tcW w:w="340" w:type="dxa"/>
            <w:vAlign w:val="bottom"/>
          </w:tcPr>
          <w:p>
            <w:pPr>
              <w:spacing w:after="0"/>
              <w:rPr>
                <w:sz w:val="11"/>
                <w:szCs w:val="1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5,410</w:t>
            </w:r>
          </w:p>
        </w:tc>
        <w:tc>
          <w:tcPr>
            <w:tcW w:w="320" w:type="dxa"/>
            <w:vAlign w:val="bottom"/>
          </w:tcPr>
          <w:p>
            <w:pPr>
              <w:spacing w:after="0"/>
              <w:rPr>
                <w:sz w:val="11"/>
                <w:szCs w:val="11"/>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5,382</w:t>
            </w: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5,628</w:t>
            </w: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7"/>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Home Equity</w:t>
            </w:r>
          </w:p>
        </w:tc>
        <w:tc>
          <w:tcPr>
            <w:tcW w:w="3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4,051</w:t>
            </w: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4,225</w:t>
            </w:r>
          </w:p>
        </w:tc>
        <w:tc>
          <w:tcPr>
            <w:tcW w:w="3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4,525</w:t>
            </w: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4,469</w:t>
            </w: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5,107</w:t>
            </w:r>
          </w:p>
        </w:tc>
      </w:tr>
      <w:tr>
        <w:trPr>
          <w:trHeight w:val="125"/>
        </w:trPr>
        <w:tc>
          <w:tcPr>
            <w:tcW w:w="33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0"/>
                <w:szCs w:val="10"/>
                <w:color w:val="auto"/>
              </w:rPr>
              <w:t>Total Consumer</w:t>
            </w: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9,119</w:t>
            </w: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9,573</w:t>
            </w:r>
          </w:p>
        </w:tc>
        <w:tc>
          <w:tcPr>
            <w:tcW w:w="3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9,935</w:t>
            </w:r>
          </w:p>
        </w:tc>
        <w:tc>
          <w:tcPr>
            <w:tcW w:w="3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9,851</w:t>
            </w: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10,735</w:t>
            </w:r>
          </w:p>
        </w:tc>
      </w:tr>
      <w:tr>
        <w:trPr>
          <w:trHeight w:val="26"/>
        </w:trPr>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56"/>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Non-Accrual Loans and Leases</w:t>
            </w:r>
          </w:p>
        </w:tc>
        <w:tc>
          <w:tcPr>
            <w:tcW w:w="30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43,241</w:t>
            </w:r>
          </w:p>
        </w:tc>
        <w:tc>
          <w:tcPr>
            <w:tcW w:w="3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11,307</w:t>
            </w:r>
          </w:p>
        </w:tc>
        <w:tc>
          <w:tcPr>
            <w:tcW w:w="3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11,795</w:t>
            </w:r>
          </w:p>
        </w:tc>
        <w:tc>
          <w:tcPr>
            <w:tcW w:w="3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13,876</w:t>
            </w:r>
          </w:p>
        </w:tc>
        <w:tc>
          <w:tcPr>
            <w:tcW w:w="3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16,739</w:t>
            </w:r>
          </w:p>
        </w:tc>
      </w:tr>
      <w:tr>
        <w:trPr>
          <w:trHeight w:val="125"/>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rPr>
              <w:t>Foreclosed Real Estate</w:t>
            </w: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171</w:t>
            </w: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171</w:t>
            </w:r>
          </w:p>
        </w:tc>
        <w:tc>
          <w:tcPr>
            <w:tcW w:w="3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295</w:t>
            </w:r>
          </w:p>
        </w:tc>
        <w:tc>
          <w:tcPr>
            <w:tcW w:w="3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295</w:t>
            </w: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125</w:t>
            </w:r>
          </w:p>
        </w:tc>
      </w:tr>
      <w:tr>
        <w:trPr>
          <w:trHeight w:val="26"/>
        </w:trPr>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2"/>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Non-Performing Assets</w:t>
            </w:r>
          </w:p>
        </w:tc>
        <w:tc>
          <w:tcPr>
            <w:tcW w:w="30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43,412</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11,478</w:t>
            </w:r>
          </w:p>
        </w:tc>
        <w:tc>
          <w:tcPr>
            <w:tcW w:w="3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12,090</w:t>
            </w: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14,171</w:t>
            </w: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16,864</w:t>
            </w:r>
          </w:p>
        </w:tc>
      </w:tr>
      <w:tr>
        <w:trPr>
          <w:trHeight w:val="136"/>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Accruing Loans and Leases Past Due 90 Days or More</w:t>
            </w:r>
          </w:p>
        </w:tc>
        <w:tc>
          <w:tcPr>
            <w:tcW w:w="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2"/>
        </w:trPr>
        <w:tc>
          <w:tcPr>
            <w:tcW w:w="3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Consumer</w:t>
            </w:r>
          </w:p>
        </w:tc>
        <w:tc>
          <w:tcPr>
            <w:tcW w:w="3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r>
      <w:tr>
        <w:trPr>
          <w:trHeight w:val="136"/>
        </w:trPr>
        <w:tc>
          <w:tcPr>
            <w:tcW w:w="3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Residential Mortgage</w:t>
            </w:r>
          </w:p>
        </w:tc>
        <w:tc>
          <w:tcPr>
            <w:tcW w:w="30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12,125</w:t>
            </w:r>
          </w:p>
        </w:tc>
        <w:tc>
          <w:tcPr>
            <w:tcW w:w="380" w:type="dxa"/>
            <w:vAlign w:val="bottom"/>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8,887</w:t>
            </w: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10,733</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8,834</w:t>
            </w:r>
          </w:p>
        </w:tc>
        <w:tc>
          <w:tcPr>
            <w:tcW w:w="320" w:type="dxa"/>
            <w:vAlign w:val="bottom"/>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7,456</w:t>
            </w: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2"/>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Home Equity</w:t>
            </w:r>
          </w:p>
        </w:tc>
        <w:tc>
          <w:tcPr>
            <w:tcW w:w="3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2,845</w:t>
            </w: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3,503</w:t>
            </w:r>
          </w:p>
        </w:tc>
        <w:tc>
          <w:tcPr>
            <w:tcW w:w="3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1,556</w:t>
            </w:r>
          </w:p>
        </w:tc>
        <w:tc>
          <w:tcPr>
            <w:tcW w:w="3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2,152</w:t>
            </w: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2,765</w:t>
            </w:r>
          </w:p>
        </w:tc>
      </w:tr>
      <w:tr>
        <w:trPr>
          <w:trHeight w:val="136"/>
        </w:trPr>
        <w:tc>
          <w:tcPr>
            <w:tcW w:w="336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Automobile</w:t>
            </w:r>
          </w:p>
        </w:tc>
        <w:tc>
          <w:tcPr>
            <w:tcW w:w="300" w:type="dxa"/>
            <w:vAlign w:val="bottom"/>
          </w:tcPr>
          <w:p>
            <w:pPr>
              <w:spacing w:after="0"/>
              <w:rPr>
                <w:sz w:val="11"/>
                <w:szCs w:val="11"/>
                <w:color w:val="auto"/>
              </w:rPr>
            </w:pPr>
          </w:p>
        </w:tc>
        <w:tc>
          <w:tcPr>
            <w:tcW w:w="126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919</w:t>
            </w:r>
          </w:p>
        </w:tc>
        <w:tc>
          <w:tcPr>
            <w:tcW w:w="380" w:type="dxa"/>
            <w:vAlign w:val="bottom"/>
          </w:tcPr>
          <w:p>
            <w:pPr>
              <w:spacing w:after="0"/>
              <w:rPr>
                <w:sz w:val="11"/>
                <w:szCs w:val="11"/>
                <w:color w:val="auto"/>
              </w:rPr>
            </w:pPr>
          </w:p>
        </w:tc>
        <w:tc>
          <w:tcPr>
            <w:tcW w:w="124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763</w:t>
            </w:r>
          </w:p>
        </w:tc>
        <w:tc>
          <w:tcPr>
            <w:tcW w:w="340" w:type="dxa"/>
            <w:vAlign w:val="bottom"/>
          </w:tcPr>
          <w:p>
            <w:pPr>
              <w:spacing w:after="0"/>
              <w:rPr>
                <w:sz w:val="11"/>
                <w:szCs w:val="11"/>
                <w:color w:val="auto"/>
              </w:rPr>
            </w:pP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0"/>
                <w:szCs w:val="10"/>
                <w:color w:val="auto"/>
              </w:rPr>
              <w:t>672</w:t>
            </w:r>
          </w:p>
        </w:tc>
        <w:tc>
          <w:tcPr>
            <w:tcW w:w="320" w:type="dxa"/>
            <w:vAlign w:val="bottom"/>
          </w:tcPr>
          <w:p>
            <w:pPr>
              <w:spacing w:after="0"/>
              <w:rPr>
                <w:sz w:val="11"/>
                <w:szCs w:val="11"/>
                <w:color w:val="auto"/>
              </w:rPr>
            </w:pP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0"/>
                <w:szCs w:val="10"/>
                <w:color w:val="auto"/>
              </w:rPr>
              <w:t>520</w:t>
            </w: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525</w:t>
            </w: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67"/>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Other</w:t>
            </w:r>
          </w:p>
        </w:tc>
        <w:tc>
          <w:tcPr>
            <w:tcW w:w="3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679</w:t>
            </w:r>
          </w:p>
        </w:tc>
        <w:tc>
          <w:tcPr>
            <w:tcW w:w="38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965</w:t>
            </w:r>
          </w:p>
        </w:tc>
        <w:tc>
          <w:tcPr>
            <w:tcW w:w="34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764</w:t>
            </w:r>
          </w:p>
        </w:tc>
        <w:tc>
          <w:tcPr>
            <w:tcW w:w="3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753</w:t>
            </w:r>
          </w:p>
        </w:tc>
        <w:tc>
          <w:tcPr>
            <w:tcW w:w="3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578</w:t>
            </w:r>
          </w:p>
        </w:tc>
      </w:tr>
      <w:tr>
        <w:trPr>
          <w:trHeight w:val="125"/>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color w:val="auto"/>
              </w:rPr>
              <w:t>Total Consumer</w:t>
            </w:r>
          </w:p>
        </w:tc>
        <w:tc>
          <w:tcPr>
            <w:tcW w:w="3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16,568</w:t>
            </w:r>
          </w:p>
        </w:tc>
        <w:tc>
          <w:tcPr>
            <w:tcW w:w="3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14,118</w:t>
            </w:r>
          </w:p>
        </w:tc>
        <w:tc>
          <w:tcPr>
            <w:tcW w:w="3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13,725</w:t>
            </w:r>
          </w:p>
        </w:tc>
        <w:tc>
          <w:tcPr>
            <w:tcW w:w="3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12,259</w:t>
            </w: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11,324</w:t>
            </w:r>
          </w:p>
        </w:tc>
      </w:tr>
      <w:tr>
        <w:trPr>
          <w:trHeight w:val="26"/>
        </w:trPr>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72"/>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Accruing Loans and Leases Past Due 90 Days or More</w:t>
            </w:r>
          </w:p>
        </w:tc>
        <w:tc>
          <w:tcPr>
            <w:tcW w:w="30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16,568</w:t>
            </w:r>
          </w:p>
        </w:tc>
        <w:tc>
          <w:tcPr>
            <w:tcW w:w="380" w:type="dxa"/>
            <w:vAlign w:val="bottom"/>
            <w:tcBorders>
              <w:bottom w:val="single" w:sz="8" w:color="CCEEFF"/>
            </w:tcBorders>
            <w:shd w:val="clear" w:color="auto" w:fill="CCEEFF"/>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14,118</w:t>
            </w:r>
          </w:p>
        </w:tc>
        <w:tc>
          <w:tcPr>
            <w:tcW w:w="34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0"/>
                <w:szCs w:val="10"/>
                <w:color w:val="auto"/>
              </w:rPr>
              <w:t>13,725</w:t>
            </w: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0"/>
                <w:szCs w:val="10"/>
                <w:color w:val="auto"/>
              </w:rPr>
              <w:t>12,259</w:t>
            </w:r>
          </w:p>
        </w:tc>
        <w:tc>
          <w:tcPr>
            <w:tcW w:w="32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11,324</w:t>
            </w:r>
          </w:p>
        </w:tc>
      </w:tr>
      <w:tr>
        <w:trPr>
          <w:trHeight w:val="136"/>
        </w:trPr>
        <w:tc>
          <w:tcPr>
            <w:tcW w:w="3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Loans and Leases</w:t>
            </w:r>
          </w:p>
        </w:tc>
        <w:tc>
          <w:tcPr>
            <w:tcW w:w="30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14,371,336</w:t>
            </w:r>
          </w:p>
        </w:tc>
        <w:tc>
          <w:tcPr>
            <w:tcW w:w="3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14,286,625</w:t>
            </w:r>
          </w:p>
        </w:tc>
        <w:tc>
          <w:tcPr>
            <w:tcW w:w="34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color w:val="auto"/>
              </w:rPr>
              <w:t>14,192,811</w:t>
            </w:r>
          </w:p>
        </w:tc>
        <w:tc>
          <w:tcPr>
            <w:tcW w:w="3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color w:val="auto"/>
              </w:rPr>
              <w:t>14,082,050</w:t>
            </w:r>
          </w:p>
        </w:tc>
        <w:tc>
          <w:tcPr>
            <w:tcW w:w="32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14,021,579</w:t>
            </w:r>
          </w:p>
        </w:tc>
      </w:tr>
      <w:tr>
        <w:trPr>
          <w:trHeight w:val="42"/>
        </w:trPr>
        <w:tc>
          <w:tcPr>
            <w:tcW w:w="33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142"/>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Ratio of Non-Accrual Loans and Leases to Total Loans and Leases</w:t>
            </w:r>
          </w:p>
        </w:tc>
        <w:tc>
          <w:tcPr>
            <w:tcW w:w="3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0.30 %</w:t>
            </w: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0.08 %</w:t>
            </w:r>
          </w:p>
        </w:tc>
        <w:tc>
          <w:tcPr>
            <w:tcW w:w="3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0.08 %</w:t>
            </w:r>
          </w:p>
        </w:tc>
        <w:tc>
          <w:tcPr>
            <w:tcW w:w="3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0.10 %</w:t>
            </w: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0.12 %</w:t>
            </w:r>
          </w:p>
        </w:tc>
      </w:tr>
      <w:tr>
        <w:trPr>
          <w:trHeight w:val="136"/>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w w:val="95"/>
              </w:rPr>
              <w:t>Ratio of Non-Performing Assets to Total Loans and Leases and Foreclosed Real Estate</w:t>
            </w:r>
          </w:p>
        </w:tc>
        <w:tc>
          <w:tcPr>
            <w:tcW w:w="30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0.30 %</w:t>
            </w:r>
          </w:p>
        </w:tc>
        <w:tc>
          <w:tcPr>
            <w:tcW w:w="380" w:type="dxa"/>
            <w:vAlign w:val="bottom"/>
          </w:tcPr>
          <w:p>
            <w:pPr>
              <w:spacing w:after="0"/>
              <w:rPr>
                <w:sz w:val="11"/>
                <w:szCs w:val="1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0.08 %</w:t>
            </w:r>
          </w:p>
        </w:tc>
        <w:tc>
          <w:tcPr>
            <w:tcW w:w="340" w:type="dxa"/>
            <w:vAlign w:val="bottom"/>
          </w:tcPr>
          <w:p>
            <w:pPr>
              <w:spacing w:after="0"/>
              <w:rPr>
                <w:sz w:val="11"/>
                <w:szCs w:val="1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0.09 %</w:t>
            </w:r>
          </w:p>
        </w:tc>
        <w:tc>
          <w:tcPr>
            <w:tcW w:w="320" w:type="dxa"/>
            <w:vAlign w:val="bottom"/>
          </w:tcPr>
          <w:p>
            <w:pPr>
              <w:spacing w:after="0"/>
              <w:rPr>
                <w:sz w:val="11"/>
                <w:szCs w:val="1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0.10 %</w:t>
            </w:r>
          </w:p>
        </w:tc>
        <w:tc>
          <w:tcPr>
            <w:tcW w:w="3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0.12 %</w:t>
            </w: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2"/>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Ratio of Non-Performing Assets to Total Assets</w:t>
            </w:r>
          </w:p>
        </w:tc>
        <w:tc>
          <w:tcPr>
            <w:tcW w:w="3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0.18 %</w:t>
            </w: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0.05 %</w:t>
            </w:r>
          </w:p>
        </w:tc>
        <w:tc>
          <w:tcPr>
            <w:tcW w:w="3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0.05 %</w:t>
            </w:r>
          </w:p>
        </w:tc>
        <w:tc>
          <w:tcPr>
            <w:tcW w:w="3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0.06 %</w:t>
            </w: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0.07 %</w:t>
            </w:r>
          </w:p>
        </w:tc>
      </w:tr>
      <w:tr>
        <w:trPr>
          <w:trHeight w:val="121"/>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w w:val="97"/>
              </w:rPr>
              <w:t>Ratio of Commercial Non-Performing Assets to Total Commercial Loans and Leases</w:t>
            </w: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32"/>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and Commercial Foreclosed Real Estate</w:t>
            </w:r>
          </w:p>
        </w:tc>
        <w:tc>
          <w:tcPr>
            <w:tcW w:w="30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0.54 %</w:t>
            </w:r>
          </w:p>
        </w:tc>
        <w:tc>
          <w:tcPr>
            <w:tcW w:w="380" w:type="dxa"/>
            <w:vAlign w:val="bottom"/>
          </w:tcPr>
          <w:p>
            <w:pPr>
              <w:spacing w:after="0"/>
              <w:rPr>
                <w:sz w:val="11"/>
                <w:szCs w:val="1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0.03 %</w:t>
            </w:r>
          </w:p>
        </w:tc>
        <w:tc>
          <w:tcPr>
            <w:tcW w:w="340" w:type="dxa"/>
            <w:vAlign w:val="bottom"/>
          </w:tcPr>
          <w:p>
            <w:pPr>
              <w:spacing w:after="0"/>
              <w:rPr>
                <w:sz w:val="11"/>
                <w:szCs w:val="1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0.03 %</w:t>
            </w:r>
          </w:p>
        </w:tc>
        <w:tc>
          <w:tcPr>
            <w:tcW w:w="320" w:type="dxa"/>
            <w:vAlign w:val="bottom"/>
          </w:tcPr>
          <w:p>
            <w:pPr>
              <w:spacing w:after="0"/>
              <w:rPr>
                <w:sz w:val="11"/>
                <w:szCs w:val="1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0.07 %</w:t>
            </w:r>
          </w:p>
        </w:tc>
        <w:tc>
          <w:tcPr>
            <w:tcW w:w="3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0.10 %</w:t>
            </w:r>
          </w:p>
        </w:tc>
      </w:tr>
      <w:tr>
        <w:trPr>
          <w:trHeight w:val="26"/>
        </w:trPr>
        <w:tc>
          <w:tcPr>
            <w:tcW w:w="3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21"/>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w w:val="97"/>
              </w:rPr>
              <w:t>Ratio of Consumer Non-Performing Assets to Total Consumer Loans and Leases and</w:t>
            </w:r>
          </w:p>
        </w:tc>
        <w:tc>
          <w:tcPr>
            <w:tcW w:w="3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r>
      <w:tr>
        <w:trPr>
          <w:trHeight w:val="138"/>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Consumer Foreclosed Real Estate</w:t>
            </w:r>
          </w:p>
        </w:tc>
        <w:tc>
          <w:tcPr>
            <w:tcW w:w="30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0.12 %</w:t>
            </w:r>
          </w:p>
        </w:tc>
        <w:tc>
          <w:tcPr>
            <w:tcW w:w="38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0.12 %</w:t>
            </w:r>
          </w:p>
        </w:tc>
        <w:tc>
          <w:tcPr>
            <w:tcW w:w="34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0.13 %</w:t>
            </w:r>
          </w:p>
        </w:tc>
        <w:tc>
          <w:tcPr>
            <w:tcW w:w="32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0.13 %</w:t>
            </w:r>
          </w:p>
        </w:tc>
        <w:tc>
          <w:tcPr>
            <w:tcW w:w="3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0.14 %</w:t>
            </w:r>
          </w:p>
        </w:tc>
      </w:tr>
      <w:tr>
        <w:trPr>
          <w:trHeight w:val="121"/>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w w:val="96"/>
              </w:rPr>
              <w:t>Ratio of Non-Performing Assets and Accruing Loans and Leases Past Due 90 Days or</w:t>
            </w: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r>
      <w:tr>
        <w:trPr>
          <w:trHeight w:val="132"/>
        </w:trPr>
        <w:tc>
          <w:tcPr>
            <w:tcW w:w="3360" w:type="dxa"/>
            <w:vAlign w:val="bottom"/>
          </w:tcPr>
          <w:p>
            <w:pPr>
              <w:spacing w:after="0"/>
              <w:rPr>
                <w:sz w:val="20"/>
                <w:szCs w:val="20"/>
                <w:color w:val="auto"/>
              </w:rPr>
            </w:pPr>
            <w:r>
              <w:rPr>
                <w:rFonts w:ascii="Times New Roman" w:cs="Times New Roman" w:eastAsia="Times New Roman" w:hAnsi="Times New Roman"/>
                <w:sz w:val="10"/>
                <w:szCs w:val="10"/>
                <w:color w:val="auto"/>
              </w:rPr>
              <w:t>More to Total Loans and Leases and Foreclosed Real Estate</w:t>
            </w:r>
          </w:p>
        </w:tc>
        <w:tc>
          <w:tcPr>
            <w:tcW w:w="30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0.42 %</w:t>
            </w:r>
          </w:p>
        </w:tc>
        <w:tc>
          <w:tcPr>
            <w:tcW w:w="380" w:type="dxa"/>
            <w:vAlign w:val="bottom"/>
          </w:tcPr>
          <w:p>
            <w:pPr>
              <w:spacing w:after="0"/>
              <w:rPr>
                <w:sz w:val="11"/>
                <w:szCs w:val="11"/>
                <w:color w:val="auto"/>
              </w:rPr>
            </w:pP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0.18 %</w:t>
            </w:r>
          </w:p>
        </w:tc>
        <w:tc>
          <w:tcPr>
            <w:tcW w:w="340" w:type="dxa"/>
            <w:vAlign w:val="bottom"/>
          </w:tcPr>
          <w:p>
            <w:pPr>
              <w:spacing w:after="0"/>
              <w:rPr>
                <w:sz w:val="11"/>
                <w:szCs w:val="11"/>
                <w:color w:val="auto"/>
              </w:rPr>
            </w:pPr>
          </w:p>
        </w:tc>
        <w:tc>
          <w:tcPr>
            <w:tcW w:w="126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0.18 %</w:t>
            </w:r>
          </w:p>
        </w:tc>
        <w:tc>
          <w:tcPr>
            <w:tcW w:w="320" w:type="dxa"/>
            <w:vAlign w:val="bottom"/>
          </w:tcPr>
          <w:p>
            <w:pPr>
              <w:spacing w:after="0"/>
              <w:rPr>
                <w:sz w:val="11"/>
                <w:szCs w:val="11"/>
                <w:color w:val="auto"/>
              </w:rPr>
            </w:pPr>
          </w:p>
        </w:tc>
        <w:tc>
          <w:tcPr>
            <w:tcW w:w="12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0.19 %</w:t>
            </w:r>
          </w:p>
        </w:tc>
        <w:tc>
          <w:tcPr>
            <w:tcW w:w="3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0.20 %</w:t>
            </w:r>
          </w:p>
        </w:tc>
      </w:tr>
      <w:tr>
        <w:trPr>
          <w:trHeight w:val="26"/>
        </w:trPr>
        <w:tc>
          <w:tcPr>
            <w:tcW w:w="3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1093" w:right="299" w:bottom="1440" w:gutter="0" w:footer="0" w:header="0"/>
        </w:sectPr>
      </w:pPr>
    </w:p>
    <w:bookmarkStart w:id="15" w:name="page16"/>
    <w:bookmarkEnd w:id="15"/>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Reserve for Credit Losses</w:t>
            </w: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7</w:t>
            </w:r>
          </w:p>
        </w:tc>
        <w:tc>
          <w:tcPr>
            <w:tcW w:w="0" w:type="dxa"/>
            <w:vAlign w:val="bottom"/>
          </w:tcPr>
          <w:p>
            <w:pPr>
              <w:spacing w:after="0"/>
              <w:rPr>
                <w:sz w:val="1"/>
                <w:szCs w:val="1"/>
                <w:color w:val="auto"/>
              </w:rPr>
            </w:pPr>
          </w:p>
        </w:tc>
      </w:tr>
      <w:tr>
        <w:trPr>
          <w:trHeight w:val="138"/>
        </w:trPr>
        <w:tc>
          <w:tcPr>
            <w:tcW w:w="29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9"/>
                <w:szCs w:val="9"/>
                <w:b w:val="1"/>
                <w:bCs w:val="1"/>
                <w:color w:val="auto"/>
                <w:w w:val="99"/>
              </w:rPr>
              <w:t>Three Months Ended</w:t>
            </w:r>
          </w:p>
        </w:tc>
        <w:tc>
          <w:tcPr>
            <w:tcW w:w="2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9"/>
                <w:szCs w:val="9"/>
                <w:b w:val="1"/>
                <w:bCs w:val="1"/>
                <w:color w:val="auto"/>
              </w:rPr>
              <w:t>Nine Months Ended</w:t>
            </w: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920" w:type="dxa"/>
            <w:vAlign w:val="bottom"/>
            <w:vMerge w:val="restart"/>
          </w:tcPr>
          <w:p>
            <w:pPr>
              <w:spacing w:after="0"/>
              <w:rPr>
                <w:sz w:val="20"/>
                <w:szCs w:val="20"/>
                <w:color w:val="auto"/>
              </w:rPr>
            </w:pPr>
            <w:r>
              <w:rPr>
                <w:rFonts w:ascii="Times New Roman" w:cs="Times New Roman" w:eastAsia="Times New Roman" w:hAnsi="Times New Roman"/>
                <w:sz w:val="9"/>
                <w:szCs w:val="9"/>
                <w:color w:val="auto"/>
              </w:rPr>
              <w:t>(dollars in thousands)</w:t>
            </w:r>
          </w:p>
        </w:tc>
        <w:tc>
          <w:tcPr>
            <w:tcW w:w="920" w:type="dxa"/>
            <w:vAlign w:val="bottom"/>
          </w:tcPr>
          <w:p>
            <w:pPr>
              <w:spacing w:after="0"/>
              <w:rPr>
                <w:sz w:val="9"/>
                <w:szCs w:val="9"/>
                <w:color w:val="auto"/>
              </w:rPr>
            </w:pPr>
          </w:p>
        </w:tc>
        <w:tc>
          <w:tcPr>
            <w:tcW w:w="1240" w:type="dxa"/>
            <w:vAlign w:val="bottom"/>
            <w:vMerge w:val="restart"/>
          </w:tcPr>
          <w:p>
            <w:pPr>
              <w:jc w:val="right"/>
              <w:ind w:right="292"/>
              <w:spacing w:after="0"/>
              <w:rPr>
                <w:sz w:val="20"/>
                <w:szCs w:val="20"/>
                <w:color w:val="auto"/>
              </w:rPr>
            </w:pPr>
            <w:r>
              <w:rPr>
                <w:rFonts w:ascii="Times New Roman" w:cs="Times New Roman" w:eastAsia="Times New Roman" w:hAnsi="Times New Roman"/>
                <w:sz w:val="9"/>
                <w:szCs w:val="9"/>
                <w:b w:val="1"/>
                <w:bCs w:val="1"/>
                <w:color w:val="auto"/>
              </w:rPr>
              <w:t>September 30, 2026</w:t>
            </w:r>
          </w:p>
        </w:tc>
        <w:tc>
          <w:tcPr>
            <w:tcW w:w="260" w:type="dxa"/>
            <w:vAlign w:val="bottom"/>
          </w:tcPr>
          <w:p>
            <w:pPr>
              <w:spacing w:after="0"/>
              <w:rPr>
                <w:sz w:val="9"/>
                <w:szCs w:val="9"/>
                <w:color w:val="auto"/>
              </w:rPr>
            </w:pPr>
          </w:p>
        </w:tc>
        <w:tc>
          <w:tcPr>
            <w:tcW w:w="1260" w:type="dxa"/>
            <w:vAlign w:val="bottom"/>
          </w:tcPr>
          <w:p>
            <w:pPr>
              <w:jc w:val="center"/>
              <w:ind w:right="113"/>
              <w:spacing w:after="0"/>
              <w:rPr>
                <w:sz w:val="20"/>
                <w:szCs w:val="20"/>
                <w:color w:val="auto"/>
              </w:rPr>
            </w:pPr>
            <w:r>
              <w:rPr>
                <w:rFonts w:ascii="Times New Roman" w:cs="Times New Roman" w:eastAsia="Times New Roman" w:hAnsi="Times New Roman"/>
                <w:sz w:val="8"/>
                <w:szCs w:val="8"/>
                <w:b w:val="1"/>
                <w:bCs w:val="1"/>
                <w:color w:val="auto"/>
              </w:rPr>
              <w:t>June 30,</w:t>
            </w:r>
          </w:p>
        </w:tc>
        <w:tc>
          <w:tcPr>
            <w:tcW w:w="280" w:type="dxa"/>
            <w:vAlign w:val="bottom"/>
          </w:tcPr>
          <w:p>
            <w:pPr>
              <w:spacing w:after="0"/>
              <w:rPr>
                <w:sz w:val="9"/>
                <w:szCs w:val="9"/>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9"/>
                <w:szCs w:val="9"/>
                <w:b w:val="1"/>
                <w:bCs w:val="1"/>
                <w:color w:val="auto"/>
              </w:rPr>
              <w:t>September 30, 2025</w:t>
            </w:r>
          </w:p>
        </w:tc>
        <w:tc>
          <w:tcPr>
            <w:tcW w:w="220" w:type="dxa"/>
            <w:vAlign w:val="bottom"/>
          </w:tcPr>
          <w:p>
            <w:pPr>
              <w:spacing w:after="0"/>
              <w:rPr>
                <w:sz w:val="9"/>
                <w:szCs w:val="9"/>
                <w:color w:val="auto"/>
              </w:rPr>
            </w:pPr>
          </w:p>
        </w:tc>
        <w:tc>
          <w:tcPr>
            <w:tcW w:w="1260" w:type="dxa"/>
            <w:vAlign w:val="bottom"/>
            <w:vMerge w:val="restart"/>
          </w:tcPr>
          <w:p>
            <w:pPr>
              <w:jc w:val="right"/>
              <w:ind w:right="292"/>
              <w:spacing w:after="0"/>
              <w:rPr>
                <w:sz w:val="20"/>
                <w:szCs w:val="20"/>
                <w:color w:val="auto"/>
              </w:rPr>
            </w:pPr>
            <w:r>
              <w:rPr>
                <w:rFonts w:ascii="Times New Roman" w:cs="Times New Roman" w:eastAsia="Times New Roman" w:hAnsi="Times New Roman"/>
                <w:sz w:val="9"/>
                <w:szCs w:val="9"/>
                <w:b w:val="1"/>
                <w:bCs w:val="1"/>
                <w:color w:val="auto"/>
              </w:rPr>
              <w:t>September 30, 2026</w:t>
            </w:r>
          </w:p>
        </w:tc>
        <w:tc>
          <w:tcPr>
            <w:tcW w:w="420" w:type="dxa"/>
            <w:vAlign w:val="bottom"/>
          </w:tcPr>
          <w:p>
            <w:pPr>
              <w:spacing w:after="0"/>
              <w:rPr>
                <w:sz w:val="9"/>
                <w:szCs w:val="9"/>
                <w:color w:val="auto"/>
              </w:rPr>
            </w:pPr>
          </w:p>
        </w:tc>
        <w:tc>
          <w:tcPr>
            <w:tcW w:w="1140" w:type="dxa"/>
            <w:vAlign w:val="bottom"/>
            <w:vMerge w:val="restart"/>
          </w:tcPr>
          <w:p>
            <w:pPr>
              <w:jc w:val="right"/>
              <w:ind w:right="332"/>
              <w:spacing w:after="0"/>
              <w:rPr>
                <w:sz w:val="20"/>
                <w:szCs w:val="20"/>
                <w:color w:val="auto"/>
              </w:rPr>
            </w:pPr>
            <w:r>
              <w:rPr>
                <w:rFonts w:ascii="Times New Roman" w:cs="Times New Roman" w:eastAsia="Times New Roman" w:hAnsi="Times New Roman"/>
                <w:sz w:val="9"/>
                <w:szCs w:val="9"/>
                <w:b w:val="1"/>
                <w:bCs w:val="1"/>
                <w:color w:val="auto"/>
                <w:w w:val="98"/>
              </w:rPr>
              <w:t>September 30, 2025</w:t>
            </w:r>
          </w:p>
        </w:tc>
        <w:tc>
          <w:tcPr>
            <w:tcW w:w="0" w:type="dxa"/>
            <w:vAlign w:val="bottom"/>
          </w:tcPr>
          <w:p>
            <w:pPr>
              <w:spacing w:after="0"/>
              <w:rPr>
                <w:sz w:val="1"/>
                <w:szCs w:val="1"/>
                <w:color w:val="auto"/>
              </w:rPr>
            </w:pPr>
          </w:p>
        </w:tc>
      </w:tr>
      <w:tr>
        <w:trPr>
          <w:trHeight w:val="120"/>
        </w:trPr>
        <w:tc>
          <w:tcPr>
            <w:tcW w:w="2920" w:type="dxa"/>
            <w:vAlign w:val="bottom"/>
            <w:tcBorders>
              <w:bottom w:val="single" w:sz="8" w:color="auto"/>
            </w:tcBorders>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vMerge w:val="continue"/>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8"/>
                <w:szCs w:val="8"/>
                <w:b w:val="1"/>
                <w:bCs w:val="1"/>
                <w:color w:val="auto"/>
              </w:rPr>
              <w:t>2026</w:t>
            </w:r>
          </w:p>
        </w:tc>
        <w:tc>
          <w:tcPr>
            <w:tcW w:w="28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vMerge w:val="continue"/>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Balance at Beginning of Period</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149,276</w:t>
            </w: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149,078</w:t>
            </w: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150,128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148,403</w:t>
            </w: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150,649</w:t>
            </w:r>
          </w:p>
        </w:tc>
        <w:tc>
          <w:tcPr>
            <w:tcW w:w="0" w:type="dxa"/>
            <w:vAlign w:val="bottom"/>
          </w:tcPr>
          <w:p>
            <w:pPr>
              <w:spacing w:after="0"/>
              <w:rPr>
                <w:sz w:val="1"/>
                <w:szCs w:val="1"/>
                <w:color w:val="auto"/>
              </w:rPr>
            </w:pPr>
          </w:p>
        </w:tc>
      </w:tr>
      <w:tr>
        <w:trPr>
          <w:trHeight w:val="136"/>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Loans and Leases Charged-Off</w:t>
            </w: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Commercial</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9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26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(385)</w:t>
            </w:r>
          </w:p>
        </w:tc>
        <w:tc>
          <w:tcPr>
            <w:tcW w:w="2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(783)</w:t>
            </w:r>
          </w:p>
        </w:tc>
        <w:tc>
          <w:tcPr>
            <w:tcW w:w="42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(1,776)</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Consumer</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Residential Mortgage</w:t>
            </w:r>
          </w:p>
        </w:tc>
        <w:tc>
          <w:tcPr>
            <w:tcW w:w="9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260" w:type="dxa"/>
            <w:vAlign w:val="bottom"/>
          </w:tcPr>
          <w:p>
            <w:pPr>
              <w:spacing w:after="0"/>
              <w:rPr>
                <w:sz w:val="11"/>
                <w:szCs w:val="1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Pr>
          <w:p>
            <w:pPr>
              <w:spacing w:after="0"/>
              <w:rPr>
                <w:sz w:val="11"/>
                <w:szCs w:val="1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1"/>
                <w:szCs w:val="1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w:t>
            </w:r>
          </w:p>
        </w:tc>
        <w:tc>
          <w:tcPr>
            <w:tcW w:w="42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Home Equity</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(219)</w:t>
            </w: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(478)</w:t>
            </w: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(258)</w:t>
            </w:r>
          </w:p>
        </w:tc>
        <w:tc>
          <w:tcPr>
            <w:tcW w:w="0" w:type="dxa"/>
            <w:vAlign w:val="bottom"/>
          </w:tcPr>
          <w:p>
            <w:pPr>
              <w:spacing w:after="0"/>
              <w:rPr>
                <w:sz w:val="1"/>
                <w:szCs w:val="1"/>
                <w:color w:val="auto"/>
              </w:rPr>
            </w:pPr>
          </w:p>
        </w:tc>
      </w:tr>
      <w:tr>
        <w:trPr>
          <w:trHeight w:val="136"/>
        </w:trPr>
        <w:tc>
          <w:tcPr>
            <w:tcW w:w="2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Automobile</w:t>
            </w:r>
          </w:p>
        </w:tc>
        <w:tc>
          <w:tcPr>
            <w:tcW w:w="9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(1,799)</w:t>
            </w:r>
          </w:p>
        </w:tc>
        <w:tc>
          <w:tcPr>
            <w:tcW w:w="260" w:type="dxa"/>
            <w:vAlign w:val="bottom"/>
          </w:tcPr>
          <w:p>
            <w:pPr>
              <w:spacing w:after="0"/>
              <w:rPr>
                <w:sz w:val="11"/>
                <w:szCs w:val="1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(1,735)</w:t>
            </w:r>
          </w:p>
        </w:tc>
        <w:tc>
          <w:tcPr>
            <w:tcW w:w="2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(1,368)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(4,951)</w:t>
            </w:r>
          </w:p>
        </w:tc>
        <w:tc>
          <w:tcPr>
            <w:tcW w:w="42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(4,372)</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Other</w:t>
            </w:r>
          </w:p>
        </w:tc>
        <w:tc>
          <w:tcPr>
            <w:tcW w:w="9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(2,477)</w:t>
            </w:r>
          </w:p>
        </w:tc>
        <w:tc>
          <w:tcPr>
            <w:tcW w:w="2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(2,400)</w:t>
            </w: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(2,392)</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(7,271)</w:t>
            </w:r>
          </w:p>
        </w:tc>
        <w:tc>
          <w:tcPr>
            <w:tcW w:w="4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(7,273)</w:t>
            </w:r>
          </w:p>
        </w:tc>
        <w:tc>
          <w:tcPr>
            <w:tcW w:w="0" w:type="dxa"/>
            <w:vAlign w:val="bottom"/>
          </w:tcPr>
          <w:p>
            <w:pPr>
              <w:spacing w:after="0"/>
              <w:rPr>
                <w:sz w:val="1"/>
                <w:szCs w:val="1"/>
                <w:color w:val="auto"/>
              </w:rPr>
            </w:pPr>
          </w:p>
        </w:tc>
      </w:tr>
      <w:tr>
        <w:trPr>
          <w:trHeight w:val="125"/>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Loans and Leases Charged-Off</w:t>
            </w:r>
          </w:p>
        </w:tc>
        <w:tc>
          <w:tcPr>
            <w:tcW w:w="9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(4,713)</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(4,739)</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(3,959)</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(13,514)</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(13,679)</w:t>
            </w:r>
          </w:p>
        </w:tc>
        <w:tc>
          <w:tcPr>
            <w:tcW w:w="0" w:type="dxa"/>
            <w:vAlign w:val="bottom"/>
          </w:tcPr>
          <w:p>
            <w:pPr>
              <w:spacing w:after="0"/>
              <w:rPr>
                <w:sz w:val="1"/>
                <w:szCs w:val="1"/>
                <w:color w:val="auto"/>
              </w:rPr>
            </w:pPr>
          </w:p>
        </w:tc>
      </w:tr>
      <w:tr>
        <w:trPr>
          <w:trHeight w:val="26"/>
        </w:trPr>
        <w:tc>
          <w:tcPr>
            <w:tcW w:w="2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Recoveries on Loans and Leases Previously Charged-Off</w:t>
            </w:r>
          </w:p>
        </w:tc>
        <w:tc>
          <w:tcPr>
            <w:tcW w:w="9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Commercial</w:t>
            </w: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Commercial Mortgage</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1,617</w:t>
            </w: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36"/>
        </w:trPr>
        <w:tc>
          <w:tcPr>
            <w:tcW w:w="2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Commercial and Industrial</w:t>
            </w:r>
          </w:p>
        </w:tc>
        <w:tc>
          <w:tcPr>
            <w:tcW w:w="920" w:type="dxa"/>
            <w:vAlign w:val="bottom"/>
          </w:tcPr>
          <w:p>
            <w:pPr>
              <w:spacing w:after="0"/>
              <w:rPr>
                <w:sz w:val="11"/>
                <w:szCs w:val="1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w:t>
            </w:r>
          </w:p>
        </w:tc>
        <w:tc>
          <w:tcPr>
            <w:tcW w:w="260" w:type="dxa"/>
            <w:vAlign w:val="bottom"/>
          </w:tcPr>
          <w:p>
            <w:pPr>
              <w:spacing w:after="0"/>
              <w:rPr>
                <w:sz w:val="11"/>
                <w:szCs w:val="1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72</w:t>
            </w:r>
          </w:p>
        </w:tc>
        <w:tc>
          <w:tcPr>
            <w:tcW w:w="2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98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166</w:t>
            </w:r>
          </w:p>
        </w:tc>
        <w:tc>
          <w:tcPr>
            <w:tcW w:w="42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253</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Consumer</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Residential Mortgage</w:t>
            </w:r>
          </w:p>
        </w:tc>
        <w:tc>
          <w:tcPr>
            <w:tcW w:w="920" w:type="dxa"/>
            <w:vAlign w:val="bottom"/>
          </w:tcPr>
          <w:p>
            <w:pPr>
              <w:spacing w:after="0"/>
              <w:rPr>
                <w:sz w:val="11"/>
                <w:szCs w:val="1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w:t>
            </w:r>
          </w:p>
        </w:tc>
        <w:tc>
          <w:tcPr>
            <w:tcW w:w="260" w:type="dxa"/>
            <w:vAlign w:val="bottom"/>
          </w:tcPr>
          <w:p>
            <w:pPr>
              <w:spacing w:after="0"/>
              <w:rPr>
                <w:sz w:val="11"/>
                <w:szCs w:val="1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22</w:t>
            </w:r>
          </w:p>
        </w:tc>
        <w:tc>
          <w:tcPr>
            <w:tcW w:w="2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41</w:t>
            </w:r>
          </w:p>
        </w:tc>
        <w:tc>
          <w:tcPr>
            <w:tcW w:w="42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80</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Home Equity</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58</w:t>
            </w: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77</w:t>
            </w: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177</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272</w:t>
            </w: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485</w:t>
            </w:r>
          </w:p>
        </w:tc>
        <w:tc>
          <w:tcPr>
            <w:tcW w:w="0" w:type="dxa"/>
            <w:vAlign w:val="bottom"/>
          </w:tcPr>
          <w:p>
            <w:pPr>
              <w:spacing w:after="0"/>
              <w:rPr>
                <w:sz w:val="1"/>
                <w:szCs w:val="1"/>
                <w:color w:val="auto"/>
              </w:rPr>
            </w:pPr>
          </w:p>
        </w:tc>
      </w:tr>
      <w:tr>
        <w:trPr>
          <w:trHeight w:val="136"/>
        </w:trPr>
        <w:tc>
          <w:tcPr>
            <w:tcW w:w="2920" w:type="dxa"/>
            <w:vAlign w:val="bottom"/>
          </w:tcPr>
          <w:p>
            <w:pPr>
              <w:ind w:left="360"/>
              <w:spacing w:after="0"/>
              <w:rPr>
                <w:sz w:val="20"/>
                <w:szCs w:val="20"/>
                <w:color w:val="auto"/>
              </w:rPr>
            </w:pPr>
            <w:r>
              <w:rPr>
                <w:rFonts w:ascii="Times New Roman" w:cs="Times New Roman" w:eastAsia="Times New Roman" w:hAnsi="Times New Roman"/>
                <w:sz w:val="10"/>
                <w:szCs w:val="10"/>
                <w:color w:val="auto"/>
              </w:rPr>
              <w:t>Automobile</w:t>
            </w:r>
          </w:p>
        </w:tc>
        <w:tc>
          <w:tcPr>
            <w:tcW w:w="920" w:type="dxa"/>
            <w:vAlign w:val="bottom"/>
          </w:tcPr>
          <w:p>
            <w:pPr>
              <w:spacing w:after="0"/>
              <w:rPr>
                <w:sz w:val="11"/>
                <w:szCs w:val="1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754</w:t>
            </w:r>
          </w:p>
        </w:tc>
        <w:tc>
          <w:tcPr>
            <w:tcW w:w="260" w:type="dxa"/>
            <w:vAlign w:val="bottom"/>
          </w:tcPr>
          <w:p>
            <w:pPr>
              <w:spacing w:after="0"/>
              <w:rPr>
                <w:sz w:val="11"/>
                <w:szCs w:val="1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626</w:t>
            </w:r>
          </w:p>
        </w:tc>
        <w:tc>
          <w:tcPr>
            <w:tcW w:w="28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1,959</w:t>
            </w:r>
          </w:p>
        </w:tc>
        <w:tc>
          <w:tcPr>
            <w:tcW w:w="420" w:type="dxa"/>
            <w:vAlign w:val="bottom"/>
          </w:tcPr>
          <w:p>
            <w:pPr>
              <w:spacing w:after="0"/>
              <w:rPr>
                <w:sz w:val="11"/>
                <w:szCs w:val="11"/>
                <w:color w:val="auto"/>
              </w:rPr>
            </w:pP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1,749</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0"/>
                <w:szCs w:val="10"/>
                <w:color w:val="auto"/>
              </w:rPr>
              <w:t>Other</w:t>
            </w:r>
          </w:p>
        </w:tc>
        <w:tc>
          <w:tcPr>
            <w:tcW w:w="9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538</w:t>
            </w:r>
          </w:p>
        </w:tc>
        <w:tc>
          <w:tcPr>
            <w:tcW w:w="2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540</w:t>
            </w: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490</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1,668</w:t>
            </w:r>
          </w:p>
        </w:tc>
        <w:tc>
          <w:tcPr>
            <w:tcW w:w="4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1,514</w:t>
            </w:r>
          </w:p>
        </w:tc>
        <w:tc>
          <w:tcPr>
            <w:tcW w:w="0" w:type="dxa"/>
            <w:vAlign w:val="bottom"/>
          </w:tcPr>
          <w:p>
            <w:pPr>
              <w:spacing w:after="0"/>
              <w:rPr>
                <w:sz w:val="1"/>
                <w:szCs w:val="1"/>
                <w:color w:val="auto"/>
              </w:rPr>
            </w:pPr>
          </w:p>
        </w:tc>
      </w:tr>
      <w:tr>
        <w:trPr>
          <w:trHeight w:val="125"/>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Recoveries on Loans and Leases</w:t>
            </w:r>
          </w:p>
        </w:tc>
        <w:tc>
          <w:tcPr>
            <w:tcW w:w="9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1,399</w:t>
            </w: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color w:val="auto"/>
              </w:rPr>
              <w:t>1,337</w:t>
            </w:r>
          </w:p>
        </w:tc>
        <w:tc>
          <w:tcPr>
            <w:tcW w:w="28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1,382</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5,723</w:t>
            </w:r>
          </w:p>
        </w:tc>
        <w:tc>
          <w:tcPr>
            <w:tcW w:w="4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4,081</w:t>
            </w:r>
          </w:p>
        </w:tc>
        <w:tc>
          <w:tcPr>
            <w:tcW w:w="0" w:type="dxa"/>
            <w:vAlign w:val="bottom"/>
          </w:tcPr>
          <w:p>
            <w:pPr>
              <w:spacing w:after="0"/>
              <w:rPr>
                <w:sz w:val="1"/>
                <w:szCs w:val="1"/>
                <w:color w:val="auto"/>
              </w:rPr>
            </w:pPr>
          </w:p>
        </w:tc>
      </w:tr>
      <w:tr>
        <w:trPr>
          <w:trHeight w:val="26"/>
        </w:trPr>
        <w:tc>
          <w:tcPr>
            <w:tcW w:w="2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Charged-Off - Loans and Leases</w:t>
            </w:r>
          </w:p>
        </w:tc>
        <w:tc>
          <w:tcPr>
            <w:tcW w:w="920" w:type="dxa"/>
            <w:vAlign w:val="bottom"/>
            <w:tcBorders>
              <w:bottom w:val="single" w:sz="8" w:color="CCEEFF"/>
            </w:tcBorders>
            <w:shd w:val="clear" w:color="auto" w:fill="CCEEFF"/>
          </w:tcPr>
          <w:p>
            <w:pPr>
              <w:spacing w:after="0"/>
              <w:rPr>
                <w:sz w:val="11"/>
                <w:szCs w:val="1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(3,314)</w:t>
            </w:r>
          </w:p>
        </w:tc>
        <w:tc>
          <w:tcPr>
            <w:tcW w:w="26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(3,402)</w:t>
            </w:r>
          </w:p>
        </w:tc>
        <w:tc>
          <w:tcPr>
            <w:tcW w:w="280" w:type="dxa"/>
            <w:vAlign w:val="bottom"/>
            <w:tcBorders>
              <w:bottom w:val="single" w:sz="8" w:color="CCEEFF"/>
            </w:tcBorders>
            <w:shd w:val="clear" w:color="auto" w:fill="CCEEFF"/>
          </w:tcPr>
          <w:p>
            <w:pPr>
              <w:spacing w:after="0"/>
              <w:rPr>
                <w:sz w:val="11"/>
                <w:szCs w:val="11"/>
                <w:color w:val="auto"/>
              </w:rPr>
            </w:pPr>
          </w:p>
        </w:tc>
        <w:tc>
          <w:tcPr>
            <w:tcW w:w="130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(2,577)</w:t>
            </w:r>
          </w:p>
        </w:tc>
        <w:tc>
          <w:tcPr>
            <w:tcW w:w="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(7,791)</w:t>
            </w:r>
          </w:p>
        </w:tc>
        <w:tc>
          <w:tcPr>
            <w:tcW w:w="420" w:type="dxa"/>
            <w:vAlign w:val="bottom"/>
            <w:tcBorders>
              <w:bottom w:val="single" w:sz="8" w:color="CCEEFF"/>
            </w:tcBorders>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(9,598)</w:t>
            </w:r>
          </w:p>
        </w:tc>
        <w:tc>
          <w:tcPr>
            <w:tcW w:w="0" w:type="dxa"/>
            <w:vAlign w:val="bottom"/>
          </w:tcPr>
          <w:p>
            <w:pPr>
              <w:spacing w:after="0"/>
              <w:rPr>
                <w:sz w:val="1"/>
                <w:szCs w:val="1"/>
                <w:color w:val="auto"/>
              </w:rPr>
            </w:pPr>
          </w:p>
        </w:tc>
      </w:tr>
      <w:tr>
        <w:trPr>
          <w:trHeight w:val="136"/>
        </w:trPr>
        <w:tc>
          <w:tcPr>
            <w:tcW w:w="2920" w:type="dxa"/>
            <w:vAlign w:val="bottom"/>
          </w:tcPr>
          <w:p>
            <w:pPr>
              <w:spacing w:after="0"/>
              <w:rPr>
                <w:sz w:val="20"/>
                <w:szCs w:val="20"/>
                <w:color w:val="auto"/>
              </w:rPr>
            </w:pPr>
            <w:r>
              <w:rPr>
                <w:rFonts w:ascii="Times New Roman" w:cs="Times New Roman" w:eastAsia="Times New Roman" w:hAnsi="Times New Roman"/>
                <w:sz w:val="10"/>
                <w:szCs w:val="10"/>
                <w:color w:val="auto"/>
              </w:rPr>
              <w:t>Provision for Credit Losses:</w:t>
            </w: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Loans and Leases</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2,489</w:t>
            </w: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3,435</w:t>
            </w: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2,812</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7,195</w:t>
            </w: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9,848</w:t>
            </w:r>
          </w:p>
        </w:tc>
        <w:tc>
          <w:tcPr>
            <w:tcW w:w="0" w:type="dxa"/>
            <w:vAlign w:val="bottom"/>
          </w:tcPr>
          <w:p>
            <w:pPr>
              <w:spacing w:after="0"/>
              <w:rPr>
                <w:sz w:val="1"/>
                <w:szCs w:val="1"/>
                <w:color w:val="auto"/>
              </w:rPr>
            </w:pPr>
          </w:p>
        </w:tc>
      </w:tr>
      <w:tr>
        <w:trPr>
          <w:trHeight w:val="136"/>
        </w:trPr>
        <w:tc>
          <w:tcPr>
            <w:tcW w:w="29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Unfunded Commitments</w:t>
            </w:r>
          </w:p>
        </w:tc>
        <w:tc>
          <w:tcPr>
            <w:tcW w:w="920" w:type="dxa"/>
            <w:vAlign w:val="bottom"/>
          </w:tcPr>
          <w:p>
            <w:pPr>
              <w:spacing w:after="0"/>
              <w:rPr>
                <w:sz w:val="11"/>
                <w:szCs w:val="1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261</w:t>
            </w:r>
          </w:p>
        </w:tc>
        <w:tc>
          <w:tcPr>
            <w:tcW w:w="260" w:type="dxa"/>
            <w:vAlign w:val="bottom"/>
          </w:tcPr>
          <w:p>
            <w:pPr>
              <w:spacing w:after="0"/>
              <w:rPr>
                <w:sz w:val="11"/>
                <w:szCs w:val="11"/>
                <w:color w:val="auto"/>
              </w:rPr>
            </w:pP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165</w:t>
            </w:r>
          </w:p>
        </w:tc>
        <w:tc>
          <w:tcPr>
            <w:tcW w:w="280" w:type="dxa"/>
            <w:vAlign w:val="bottom"/>
          </w:tcPr>
          <w:p>
            <w:pPr>
              <w:spacing w:after="0"/>
              <w:rPr>
                <w:sz w:val="11"/>
                <w:szCs w:val="11"/>
                <w:color w:val="auto"/>
              </w:rPr>
            </w:pPr>
          </w:p>
        </w:tc>
        <w:tc>
          <w:tcPr>
            <w:tcW w:w="13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(312)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905</w:t>
            </w:r>
          </w:p>
        </w:tc>
        <w:tc>
          <w:tcPr>
            <w:tcW w:w="420" w:type="dxa"/>
            <w:vAlign w:val="bottom"/>
          </w:tcPr>
          <w:p>
            <w:pPr>
              <w:spacing w:after="0"/>
              <w:rPr>
                <w:sz w:val="11"/>
                <w:szCs w:val="11"/>
                <w:color w:val="auto"/>
              </w:rPr>
            </w:pPr>
          </w:p>
        </w:tc>
        <w:tc>
          <w:tcPr>
            <w:tcW w:w="11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(848)</w:t>
            </w:r>
          </w:p>
        </w:tc>
        <w:tc>
          <w:tcPr>
            <w:tcW w:w="0" w:type="dxa"/>
            <w:vAlign w:val="bottom"/>
          </w:tcPr>
          <w:p>
            <w:pPr>
              <w:spacing w:after="0"/>
              <w:rPr>
                <w:sz w:val="1"/>
                <w:szCs w:val="1"/>
                <w:color w:val="auto"/>
              </w:rPr>
            </w:pPr>
          </w:p>
        </w:tc>
      </w:tr>
      <w:tr>
        <w:trPr>
          <w:trHeight w:val="26"/>
        </w:trPr>
        <w:tc>
          <w:tcPr>
            <w:tcW w:w="2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Total Provision for Credit Losses</w:t>
            </w:r>
          </w:p>
        </w:tc>
        <w:tc>
          <w:tcPr>
            <w:tcW w:w="9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2,750</w:t>
            </w:r>
          </w:p>
        </w:tc>
        <w:tc>
          <w:tcPr>
            <w:tcW w:w="26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3,600</w:t>
            </w:r>
          </w:p>
        </w:tc>
        <w:tc>
          <w:tcPr>
            <w:tcW w:w="2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2,500</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8,100</w:t>
            </w:r>
          </w:p>
        </w:tc>
        <w:tc>
          <w:tcPr>
            <w:tcW w:w="42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9,000</w:t>
            </w:r>
          </w:p>
        </w:tc>
        <w:tc>
          <w:tcPr>
            <w:tcW w:w="0" w:type="dxa"/>
            <w:vAlign w:val="bottom"/>
          </w:tcPr>
          <w:p>
            <w:pPr>
              <w:spacing w:after="0"/>
              <w:rPr>
                <w:sz w:val="1"/>
                <w:szCs w:val="1"/>
                <w:color w:val="auto"/>
              </w:rPr>
            </w:pPr>
          </w:p>
        </w:tc>
      </w:tr>
      <w:tr>
        <w:trPr>
          <w:trHeight w:val="125"/>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Balance at End of Period</w:t>
            </w:r>
          </w:p>
        </w:tc>
        <w:tc>
          <w:tcPr>
            <w:tcW w:w="9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148,712</w:t>
            </w:r>
          </w:p>
        </w:tc>
        <w:tc>
          <w:tcPr>
            <w:tcW w:w="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color w:val="auto"/>
              </w:rPr>
              <w:t>149,276</w:t>
            </w:r>
          </w:p>
        </w:tc>
        <w:tc>
          <w:tcPr>
            <w:tcW w:w="2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150,051</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148,712</w:t>
            </w:r>
          </w:p>
        </w:tc>
        <w:tc>
          <w:tcPr>
            <w:tcW w:w="4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150,051</w:t>
            </w:r>
          </w:p>
        </w:tc>
        <w:tc>
          <w:tcPr>
            <w:tcW w:w="0" w:type="dxa"/>
            <w:vAlign w:val="bottom"/>
          </w:tcPr>
          <w:p>
            <w:pPr>
              <w:spacing w:after="0"/>
              <w:rPr>
                <w:sz w:val="1"/>
                <w:szCs w:val="1"/>
                <w:color w:val="auto"/>
              </w:rPr>
            </w:pPr>
          </w:p>
        </w:tc>
      </w:tr>
      <w:tr>
        <w:trPr>
          <w:trHeight w:val="42"/>
        </w:trPr>
        <w:tc>
          <w:tcPr>
            <w:tcW w:w="2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Components</w:t>
            </w:r>
          </w:p>
        </w:tc>
        <w:tc>
          <w:tcPr>
            <w:tcW w:w="9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2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Allowance for Credit Losses - Loans and Leases</w:t>
            </w:r>
          </w:p>
        </w:tc>
        <w:tc>
          <w:tcPr>
            <w:tcW w:w="9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146,170</w:t>
            </w: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146,995</w:t>
            </w:r>
          </w:p>
        </w:tc>
        <w:tc>
          <w:tcPr>
            <w:tcW w:w="2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148,778</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146,170</w:t>
            </w:r>
          </w:p>
        </w:tc>
        <w:tc>
          <w:tcPr>
            <w:tcW w:w="42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148,778</w:t>
            </w:r>
          </w:p>
        </w:tc>
        <w:tc>
          <w:tcPr>
            <w:tcW w:w="0" w:type="dxa"/>
            <w:vAlign w:val="bottom"/>
          </w:tcPr>
          <w:p>
            <w:pPr>
              <w:spacing w:after="0"/>
              <w:rPr>
                <w:sz w:val="1"/>
                <w:szCs w:val="1"/>
                <w:color w:val="auto"/>
              </w:rPr>
            </w:pPr>
          </w:p>
        </w:tc>
      </w:tr>
      <w:tr>
        <w:trPr>
          <w:trHeight w:val="26"/>
        </w:trPr>
        <w:tc>
          <w:tcPr>
            <w:tcW w:w="2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Reserve for Unfunded Commitments</w:t>
            </w:r>
          </w:p>
        </w:tc>
        <w:tc>
          <w:tcPr>
            <w:tcW w:w="92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2,542</w:t>
            </w:r>
          </w:p>
        </w:tc>
        <w:tc>
          <w:tcPr>
            <w:tcW w:w="2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2,281</w:t>
            </w:r>
          </w:p>
        </w:tc>
        <w:tc>
          <w:tcPr>
            <w:tcW w:w="28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1,273</w:t>
            </w: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2,542</w:t>
            </w:r>
          </w:p>
        </w:tc>
        <w:tc>
          <w:tcPr>
            <w:tcW w:w="4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1,273</w:t>
            </w:r>
          </w:p>
        </w:tc>
        <w:tc>
          <w:tcPr>
            <w:tcW w:w="0" w:type="dxa"/>
            <w:vAlign w:val="bottom"/>
          </w:tcPr>
          <w:p>
            <w:pPr>
              <w:spacing w:after="0"/>
              <w:rPr>
                <w:sz w:val="1"/>
                <w:szCs w:val="1"/>
                <w:color w:val="auto"/>
              </w:rPr>
            </w:pPr>
          </w:p>
        </w:tc>
      </w:tr>
      <w:tr>
        <w:trPr>
          <w:trHeight w:val="125"/>
        </w:trPr>
        <w:tc>
          <w:tcPr>
            <w:tcW w:w="2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Total Reserve for Credit Losses</w:t>
            </w:r>
          </w:p>
        </w:tc>
        <w:tc>
          <w:tcPr>
            <w:tcW w:w="9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148,712</w:t>
            </w:r>
          </w:p>
        </w:tc>
        <w:tc>
          <w:tcPr>
            <w:tcW w:w="26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0"/>
                <w:szCs w:val="10"/>
                <w:color w:val="auto"/>
              </w:rPr>
              <w:t>149,276</w:t>
            </w:r>
          </w:p>
        </w:tc>
        <w:tc>
          <w:tcPr>
            <w:tcW w:w="28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150,051</w:t>
            </w:r>
          </w:p>
        </w:tc>
        <w:tc>
          <w:tcPr>
            <w:tcW w:w="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148,712</w:t>
            </w:r>
          </w:p>
        </w:tc>
        <w:tc>
          <w:tcPr>
            <w:tcW w:w="42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150,051</w:t>
            </w:r>
          </w:p>
        </w:tc>
        <w:tc>
          <w:tcPr>
            <w:tcW w:w="0" w:type="dxa"/>
            <w:vAlign w:val="bottom"/>
          </w:tcPr>
          <w:p>
            <w:pPr>
              <w:spacing w:after="0"/>
              <w:rPr>
                <w:sz w:val="1"/>
                <w:szCs w:val="1"/>
                <w:color w:val="auto"/>
              </w:rPr>
            </w:pPr>
          </w:p>
        </w:tc>
      </w:tr>
      <w:tr>
        <w:trPr>
          <w:trHeight w:val="42"/>
        </w:trPr>
        <w:tc>
          <w:tcPr>
            <w:tcW w:w="29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Average Loans and Leases Outstanding</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14,305,379</w:t>
            </w:r>
          </w:p>
        </w:tc>
        <w:tc>
          <w:tcPr>
            <w:tcW w:w="26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14,218,951</w:t>
            </w:r>
          </w:p>
        </w:tc>
        <w:tc>
          <w:tcPr>
            <w:tcW w:w="28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13,982,003</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14,203,547</w:t>
            </w:r>
          </w:p>
        </w:tc>
        <w:tc>
          <w:tcPr>
            <w:tcW w:w="420" w:type="dxa"/>
            <w:vAlign w:val="bottom"/>
            <w:tcBorders>
              <w:bottom w:val="single" w:sz="8" w:color="CCEEFF"/>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14,030,773</w:t>
            </w:r>
          </w:p>
        </w:tc>
        <w:tc>
          <w:tcPr>
            <w:tcW w:w="0" w:type="dxa"/>
            <w:vAlign w:val="bottom"/>
          </w:tcPr>
          <w:p>
            <w:pPr>
              <w:spacing w:after="0"/>
              <w:rPr>
                <w:sz w:val="1"/>
                <w:szCs w:val="1"/>
                <w:color w:val="auto"/>
              </w:rPr>
            </w:pPr>
          </w:p>
        </w:tc>
      </w:tr>
      <w:tr>
        <w:trPr>
          <w:trHeight w:val="36"/>
        </w:trPr>
        <w:tc>
          <w:tcPr>
            <w:tcW w:w="292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12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1300" w:type="dxa"/>
            <w:vAlign w:val="bottom"/>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126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1140" w:type="dxa"/>
            <w:vAlign w:val="bottom"/>
            <w:shd w:val="clear" w:color="auto" w:fill="000000"/>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308"/>
          </w:cols>
          <w:pgMar w:left="292" w:top="1093" w:right="299" w:bottom="1440" w:gutter="0" w:footer="0" w:header="0"/>
        </w:sectPr>
      </w:pPr>
    </w:p>
    <w:p>
      <w:pPr>
        <w:ind w:left="8" w:right="780"/>
        <w:spacing w:after="0" w:line="243" w:lineRule="auto"/>
        <w:rPr>
          <w:sz w:val="20"/>
          <w:szCs w:val="20"/>
          <w:color w:val="auto"/>
        </w:rPr>
      </w:pPr>
      <w:r>
        <w:rPr>
          <w:rFonts w:ascii="Times New Roman" w:cs="Times New Roman" w:eastAsia="Times New Roman" w:hAnsi="Times New Roman"/>
          <w:sz w:val="10"/>
          <w:szCs w:val="10"/>
          <w:color w:val="auto"/>
        </w:rPr>
        <w:t>Ratio of Net Loans and Leases Charged-Off to Average Loans and Leases Outstanding (annualized)</w:t>
      </w:r>
    </w:p>
    <w:p>
      <w:pPr>
        <w:spacing w:after="0" w:line="4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 xml:space="preserve">Ratio of Allowance for Credit Losses to Loans and Leases Outstanding </w:t>
      </w:r>
      <w:r>
        <w:rPr>
          <w:rFonts w:ascii="Times New Roman" w:cs="Times New Roman" w:eastAsia="Times New Roman" w:hAnsi="Times New Roman"/>
          <w:sz w:val="12"/>
          <w:szCs w:val="12"/>
          <w:color w:val="auto"/>
          <w:vertAlign w:val="superscript"/>
        </w:rPr>
        <w:t>1</w:t>
      </w:r>
    </w:p>
    <w:p>
      <w:pPr>
        <w:spacing w:after="0" w:line="76" w:lineRule="exact"/>
        <w:rPr>
          <w:sz w:val="20"/>
          <w:szCs w:val="20"/>
          <w:color w:val="auto"/>
        </w:rPr>
      </w:pPr>
    </w:p>
    <w:p>
      <w:pPr>
        <w:ind w:left="48" w:hanging="48"/>
        <w:spacing w:after="0"/>
        <w:tabs>
          <w:tab w:leader="none" w:pos="48" w:val="left"/>
        </w:tabs>
        <w:numPr>
          <w:ilvl w:val="0"/>
          <w:numId w:val="9"/>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The numerator comprises the Allowance for Credit Losses - Loans and Leases.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900" w:type="dxa"/>
            <w:vAlign w:val="bottom"/>
          </w:tcPr>
          <w:p>
            <w:pPr>
              <w:jc w:val="right"/>
              <w:ind w:right="572"/>
              <w:spacing w:after="0"/>
              <w:rPr>
                <w:sz w:val="20"/>
                <w:szCs w:val="20"/>
                <w:color w:val="auto"/>
              </w:rPr>
            </w:pPr>
            <w:r>
              <w:rPr>
                <w:rFonts w:ascii="Times New Roman" w:cs="Times New Roman" w:eastAsia="Times New Roman" w:hAnsi="Times New Roman"/>
                <w:sz w:val="10"/>
                <w:szCs w:val="10"/>
                <w:color w:val="auto"/>
                <w:w w:val="91"/>
              </w:rPr>
              <w:t>0.09 %</w:t>
            </w:r>
          </w:p>
        </w:tc>
        <w:tc>
          <w:tcPr>
            <w:tcW w:w="1520" w:type="dxa"/>
            <w:vAlign w:val="bottom"/>
          </w:tcPr>
          <w:p>
            <w:pPr>
              <w:jc w:val="right"/>
              <w:ind w:right="572"/>
              <w:spacing w:after="0"/>
              <w:rPr>
                <w:sz w:val="20"/>
                <w:szCs w:val="20"/>
                <w:color w:val="auto"/>
              </w:rPr>
            </w:pPr>
            <w:r>
              <w:rPr>
                <w:rFonts w:ascii="Times New Roman" w:cs="Times New Roman" w:eastAsia="Times New Roman" w:hAnsi="Times New Roman"/>
                <w:sz w:val="10"/>
                <w:szCs w:val="10"/>
                <w:color w:val="auto"/>
              </w:rPr>
              <w:t>0.10 %</w:t>
            </w:r>
          </w:p>
        </w:tc>
        <w:tc>
          <w:tcPr>
            <w:tcW w:w="1560" w:type="dxa"/>
            <w:vAlign w:val="bottom"/>
          </w:tcPr>
          <w:p>
            <w:pPr>
              <w:jc w:val="right"/>
              <w:ind w:right="612"/>
              <w:spacing w:after="0"/>
              <w:rPr>
                <w:sz w:val="20"/>
                <w:szCs w:val="20"/>
                <w:color w:val="auto"/>
              </w:rPr>
            </w:pPr>
            <w:r>
              <w:rPr>
                <w:rFonts w:ascii="Times New Roman" w:cs="Times New Roman" w:eastAsia="Times New Roman" w:hAnsi="Times New Roman"/>
                <w:sz w:val="10"/>
                <w:szCs w:val="10"/>
                <w:color w:val="auto"/>
              </w:rPr>
              <w:t>0.07 %</w:t>
            </w: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0"/>
                <w:szCs w:val="10"/>
                <w:color w:val="auto"/>
              </w:rPr>
              <w:t>0.07 %</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0.09 %</w:t>
            </w:r>
          </w:p>
        </w:tc>
      </w:tr>
      <w:tr>
        <w:trPr>
          <w:trHeight w:val="162"/>
        </w:trPr>
        <w:tc>
          <w:tcPr>
            <w:tcW w:w="900" w:type="dxa"/>
            <w:vAlign w:val="bottom"/>
          </w:tcPr>
          <w:p>
            <w:pPr>
              <w:jc w:val="right"/>
              <w:ind w:right="572"/>
              <w:spacing w:after="0"/>
              <w:rPr>
                <w:sz w:val="20"/>
                <w:szCs w:val="20"/>
                <w:color w:val="auto"/>
              </w:rPr>
            </w:pPr>
            <w:r>
              <w:rPr>
                <w:rFonts w:ascii="Times New Roman" w:cs="Times New Roman" w:eastAsia="Times New Roman" w:hAnsi="Times New Roman"/>
                <w:sz w:val="10"/>
                <w:szCs w:val="10"/>
                <w:color w:val="auto"/>
                <w:w w:val="91"/>
              </w:rPr>
              <w:t>1.02 %</w:t>
            </w:r>
          </w:p>
        </w:tc>
        <w:tc>
          <w:tcPr>
            <w:tcW w:w="1520" w:type="dxa"/>
            <w:vAlign w:val="bottom"/>
          </w:tcPr>
          <w:p>
            <w:pPr>
              <w:jc w:val="right"/>
              <w:ind w:right="572"/>
              <w:spacing w:after="0"/>
              <w:rPr>
                <w:sz w:val="20"/>
                <w:szCs w:val="20"/>
                <w:color w:val="auto"/>
              </w:rPr>
            </w:pPr>
            <w:r>
              <w:rPr>
                <w:rFonts w:ascii="Times New Roman" w:cs="Times New Roman" w:eastAsia="Times New Roman" w:hAnsi="Times New Roman"/>
                <w:sz w:val="10"/>
                <w:szCs w:val="10"/>
                <w:color w:val="auto"/>
              </w:rPr>
              <w:t>1.03 %</w:t>
            </w:r>
          </w:p>
        </w:tc>
        <w:tc>
          <w:tcPr>
            <w:tcW w:w="1560" w:type="dxa"/>
            <w:vAlign w:val="bottom"/>
          </w:tcPr>
          <w:p>
            <w:pPr>
              <w:jc w:val="right"/>
              <w:ind w:right="612"/>
              <w:spacing w:after="0"/>
              <w:rPr>
                <w:sz w:val="20"/>
                <w:szCs w:val="20"/>
                <w:color w:val="auto"/>
              </w:rPr>
            </w:pPr>
            <w:r>
              <w:rPr>
                <w:rFonts w:ascii="Times New Roman" w:cs="Times New Roman" w:eastAsia="Times New Roman" w:hAnsi="Times New Roman"/>
                <w:sz w:val="10"/>
                <w:szCs w:val="10"/>
                <w:color w:val="auto"/>
              </w:rPr>
              <w:t>1.06 %</w:t>
            </w:r>
          </w:p>
        </w:tc>
        <w:tc>
          <w:tcPr>
            <w:tcW w:w="1560" w:type="dxa"/>
            <w:vAlign w:val="bottom"/>
          </w:tcPr>
          <w:p>
            <w:pPr>
              <w:jc w:val="right"/>
              <w:ind w:right="572"/>
              <w:spacing w:after="0"/>
              <w:rPr>
                <w:sz w:val="20"/>
                <w:szCs w:val="20"/>
                <w:color w:val="auto"/>
              </w:rPr>
            </w:pPr>
            <w:r>
              <w:rPr>
                <w:rFonts w:ascii="Times New Roman" w:cs="Times New Roman" w:eastAsia="Times New Roman" w:hAnsi="Times New Roman"/>
                <w:sz w:val="10"/>
                <w:szCs w:val="10"/>
                <w:color w:val="auto"/>
              </w:rPr>
              <w:t>1.02 %</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-3077845</wp:posOffset>
            </wp:positionH>
            <wp:positionV relativeFrom="paragraph">
              <wp:posOffset>-85725</wp:posOffset>
            </wp:positionV>
            <wp:extent cx="717804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4128" w:space="720"/>
            <w:col w:w="6460"/>
          </w:cols>
          <w:pgMar w:left="292" w:top="1093" w:right="299" w:bottom="1440" w:gutter="0" w:footer="0" w:header="0"/>
          <w:type w:val="continuous"/>
        </w:sectPr>
      </w:pPr>
    </w:p>
    <w:p>
      <w:pPr>
        <w:spacing w:after="0" w:line="19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8"/>
          </w:cols>
          <w:pgMar w:left="292" w:top="1093" w:right="299" w:bottom="1440" w:gutter="0" w:footer="0" w:header="0"/>
          <w:type w:val="continuous"/>
        </w:sectPr>
      </w:pPr>
    </w:p>
    <w:bookmarkStart w:id="16" w:name="page17"/>
    <w:bookmarkEnd w:id="16"/>
    <w:p>
      <w:pPr>
        <w:ind w:left="8"/>
        <w:spacing w:after="0"/>
        <w:rPr>
          <w:sz w:val="20"/>
          <w:szCs w:val="20"/>
          <w:color w:val="auto"/>
        </w:rPr>
      </w:pPr>
      <w:r>
        <w:rPr>
          <w:rFonts w:ascii="Times New Roman" w:cs="Times New Roman" w:eastAsia="Times New Roman" w:hAnsi="Times New Roman"/>
          <w:sz w:val="17"/>
          <w:szCs w:val="17"/>
          <w:b w:val="1"/>
          <w:bCs w:val="1"/>
          <w:color w:val="auto"/>
        </w:rPr>
        <w:t>Bank of Hawai‘i Corporation and Subsidiaries</w:t>
      </w:r>
    </w:p>
    <w:p>
      <w:pPr>
        <w:spacing w:after="0" w:line="55" w:lineRule="exact"/>
        <w:rPr>
          <w:sz w:val="20"/>
          <w:szCs w:val="20"/>
          <w:color w:val="auto"/>
        </w:rPr>
      </w:pPr>
    </w:p>
    <w:tbl>
      <w:tblPr>
        <w:tblLayout w:type="fixed"/>
        <w:tblInd w:w="8" w:type="dxa"/>
        <w:tblCellMar>
          <w:top w:w="0" w:type="dxa"/>
          <w:left w:w="0" w:type="dxa"/>
          <w:bottom w:w="0" w:type="dxa"/>
          <w:right w:w="0" w:type="dxa"/>
        </w:tblCellMar>
      </w:tblPr>
      <w:tr>
        <w:trPr>
          <w:trHeight w:val="195"/>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Reconciliation of Non-GAAP Financial Measures</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Table 8</w:t>
            </w:r>
          </w:p>
        </w:tc>
      </w:tr>
      <w:tr>
        <w:trPr>
          <w:trHeight w:val="138"/>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7"/>
                <w:szCs w:val="7"/>
                <w:color w:val="auto"/>
              </w:rPr>
              <w:t>(dollars in thousands)</w:t>
            </w:r>
          </w:p>
        </w:tc>
        <w:tc>
          <w:tcPr>
            <w:tcW w:w="3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9"/>
                <w:szCs w:val="9"/>
                <w:b w:val="1"/>
                <w:bCs w:val="1"/>
                <w:color w:val="auto"/>
              </w:rPr>
              <w:t>September 30, 2026</w:t>
            </w:r>
          </w:p>
        </w:tc>
        <w:tc>
          <w:tcPr>
            <w:tcW w:w="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547"/>
              <w:spacing w:after="0"/>
              <w:rPr>
                <w:sz w:val="20"/>
                <w:szCs w:val="20"/>
                <w:color w:val="auto"/>
              </w:rPr>
            </w:pPr>
            <w:r>
              <w:rPr>
                <w:rFonts w:ascii="Times New Roman" w:cs="Times New Roman" w:eastAsia="Times New Roman" w:hAnsi="Times New Roman"/>
                <w:sz w:val="9"/>
                <w:szCs w:val="9"/>
                <w:b w:val="1"/>
                <w:bCs w:val="1"/>
                <w:color w:val="auto"/>
              </w:rPr>
              <w:t>June 30, 2026</w:t>
            </w:r>
          </w:p>
        </w:tc>
        <w:tc>
          <w:tcPr>
            <w:tcW w:w="3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9"/>
                <w:szCs w:val="9"/>
                <w:b w:val="1"/>
                <w:bCs w:val="1"/>
                <w:color w:val="auto"/>
              </w:rPr>
              <w:t>December 31, 2025</w:t>
            </w:r>
          </w:p>
        </w:tc>
        <w:tc>
          <w:tcPr>
            <w:tcW w:w="36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9"/>
                <w:szCs w:val="9"/>
                <w:b w:val="1"/>
                <w:bCs w:val="1"/>
                <w:color w:val="auto"/>
              </w:rPr>
              <w:t>September 30, 2025</w:t>
            </w:r>
          </w:p>
        </w:tc>
      </w:tr>
      <w:tr>
        <w:trPr>
          <w:trHeight w:val="16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Shareholders' Equity</w:t>
            </w:r>
          </w:p>
        </w:tc>
        <w:tc>
          <w:tcPr>
            <w:tcW w:w="38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1,826,076</w:t>
            </w:r>
          </w:p>
        </w:tc>
        <w:tc>
          <w:tcPr>
            <w:tcW w:w="4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1,875,467</w:t>
            </w:r>
          </w:p>
        </w:tc>
        <w:tc>
          <w:tcPr>
            <w:tcW w:w="3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1,851,212</w:t>
            </w:r>
          </w:p>
        </w:tc>
        <w:tc>
          <w:tcPr>
            <w:tcW w:w="3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1,791,183</w:t>
            </w:r>
          </w:p>
        </w:tc>
      </w:tr>
      <w:tr>
        <w:trPr>
          <w:trHeight w:val="165"/>
        </w:trPr>
        <w:tc>
          <w:tcPr>
            <w:tcW w:w="4100" w:type="dxa"/>
            <w:vAlign w:val="bottom"/>
          </w:tcPr>
          <w:p>
            <w:pPr>
              <w:spacing w:after="0"/>
              <w:rPr>
                <w:sz w:val="20"/>
                <w:szCs w:val="20"/>
                <w:color w:val="auto"/>
              </w:rPr>
            </w:pPr>
            <w:r>
              <w:rPr>
                <w:rFonts w:ascii="Times New Roman" w:cs="Times New Roman" w:eastAsia="Times New Roman" w:hAnsi="Times New Roman"/>
                <w:sz w:val="11"/>
                <w:szCs w:val="11"/>
                <w:color w:val="auto"/>
              </w:rPr>
              <w:t>Less: Preferred Stock</w:t>
            </w:r>
          </w:p>
        </w:tc>
        <w:tc>
          <w:tcPr>
            <w:tcW w:w="3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345,000</w:t>
            </w:r>
          </w:p>
        </w:tc>
        <w:tc>
          <w:tcPr>
            <w:tcW w:w="420" w:type="dxa"/>
            <w:vAlign w:val="bottom"/>
          </w:tcPr>
          <w:p>
            <w:pPr>
              <w:spacing w:after="0"/>
              <w:rPr>
                <w:sz w:val="14"/>
                <w:szCs w:val="14"/>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345,000</w:t>
            </w:r>
          </w:p>
        </w:tc>
        <w:tc>
          <w:tcPr>
            <w:tcW w:w="3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345,000</w:t>
            </w:r>
          </w:p>
        </w:tc>
        <w:tc>
          <w:tcPr>
            <w:tcW w:w="360" w:type="dxa"/>
            <w:vAlign w:val="bottom"/>
          </w:tcPr>
          <w:p>
            <w:pPr>
              <w:spacing w:after="0"/>
              <w:rPr>
                <w:sz w:val="14"/>
                <w:szCs w:val="14"/>
                <w:color w:val="auto"/>
              </w:rPr>
            </w:pP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345,000</w:t>
            </w:r>
          </w:p>
        </w:tc>
      </w:tr>
      <w:tr>
        <w:trPr>
          <w:trHeight w:val="171"/>
        </w:trPr>
        <w:tc>
          <w:tcPr>
            <w:tcW w:w="410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Goodwill</w:t>
            </w: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31,517</w:t>
            </w:r>
          </w:p>
        </w:tc>
      </w:tr>
      <w:tr>
        <w:trPr>
          <w:trHeight w:val="160"/>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Tangible Common Equity</w:t>
            </w:r>
          </w:p>
        </w:tc>
        <w:tc>
          <w:tcPr>
            <w:tcW w:w="3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1,449,559</w:t>
            </w:r>
          </w:p>
        </w:tc>
        <w:tc>
          <w:tcPr>
            <w:tcW w:w="4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1,498,950</w:t>
            </w:r>
          </w:p>
        </w:tc>
        <w:tc>
          <w:tcPr>
            <w:tcW w:w="3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1,474,695</w:t>
            </w:r>
          </w:p>
        </w:tc>
        <w:tc>
          <w:tcPr>
            <w:tcW w:w="3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1,414,666</w:t>
            </w:r>
          </w:p>
        </w:tc>
      </w:tr>
      <w:tr>
        <w:trPr>
          <w:trHeight w:val="94"/>
        </w:trPr>
        <w:tc>
          <w:tcPr>
            <w:tcW w:w="4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r>
      <w:tr>
        <w:trPr>
          <w:trHeight w:val="165"/>
        </w:trPr>
        <w:tc>
          <w:tcPr>
            <w:tcW w:w="4100" w:type="dxa"/>
            <w:vAlign w:val="bottom"/>
          </w:tcPr>
          <w:p>
            <w:pPr>
              <w:spacing w:after="0"/>
              <w:rPr>
                <w:sz w:val="20"/>
                <w:szCs w:val="20"/>
                <w:color w:val="auto"/>
              </w:rPr>
            </w:pPr>
            <w:r>
              <w:rPr>
                <w:rFonts w:ascii="Times New Roman" w:cs="Times New Roman" w:eastAsia="Times New Roman" w:hAnsi="Times New Roman"/>
                <w:sz w:val="11"/>
                <w:szCs w:val="11"/>
                <w:color w:val="auto"/>
              </w:rPr>
              <w:t>Total Assets</w:t>
            </w:r>
          </w:p>
        </w:tc>
        <w:tc>
          <w:tcPr>
            <w:tcW w:w="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23,819,536</w:t>
            </w:r>
          </w:p>
        </w:tc>
        <w:tc>
          <w:tcPr>
            <w:tcW w:w="4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23,842,940</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24,176,364</w:t>
            </w:r>
          </w:p>
        </w:tc>
        <w:tc>
          <w:tcPr>
            <w:tcW w:w="3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24,014,609</w:t>
            </w:r>
          </w:p>
        </w:tc>
      </w:tr>
      <w:tr>
        <w:trPr>
          <w:trHeight w:val="171"/>
        </w:trPr>
        <w:tc>
          <w:tcPr>
            <w:tcW w:w="4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Less: Goodwill</w:t>
            </w: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42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38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31,517</w:t>
            </w:r>
          </w:p>
        </w:tc>
        <w:tc>
          <w:tcPr>
            <w:tcW w:w="36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31,517</w:t>
            </w:r>
          </w:p>
        </w:tc>
      </w:tr>
      <w:tr>
        <w:trPr>
          <w:trHeight w:val="160"/>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Tangible Assets</w:t>
            </w:r>
          </w:p>
        </w:tc>
        <w:tc>
          <w:tcPr>
            <w:tcW w:w="38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23,788,019</w:t>
            </w:r>
          </w:p>
        </w:tc>
        <w:tc>
          <w:tcPr>
            <w:tcW w:w="4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23,811,423</w:t>
            </w:r>
          </w:p>
        </w:tc>
        <w:tc>
          <w:tcPr>
            <w:tcW w:w="3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rPr>
              <w:t>24,144,847</w:t>
            </w:r>
          </w:p>
        </w:tc>
        <w:tc>
          <w:tcPr>
            <w:tcW w:w="3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23,983,092</w:t>
            </w:r>
          </w:p>
        </w:tc>
      </w:tr>
      <w:tr>
        <w:trPr>
          <w:trHeight w:val="94"/>
        </w:trPr>
        <w:tc>
          <w:tcPr>
            <w:tcW w:w="410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3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40" w:type="dxa"/>
            <w:vAlign w:val="bottom"/>
            <w:shd w:val="clear" w:color="auto" w:fill="CCEEFF"/>
          </w:tcPr>
          <w:p>
            <w:pPr>
              <w:spacing w:after="0"/>
              <w:rPr>
                <w:sz w:val="8"/>
                <w:szCs w:val="8"/>
                <w:color w:val="auto"/>
              </w:rPr>
            </w:pPr>
          </w:p>
        </w:tc>
      </w:tr>
      <w:tr>
        <w:trPr>
          <w:trHeight w:val="171"/>
        </w:trPr>
        <w:tc>
          <w:tcPr>
            <w:tcW w:w="4100" w:type="dxa"/>
            <w:vAlign w:val="bottom"/>
          </w:tcPr>
          <w:p>
            <w:pPr>
              <w:spacing w:after="0"/>
              <w:rPr>
                <w:sz w:val="20"/>
                <w:szCs w:val="20"/>
                <w:color w:val="auto"/>
              </w:rPr>
            </w:pPr>
            <w:r>
              <w:rPr>
                <w:rFonts w:ascii="Times New Roman" w:cs="Times New Roman" w:eastAsia="Times New Roman" w:hAnsi="Times New Roman"/>
                <w:sz w:val="11"/>
                <w:szCs w:val="11"/>
                <w:color w:val="auto"/>
                <w:w w:val="98"/>
              </w:rPr>
              <w:t xml:space="preserve">Risk-Weighted Assets, determined in accordance with prescribed regulatory requirements </w:t>
            </w:r>
            <w:r>
              <w:rPr>
                <w:rFonts w:ascii="Times New Roman" w:cs="Times New Roman" w:eastAsia="Times New Roman" w:hAnsi="Times New Roman"/>
                <w:sz w:val="14"/>
                <w:szCs w:val="14"/>
                <w:color w:val="auto"/>
                <w:w w:val="98"/>
                <w:vertAlign w:val="superscript"/>
              </w:rPr>
              <w:t>1, 2</w:t>
            </w:r>
          </w:p>
        </w:tc>
        <w:tc>
          <w:tcPr>
            <w:tcW w:w="3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14,587,549</w:t>
            </w:r>
          </w:p>
        </w:tc>
        <w:tc>
          <w:tcPr>
            <w:tcW w:w="4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14,442,396</w:t>
            </w:r>
          </w:p>
        </w:tc>
        <w:tc>
          <w:tcPr>
            <w:tcW w:w="3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14,246,238</w:t>
            </w:r>
          </w:p>
        </w:tc>
        <w:tc>
          <w:tcPr>
            <w:tcW w:w="3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14,215,866</w:t>
            </w:r>
          </w:p>
        </w:tc>
      </w:tr>
      <w:tr>
        <w:trPr>
          <w:trHeight w:val="108"/>
        </w:trPr>
        <w:tc>
          <w:tcPr>
            <w:tcW w:w="4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r>
      <w:tr>
        <w:trPr>
          <w:trHeight w:val="164"/>
        </w:trPr>
        <w:tc>
          <w:tcPr>
            <w:tcW w:w="4100" w:type="dxa"/>
            <w:vAlign w:val="bottom"/>
          </w:tcPr>
          <w:p>
            <w:pPr>
              <w:spacing w:after="0"/>
              <w:rPr>
                <w:sz w:val="20"/>
                <w:szCs w:val="20"/>
                <w:color w:val="auto"/>
              </w:rPr>
            </w:pPr>
            <w:r>
              <w:rPr>
                <w:rFonts w:ascii="Times New Roman" w:cs="Times New Roman" w:eastAsia="Times New Roman" w:hAnsi="Times New Roman"/>
                <w:sz w:val="11"/>
                <w:szCs w:val="11"/>
                <w:color w:val="auto"/>
              </w:rPr>
              <w:t>Total Shareholders' Equity to Total Assets</w:t>
            </w:r>
          </w:p>
        </w:tc>
        <w:tc>
          <w:tcPr>
            <w:tcW w:w="3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7.67%</w:t>
            </w:r>
          </w:p>
        </w:tc>
        <w:tc>
          <w:tcPr>
            <w:tcW w:w="420" w:type="dxa"/>
            <w:vAlign w:val="bottom"/>
          </w:tcPr>
          <w:p>
            <w:pPr>
              <w:spacing w:after="0"/>
              <w:rPr>
                <w:sz w:val="14"/>
                <w:szCs w:val="14"/>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7.87%</w:t>
            </w:r>
          </w:p>
        </w:tc>
        <w:tc>
          <w:tcPr>
            <w:tcW w:w="380" w:type="dxa"/>
            <w:vAlign w:val="bottom"/>
          </w:tcPr>
          <w:p>
            <w:pPr>
              <w:spacing w:after="0"/>
              <w:rPr>
                <w:sz w:val="14"/>
                <w:szCs w:val="14"/>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7.66%</w:t>
            </w:r>
          </w:p>
        </w:tc>
        <w:tc>
          <w:tcPr>
            <w:tcW w:w="360" w:type="dxa"/>
            <w:vAlign w:val="bottom"/>
          </w:tcPr>
          <w:p>
            <w:pPr>
              <w:spacing w:after="0"/>
              <w:rPr>
                <w:sz w:val="14"/>
                <w:szCs w:val="14"/>
                <w:color w:val="auto"/>
              </w:rPr>
            </w:pP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7.46%</w:t>
            </w:r>
          </w:p>
        </w:tc>
      </w:tr>
      <w:tr>
        <w:trPr>
          <w:trHeight w:val="178"/>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Tangible Common Equity to Tangible Assets (Non-GAAP)</w:t>
            </w: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6.09%</w:t>
            </w:r>
          </w:p>
        </w:tc>
        <w:tc>
          <w:tcPr>
            <w:tcW w:w="4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6.30%</w:t>
            </w:r>
          </w:p>
        </w:tc>
        <w:tc>
          <w:tcPr>
            <w:tcW w:w="38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6.11%</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5.90%</w:t>
            </w:r>
          </w:p>
        </w:tc>
      </w:tr>
      <w:tr>
        <w:trPr>
          <w:trHeight w:val="108"/>
        </w:trPr>
        <w:tc>
          <w:tcPr>
            <w:tcW w:w="4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40" w:type="dxa"/>
            <w:vAlign w:val="bottom"/>
          </w:tcPr>
          <w:p>
            <w:pPr>
              <w:spacing w:after="0"/>
              <w:rPr>
                <w:sz w:val="9"/>
                <w:szCs w:val="9"/>
                <w:color w:val="auto"/>
              </w:rPr>
            </w:pPr>
          </w:p>
        </w:tc>
      </w:tr>
      <w:tr>
        <w:trPr>
          <w:trHeight w:val="171"/>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xml:space="preserve">Tier 1 Capital Ratio </w:t>
            </w:r>
            <w:r>
              <w:rPr>
                <w:rFonts w:ascii="Times New Roman" w:cs="Times New Roman" w:eastAsia="Times New Roman" w:hAnsi="Times New Roman"/>
                <w:sz w:val="14"/>
                <w:szCs w:val="14"/>
                <w:color w:val="auto"/>
                <w:vertAlign w:val="superscript"/>
              </w:rPr>
              <w:t>1</w:t>
            </w: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14.41%</w:t>
            </w:r>
          </w:p>
        </w:tc>
        <w:tc>
          <w:tcPr>
            <w:tcW w:w="420" w:type="dxa"/>
            <w:vAlign w:val="bottom"/>
            <w:shd w:val="clear" w:color="auto" w:fill="CCEEFF"/>
          </w:tcPr>
          <w:p>
            <w:pPr>
              <w:spacing w:after="0"/>
              <w:rPr>
                <w:sz w:val="14"/>
                <w:szCs w:val="14"/>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14.45%</w:t>
            </w:r>
          </w:p>
        </w:tc>
        <w:tc>
          <w:tcPr>
            <w:tcW w:w="380" w:type="dxa"/>
            <w:vAlign w:val="bottom"/>
            <w:shd w:val="clear" w:color="auto" w:fill="CCEEFF"/>
          </w:tcPr>
          <w:p>
            <w:pPr>
              <w:spacing w:after="0"/>
              <w:rPr>
                <w:sz w:val="14"/>
                <w:szCs w:val="14"/>
                <w:color w:val="auto"/>
              </w:rPr>
            </w:pPr>
          </w:p>
        </w:tc>
        <w:tc>
          <w:tcPr>
            <w:tcW w:w="14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rPr>
              <w:t>14.49%</w:t>
            </w:r>
          </w:p>
        </w:tc>
        <w:tc>
          <w:tcPr>
            <w:tcW w:w="36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14.34%</w:t>
            </w:r>
          </w:p>
        </w:tc>
      </w:tr>
      <w:tr>
        <w:trPr>
          <w:trHeight w:val="195"/>
        </w:trPr>
        <w:tc>
          <w:tcPr>
            <w:tcW w:w="41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Tangible Common Equity to Risk-Weighted Assets (Non-GAAP) </w:t>
            </w:r>
            <w:r>
              <w:rPr>
                <w:rFonts w:ascii="Times New Roman" w:cs="Times New Roman" w:eastAsia="Times New Roman" w:hAnsi="Times New Roman"/>
                <w:sz w:val="14"/>
                <w:szCs w:val="14"/>
                <w:color w:val="auto"/>
                <w:vertAlign w:val="superscript"/>
              </w:rPr>
              <w:t>1</w:t>
            </w:r>
          </w:p>
        </w:tc>
        <w:tc>
          <w:tcPr>
            <w:tcW w:w="380" w:type="dxa"/>
            <w:vAlign w:val="bottom"/>
          </w:tcPr>
          <w:p>
            <w:pPr>
              <w:spacing w:after="0"/>
              <w:rPr>
                <w:sz w:val="16"/>
                <w:szCs w:val="16"/>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9.94%</w:t>
            </w:r>
          </w:p>
        </w:tc>
        <w:tc>
          <w:tcPr>
            <w:tcW w:w="420" w:type="dxa"/>
            <w:vAlign w:val="bottom"/>
          </w:tcPr>
          <w:p>
            <w:pPr>
              <w:spacing w:after="0"/>
              <w:rPr>
                <w:sz w:val="16"/>
                <w:szCs w:val="16"/>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10.38%</w:t>
            </w:r>
          </w:p>
        </w:tc>
        <w:tc>
          <w:tcPr>
            <w:tcW w:w="380" w:type="dxa"/>
            <w:vAlign w:val="bottom"/>
          </w:tcPr>
          <w:p>
            <w:pPr>
              <w:spacing w:after="0"/>
              <w:rPr>
                <w:sz w:val="16"/>
                <w:szCs w:val="16"/>
                <w:color w:val="auto"/>
              </w:rPr>
            </w:pPr>
          </w:p>
        </w:tc>
        <w:tc>
          <w:tcPr>
            <w:tcW w:w="142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rPr>
              <w:t>10.35%</w:t>
            </w:r>
          </w:p>
        </w:tc>
        <w:tc>
          <w:tcPr>
            <w:tcW w:w="360" w:type="dxa"/>
            <w:vAlign w:val="bottom"/>
          </w:tcPr>
          <w:p>
            <w:pPr>
              <w:spacing w:after="0"/>
              <w:rPr>
                <w:sz w:val="16"/>
                <w:szCs w:val="16"/>
                <w:color w:val="auto"/>
              </w:rPr>
            </w:pPr>
          </w:p>
        </w:tc>
        <w:tc>
          <w:tcPr>
            <w:tcW w:w="14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9.95%</w:t>
            </w:r>
          </w:p>
        </w:tc>
      </w:tr>
    </w:tbl>
    <w:p>
      <w:pPr>
        <w:spacing w:after="0" w:line="38" w:lineRule="exact"/>
        <w:rPr>
          <w:sz w:val="20"/>
          <w:szCs w:val="20"/>
          <w:color w:val="auto"/>
        </w:rPr>
      </w:pPr>
    </w:p>
    <w:p>
      <w:pPr>
        <w:ind w:left="48" w:hanging="48"/>
        <w:spacing w:after="0"/>
        <w:tabs>
          <w:tab w:leader="none" w:pos="48" w:val="left"/>
        </w:tabs>
        <w:numPr>
          <w:ilvl w:val="0"/>
          <w:numId w:val="10"/>
        </w:numPr>
        <w:rPr>
          <w:rFonts w:ascii="Times New Roman" w:cs="Times New Roman" w:eastAsia="Times New Roman" w:hAnsi="Times New Roman"/>
          <w:sz w:val="9"/>
          <w:szCs w:val="9"/>
          <w:color w:val="auto"/>
          <w:vertAlign w:val="superscript"/>
        </w:rPr>
      </w:pPr>
      <w:r>
        <w:rPr>
          <w:rFonts w:ascii="Times New Roman" w:cs="Times New Roman" w:eastAsia="Times New Roman" w:hAnsi="Times New Roman"/>
          <w:sz w:val="7"/>
          <w:szCs w:val="7"/>
          <w:color w:val="auto"/>
        </w:rPr>
        <w:t>Regulatory capital ratios as of September 30, 2026 are preliminary.</w:t>
      </w:r>
    </w:p>
    <w:p>
      <w:pPr>
        <w:ind w:left="28" w:hanging="28"/>
        <w:spacing w:after="0" w:line="236" w:lineRule="auto"/>
        <w:tabs>
          <w:tab w:leader="none" w:pos="28" w:val="left"/>
        </w:tabs>
        <w:numPr>
          <w:ilvl w:val="0"/>
          <w:numId w:val="11"/>
        </w:numPr>
        <w:rPr>
          <w:rFonts w:ascii="Times New Roman" w:cs="Times New Roman" w:eastAsia="Times New Roman" w:hAnsi="Times New Roman"/>
          <w:sz w:val="8"/>
          <w:szCs w:val="8"/>
          <w:color w:val="auto"/>
          <w:vertAlign w:val="superscript"/>
        </w:rPr>
      </w:pPr>
      <w:r>
        <w:rPr>
          <w:rFonts w:ascii="Times New Roman" w:cs="Times New Roman" w:eastAsia="Times New Roman" w:hAnsi="Times New Roman"/>
          <w:sz w:val="6"/>
          <w:szCs w:val="6"/>
          <w:color w:val="auto"/>
        </w:rPr>
        <w:t>Risk-Weighted Assets as of December 31, 2025 has been updated to reflect final reported amount.</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8"/>
          </w:cols>
          <w:pgMar w:left="292" w:top="1093" w:right="299" w:bottom="1440"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4501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45015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4501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1"/>
      <w:numFmt w:val="bullet"/>
      <w:start w:val="1"/>
    </w:lvl>
  </w:abstractNum>
  <w:abstractNum w:abstractNumId="6">
    <w:nsid w:val="5BD062C2"/>
    <w:multiLevelType w:val="hybridMultilevel"/>
    <w:lvl w:ilvl="0">
      <w:lvlJc w:val="left"/>
      <w:lvlText w:val="2"/>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bullet"/>
      <w:start w:val="1"/>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2026-10-26T07:53:24Z</dcterms:created>
  <dcterms:modified xsi:type="dcterms:W3CDTF">2026-10-26T07:53:24Z</dcterms:modified>
</cp:coreProperties>
</file>