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 C. 20549</w:t>
      </w:r>
    </w:p>
    <w:p>
      <w:pPr>
        <w:spacing w:after="0" w:line="1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ectPr>
          <w:pgSz w:w="11900" w:h="16838" w:orient="portrait"/>
          <w:cols w:equalWidth="0" w:num="1">
            <w:col w:w="11220"/>
          </w:cols>
          <w:pgMar w:left="320" w:top="1008" w:right="359" w:bottom="1440" w:gutter="0" w:footer="0" w:header="0"/>
        </w:sectPr>
      </w:pPr>
    </w:p>
    <w:p>
      <w:pPr>
        <w:spacing w:after="0" w:line="200"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6"/>
          <w:szCs w:val="16"/>
          <w:color w:val="auto"/>
        </w:rPr>
        <w:t>Date of Report</w:t>
      </w:r>
    </w:p>
    <w:p>
      <w:pPr>
        <w:spacing w:after="0" w:line="2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5"/>
          <w:szCs w:val="15"/>
          <w:color w:val="auto"/>
        </w:rPr>
        <w:t>(Date of earliest event reported)</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January 22, 2024</w:t>
      </w:r>
    </w:p>
    <w:p>
      <w:pPr>
        <w:spacing w:after="0" w:line="406" w:lineRule="exact"/>
        <w:rPr>
          <w:sz w:val="24"/>
          <w:szCs w:val="24"/>
          <w:color w:val="auto"/>
        </w:rPr>
      </w:pPr>
    </w:p>
    <w:p>
      <w:pPr>
        <w:sectPr>
          <w:pgSz w:w="11900" w:h="16838" w:orient="portrait"/>
          <w:cols w:equalWidth="0" w:num="2">
            <w:col w:w="7140" w:space="720"/>
            <w:col w:w="3360"/>
          </w:cols>
          <w:pgMar w:left="320" w:top="1008"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BANK OF HAWAII CORPORATION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1040" w:type="dxa"/>
            <w:vAlign w:val="bottom"/>
          </w:tcPr>
          <w:p>
            <w:pPr>
              <w:spacing w:after="0"/>
              <w:rPr>
                <w:sz w:val="18"/>
                <w:szCs w:val="18"/>
                <w:color w:val="auto"/>
              </w:rPr>
            </w:pPr>
          </w:p>
        </w:tc>
        <w:tc>
          <w:tcPr>
            <w:tcW w:w="262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40" w:type="dxa"/>
            <w:vAlign w:val="bottom"/>
          </w:tcPr>
          <w:p>
            <w:pPr>
              <w:jc w:val="center"/>
              <w:ind w:left="821"/>
              <w:spacing w:after="0"/>
              <w:rPr>
                <w:sz w:val="20"/>
                <w:szCs w:val="20"/>
                <w:color w:val="auto"/>
              </w:rPr>
            </w:pPr>
            <w:r>
              <w:rPr>
                <w:rFonts w:ascii="Times New Roman" w:cs="Times New Roman" w:eastAsia="Times New Roman" w:hAnsi="Times New Roman"/>
                <w:sz w:val="16"/>
                <w:szCs w:val="16"/>
                <w:b w:val="1"/>
                <w:bCs w:val="1"/>
                <w:color w:val="auto"/>
              </w:rPr>
              <w:t>1-6887</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2"/>
          </w:tcPr>
          <w:p>
            <w:pPr>
              <w:jc w:val="right"/>
              <w:ind w:right="1367"/>
              <w:spacing w:after="0"/>
              <w:rPr>
                <w:sz w:val="20"/>
                <w:szCs w:val="20"/>
                <w:color w:val="auto"/>
              </w:rPr>
            </w:pPr>
            <w:r>
              <w:rPr>
                <w:rFonts w:ascii="Times New Roman" w:cs="Times New Roman" w:eastAsia="Times New Roman" w:hAnsi="Times New Roman"/>
                <w:sz w:val="16"/>
                <w:szCs w:val="16"/>
                <w:b w:val="1"/>
                <w:bCs w:val="1"/>
                <w:color w:val="auto"/>
              </w:rPr>
              <w:t>99-0148992</w:t>
            </w:r>
          </w:p>
        </w:tc>
      </w:tr>
      <w:tr>
        <w:trPr>
          <w:trHeight w:val="213"/>
        </w:trPr>
        <w:tc>
          <w:tcPr>
            <w:tcW w:w="104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(State of Incorporation)</w:t>
            </w:r>
          </w:p>
        </w:tc>
        <w:tc>
          <w:tcPr>
            <w:tcW w:w="3040" w:type="dxa"/>
            <w:vAlign w:val="bottom"/>
          </w:tcPr>
          <w:p>
            <w:pPr>
              <w:jc w:val="center"/>
              <w:ind w:left="821"/>
              <w:spacing w:after="0"/>
              <w:rPr>
                <w:sz w:val="20"/>
                <w:szCs w:val="20"/>
                <w:color w:val="auto"/>
              </w:rPr>
            </w:pPr>
            <w:r>
              <w:rPr>
                <w:rFonts w:ascii="Times New Roman" w:cs="Times New Roman" w:eastAsia="Times New Roman" w:hAnsi="Times New Roman"/>
                <w:sz w:val="16"/>
                <w:szCs w:val="16"/>
                <w:color w:val="auto"/>
                <w:w w:val="98"/>
              </w:rPr>
              <w:t>(Commission File Number)</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2"/>
          </w:tcPr>
          <w:p>
            <w:pPr>
              <w:jc w:val="center"/>
              <w:ind w:right="487"/>
              <w:spacing w:after="0"/>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402"/>
        </w:trPr>
        <w:tc>
          <w:tcPr>
            <w:tcW w:w="1040" w:type="dxa"/>
            <w:vAlign w:val="bottom"/>
          </w:tcPr>
          <w:p>
            <w:pPr>
              <w:spacing w:after="0"/>
              <w:rPr>
                <w:sz w:val="24"/>
                <w:szCs w:val="24"/>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130 Merchant Street</w:t>
            </w:r>
          </w:p>
        </w:tc>
        <w:tc>
          <w:tcPr>
            <w:tcW w:w="3040" w:type="dxa"/>
            <w:vAlign w:val="bottom"/>
          </w:tcPr>
          <w:p>
            <w:pPr>
              <w:jc w:val="center"/>
              <w:ind w:right="441"/>
              <w:spacing w:after="0"/>
              <w:rPr>
                <w:sz w:val="20"/>
                <w:szCs w:val="20"/>
                <w:color w:val="auto"/>
              </w:rPr>
            </w:pPr>
            <w:r>
              <w:rPr>
                <w:rFonts w:ascii="Times New Roman" w:cs="Times New Roman" w:eastAsia="Times New Roman" w:hAnsi="Times New Roman"/>
                <w:sz w:val="16"/>
                <w:szCs w:val="16"/>
                <w:b w:val="1"/>
                <w:bCs w:val="1"/>
                <w:color w:val="auto"/>
                <w:w w:val="99"/>
              </w:rPr>
              <w:t>Honolulu</w:t>
            </w:r>
          </w:p>
        </w:tc>
        <w:tc>
          <w:tcPr>
            <w:tcW w:w="200" w:type="dxa"/>
            <w:vAlign w:val="bottom"/>
          </w:tcPr>
          <w:p>
            <w:pPr>
              <w:spacing w:after="0"/>
              <w:rPr>
                <w:sz w:val="24"/>
                <w:szCs w:val="24"/>
                <w:color w:val="auto"/>
              </w:rPr>
            </w:pP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Hawaii</w:t>
            </w:r>
          </w:p>
        </w:tc>
        <w:tc>
          <w:tcPr>
            <w:tcW w:w="3080" w:type="dxa"/>
            <w:vAlign w:val="bottom"/>
            <w:gridSpan w:val="2"/>
          </w:tcPr>
          <w:p>
            <w:pPr>
              <w:jc w:val="right"/>
              <w:ind w:right="927"/>
              <w:spacing w:after="0"/>
              <w:rPr>
                <w:sz w:val="20"/>
                <w:szCs w:val="20"/>
                <w:color w:val="auto"/>
              </w:rPr>
            </w:pPr>
            <w:r>
              <w:rPr>
                <w:rFonts w:ascii="Times New Roman" w:cs="Times New Roman" w:eastAsia="Times New Roman" w:hAnsi="Times New Roman"/>
                <w:sz w:val="16"/>
                <w:szCs w:val="16"/>
                <w:b w:val="1"/>
                <w:bCs w:val="1"/>
                <w:color w:val="auto"/>
              </w:rPr>
              <w:t>96813</w:t>
            </w:r>
          </w:p>
        </w:tc>
      </w:tr>
      <w:tr>
        <w:trPr>
          <w:trHeight w:val="213"/>
        </w:trPr>
        <w:tc>
          <w:tcPr>
            <w:tcW w:w="366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040" w:type="dxa"/>
            <w:vAlign w:val="bottom"/>
          </w:tcPr>
          <w:p>
            <w:pPr>
              <w:jc w:val="center"/>
              <w:ind w:right="441"/>
              <w:spacing w:after="0"/>
              <w:rPr>
                <w:sz w:val="20"/>
                <w:szCs w:val="20"/>
                <w:color w:val="auto"/>
              </w:rPr>
            </w:pPr>
            <w:r>
              <w:rPr>
                <w:rFonts w:ascii="Times New Roman" w:cs="Times New Roman" w:eastAsia="Times New Roman" w:hAnsi="Times New Roman"/>
                <w:sz w:val="16"/>
                <w:szCs w:val="16"/>
                <w:color w:val="auto"/>
                <w:w w:val="94"/>
              </w:rPr>
              <w:t>(City)</w:t>
            </w:r>
          </w:p>
        </w:tc>
        <w:tc>
          <w:tcPr>
            <w:tcW w:w="200" w:type="dxa"/>
            <w:vAlign w:val="bottom"/>
          </w:tcPr>
          <w:p>
            <w:pPr>
              <w:spacing w:after="0"/>
              <w:rPr>
                <w:sz w:val="18"/>
                <w:szCs w:val="18"/>
                <w:color w:val="auto"/>
              </w:rPr>
            </w:pPr>
          </w:p>
        </w:tc>
        <w:tc>
          <w:tcPr>
            <w:tcW w:w="12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8"/>
              </w:rPr>
              <w:t>(State)</w:t>
            </w:r>
          </w:p>
        </w:tc>
        <w:tc>
          <w:tcPr>
            <w:tcW w:w="560" w:type="dxa"/>
            <w:vAlign w:val="bottom"/>
          </w:tcPr>
          <w:p>
            <w:pPr>
              <w:spacing w:after="0"/>
              <w:rPr>
                <w:sz w:val="18"/>
                <w:szCs w:val="18"/>
                <w:color w:val="auto"/>
              </w:rPr>
            </w:pPr>
          </w:p>
        </w:tc>
        <w:tc>
          <w:tcPr>
            <w:tcW w:w="2520" w:type="dxa"/>
            <w:vAlign w:val="bottom"/>
          </w:tcPr>
          <w:p>
            <w:pPr>
              <w:jc w:val="center"/>
              <w:ind w:left="67"/>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73"/>
        </w:trPr>
        <w:tc>
          <w:tcPr>
            <w:tcW w:w="1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40" w:type="dxa"/>
            <w:vAlign w:val="bottom"/>
          </w:tcPr>
          <w:p>
            <w:pPr>
              <w:jc w:val="center"/>
              <w:ind w:left="821"/>
              <w:spacing w:after="0"/>
              <w:rPr>
                <w:sz w:val="20"/>
                <w:szCs w:val="20"/>
                <w:color w:val="auto"/>
              </w:rPr>
            </w:pPr>
            <w:r>
              <w:rPr>
                <w:rFonts w:ascii="Times New Roman" w:cs="Times New Roman" w:eastAsia="Times New Roman" w:hAnsi="Times New Roman"/>
                <w:sz w:val="16"/>
                <w:szCs w:val="16"/>
                <w:b w:val="1"/>
                <w:bCs w:val="1"/>
                <w:color w:val="auto"/>
                <w:w w:val="97"/>
              </w:rPr>
              <w:t>(888) 643-3888</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6"/>
        </w:trPr>
        <w:tc>
          <w:tcPr>
            <w:tcW w:w="10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480" w:type="dxa"/>
            <w:vAlign w:val="bottom"/>
            <w:gridSpan w:val="4"/>
          </w:tcPr>
          <w:p>
            <w:pPr>
              <w:jc w:val="center"/>
              <w:ind w:right="56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5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338"/>
        </w:trPr>
        <w:tc>
          <w:tcPr>
            <w:tcW w:w="1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40" w:type="dxa"/>
            <w:vAlign w:val="bottom"/>
          </w:tcPr>
          <w:p>
            <w:pPr>
              <w:jc w:val="center"/>
              <w:ind w:left="801"/>
              <w:spacing w:after="0"/>
              <w:rPr>
                <w:sz w:val="20"/>
                <w:szCs w:val="20"/>
                <w:color w:val="auto"/>
              </w:rPr>
            </w:pPr>
            <w:r>
              <w:rPr>
                <w:rFonts w:ascii="Times New Roman" w:cs="Times New Roman" w:eastAsia="Times New Roman" w:hAnsi="Times New Roman"/>
                <w:sz w:val="16"/>
                <w:szCs w:val="16"/>
                <w:b w:val="1"/>
                <w:bCs w:val="1"/>
                <w:color w:val="auto"/>
                <w:w w:val="97"/>
              </w:rPr>
              <w:t>Not Applicable</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6"/>
        </w:trPr>
        <w:tc>
          <w:tcPr>
            <w:tcW w:w="10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480" w:type="dxa"/>
            <w:vAlign w:val="bottom"/>
            <w:gridSpan w:val="4"/>
          </w:tcPr>
          <w:p>
            <w:pPr>
              <w:jc w:val="center"/>
              <w:ind w:right="560"/>
              <w:spacing w:after="0"/>
              <w:rPr>
                <w:sz w:val="20"/>
                <w:szCs w:val="20"/>
                <w:color w:val="auto"/>
              </w:rPr>
            </w:pPr>
            <w:r>
              <w:rPr>
                <w:rFonts w:ascii="Times New Roman" w:cs="Times New Roman" w:eastAsia="Times New Roman" w:hAnsi="Times New Roman"/>
                <w:sz w:val="16"/>
                <w:szCs w:val="16"/>
                <w:color w:val="auto"/>
                <w:w w:val="98"/>
              </w:rPr>
              <w:t>(Former name or former address, if changed since last report)</w:t>
            </w:r>
          </w:p>
        </w:tc>
        <w:tc>
          <w:tcPr>
            <w:tcW w:w="5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343"/>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Securities registered pursuant to Section 12(b) of the Act:</w:t>
            </w: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42"/>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Title of each class</w:t>
            </w:r>
          </w:p>
        </w:tc>
        <w:tc>
          <w:tcPr>
            <w:tcW w:w="26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1"/>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BOH</w:t>
            </w:r>
          </w:p>
        </w:tc>
        <w:tc>
          <w:tcPr>
            <w:tcW w:w="560" w:type="dxa"/>
            <w:vAlign w:val="bottom"/>
          </w:tcPr>
          <w:p>
            <w:pPr>
              <w:spacing w:after="0"/>
              <w:rPr>
                <w:sz w:val="18"/>
                <w:szCs w:val="18"/>
                <w:color w:val="auto"/>
              </w:rPr>
            </w:pPr>
          </w:p>
        </w:tc>
        <w:tc>
          <w:tcPr>
            <w:tcW w:w="25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322"/>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Depository Shares, Each Representing 1/40</w:t>
            </w:r>
            <w:r>
              <w:rPr>
                <w:rFonts w:ascii="Times New Roman" w:cs="Times New Roman" w:eastAsia="Times New Roman" w:hAnsi="Times New Roman"/>
                <w:sz w:val="19"/>
                <w:szCs w:val="19"/>
                <w:b w:val="1"/>
                <w:bCs w:val="1"/>
                <w:color w:val="auto"/>
                <w:vertAlign w:val="superscript"/>
              </w:rPr>
              <w:t>th</w:t>
            </w:r>
            <w:r>
              <w:rPr>
                <w:rFonts w:ascii="Times New Roman" w:cs="Times New Roman" w:eastAsia="Times New Roman" w:hAnsi="Times New Roman"/>
                <w:sz w:val="14"/>
                <w:szCs w:val="14"/>
                <w:b w:val="1"/>
                <w:bCs w:val="1"/>
                <w:color w:val="auto"/>
              </w:rPr>
              <w:t xml:space="preserve"> Interest in a Share of 4.375% Fixed Rate Non-</w:t>
            </w:r>
          </w:p>
        </w:tc>
        <w:tc>
          <w:tcPr>
            <w:tcW w:w="200" w:type="dxa"/>
            <w:vAlign w:val="bottom"/>
          </w:tcPr>
          <w:p>
            <w:pPr>
              <w:spacing w:after="0"/>
              <w:rPr>
                <w:sz w:val="24"/>
                <w:szCs w:val="24"/>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BOH.PRA</w:t>
            </w:r>
          </w:p>
        </w:tc>
        <w:tc>
          <w:tcPr>
            <w:tcW w:w="560" w:type="dxa"/>
            <w:vAlign w:val="bottom"/>
          </w:tcPr>
          <w:p>
            <w:pPr>
              <w:spacing w:after="0"/>
              <w:rPr>
                <w:sz w:val="24"/>
                <w:szCs w:val="24"/>
                <w:color w:val="auto"/>
              </w:rPr>
            </w:pPr>
          </w:p>
        </w:tc>
        <w:tc>
          <w:tcPr>
            <w:tcW w:w="25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18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 Preferred Stock, Series A</w:t>
            </w:r>
          </w:p>
        </w:tc>
        <w:tc>
          <w:tcPr>
            <w:tcW w:w="3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07" w:lineRule="exact"/>
        <w:rPr>
          <w:rFonts w:ascii="MS PGothic" w:cs="MS PGothic" w:eastAsia="MS PGothic" w:hAnsi="MS PGothic"/>
          <w:sz w:val="32"/>
          <w:szCs w:val="32"/>
          <w:color w:val="auto"/>
          <w:vertAlign w:val="superscript"/>
        </w:rPr>
      </w:pPr>
    </w:p>
    <w:p>
      <w:pPr>
        <w:ind w:left="380" w:hanging="374"/>
        <w:spacing w:after="0" w:line="189" w:lineRule="auto"/>
        <w:tabs>
          <w:tab w:leader="none" w:pos="3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09" w:lineRule="exact"/>
        <w:rPr>
          <w:rFonts w:ascii="MS PGothic" w:cs="MS PGothic" w:eastAsia="MS PGothic" w:hAnsi="MS PGothic"/>
          <w:sz w:val="32"/>
          <w:szCs w:val="32"/>
          <w:color w:val="auto"/>
          <w:vertAlign w:val="superscript"/>
        </w:rPr>
      </w:pPr>
    </w:p>
    <w:p>
      <w:pPr>
        <w:ind w:left="380" w:hanging="374"/>
        <w:spacing w:after="0" w:line="189" w:lineRule="auto"/>
        <w:tabs>
          <w:tab w:leader="none" w:pos="3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09" w:lineRule="exact"/>
        <w:rPr>
          <w:rFonts w:ascii="MS PGothic" w:cs="MS PGothic" w:eastAsia="MS PGothic" w:hAnsi="MS PGothic"/>
          <w:sz w:val="32"/>
          <w:szCs w:val="32"/>
          <w:color w:val="auto"/>
          <w:vertAlign w:val="superscript"/>
        </w:rPr>
      </w:pPr>
    </w:p>
    <w:p>
      <w:pPr>
        <w:ind w:left="380" w:hanging="374"/>
        <w:spacing w:after="0" w:line="189" w:lineRule="auto"/>
        <w:tabs>
          <w:tab w:leader="none" w:pos="3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Pre-commencement communications pursuant to Rule 13e-4(c) under the Exchange Act (17 CFR 240.13e-4 (c))</w:t>
      </w:r>
    </w:p>
    <w:p>
      <w:pPr>
        <w:spacing w:after="0" w:line="203" w:lineRule="exact"/>
        <w:rPr>
          <w:sz w:val="24"/>
          <w:szCs w:val="24"/>
          <w:color w:val="auto"/>
        </w:rPr>
      </w:pPr>
    </w:p>
    <w:p>
      <w:pPr>
        <w:ind w:right="200"/>
        <w:spacing w:after="0" w:line="25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5" w:lineRule="exact"/>
        <w:rPr>
          <w:sz w:val="24"/>
          <w:szCs w:val="24"/>
          <w:color w:val="auto"/>
        </w:rPr>
      </w:pPr>
    </w:p>
    <w:p>
      <w:pPr>
        <w:ind w:right="28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573405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type w:val="continuous"/>
        </w:sectPr>
      </w:pPr>
    </w:p>
    <w:bookmarkStart w:id="1" w:name="page2"/>
    <w:bookmarkEnd w:id="1"/>
    <w:p>
      <w:pPr>
        <w:spacing w:after="0"/>
        <w:tabs>
          <w:tab w:leader="none" w:pos="92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w:t>
      </w:r>
    </w:p>
    <w:p>
      <w:pPr>
        <w:spacing w:after="0" w:line="161" w:lineRule="exact"/>
        <w:rPr>
          <w:sz w:val="20"/>
          <w:szCs w:val="20"/>
          <w:color w:val="auto"/>
        </w:rPr>
      </w:pPr>
    </w:p>
    <w:p>
      <w:pPr>
        <w:ind w:firstLine="563"/>
        <w:spacing w:after="0" w:line="276" w:lineRule="auto"/>
        <w:rPr>
          <w:sz w:val="20"/>
          <w:szCs w:val="20"/>
          <w:color w:val="auto"/>
        </w:rPr>
      </w:pPr>
      <w:r>
        <w:rPr>
          <w:rFonts w:ascii="Times New Roman" w:cs="Times New Roman" w:eastAsia="Times New Roman" w:hAnsi="Times New Roman"/>
          <w:sz w:val="16"/>
          <w:szCs w:val="16"/>
          <w:color w:val="auto"/>
        </w:rPr>
        <w:t>On January 22, 2024, Bank of Hawaii Corporation announced its results of operations for the quarter ended December 31, 2023. The public announcement was made by means of a press release, the text of which is furnished as Exhibit 99.1 hereto and incorporated herein by reference.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3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r>
      <w:tr>
        <w:trPr>
          <w:trHeight w:val="343"/>
        </w:trPr>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  Exhibits</w:t>
            </w:r>
          </w:p>
        </w:tc>
        <w:tc>
          <w:tcPr>
            <w:tcW w:w="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4"/>
        </w:trPr>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No.</w:t>
            </w:r>
          </w:p>
        </w:tc>
        <w:tc>
          <w:tcPr>
            <w:tcW w:w="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23"/>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99.1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January 22, 2024 Press Release: Bank of Hawaii Corporation Fourth Quarter 2023 Financial Results. Any internet addresses provided in this release are for</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69"/>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2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informational purposes only and are not intended to be hyperlinks. Furnished herewith.</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r>
      <w:tr>
        <w:trPr>
          <w:trHeight w:val="323"/>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Bank of Hawaii Corporation Fourth Quarter 2023 Financial Report</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r>
      <w:tr>
        <w:trPr>
          <w:trHeight w:val="359"/>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961"/>
        </w:trPr>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499" w:right="319" w:bottom="1440" w:gutter="0" w:footer="0" w:header="0"/>
        </w:sectPr>
      </w:pPr>
    </w:p>
    <w:bookmarkStart w:id="2" w:name="page3"/>
    <w:bookmarkEnd w:id="2"/>
    <w:p>
      <w:pPr>
        <w:jc w:val="center"/>
        <w:ind w:left="56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61" w:lineRule="exact"/>
        <w:rPr>
          <w:sz w:val="20"/>
          <w:szCs w:val="20"/>
          <w:color w:val="auto"/>
        </w:rPr>
      </w:pPr>
    </w:p>
    <w:p>
      <w:pPr>
        <w:ind w:right="20" w:firstLine="563"/>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Date: January 22, 2024</w:t>
            </w:r>
          </w:p>
        </w:tc>
        <w:tc>
          <w:tcPr>
            <w:tcW w:w="7740" w:type="dxa"/>
            <w:vAlign w:val="bottom"/>
            <w:gridSpan w:val="2"/>
          </w:tcPr>
          <w:p>
            <w:pPr>
              <w:ind w:left="2040"/>
              <w:spacing w:after="0"/>
              <w:rPr>
                <w:sz w:val="20"/>
                <w:szCs w:val="20"/>
                <w:color w:val="auto"/>
              </w:rPr>
            </w:pPr>
            <w:r>
              <w:rPr>
                <w:rFonts w:ascii="Times New Roman" w:cs="Times New Roman" w:eastAsia="Times New Roman" w:hAnsi="Times New Roman"/>
                <w:sz w:val="16"/>
                <w:szCs w:val="16"/>
                <w:color w:val="auto"/>
              </w:rPr>
              <w:t>Bank of Hawaii Corporation</w:t>
            </w:r>
          </w:p>
        </w:tc>
      </w:tr>
      <w:tr>
        <w:trPr>
          <w:trHeight w:val="673"/>
        </w:trPr>
        <w:tc>
          <w:tcPr>
            <w:tcW w:w="3520" w:type="dxa"/>
            <w:vAlign w:val="bottom"/>
          </w:tcPr>
          <w:p>
            <w:pPr>
              <w:spacing w:after="0"/>
              <w:rPr>
                <w:sz w:val="24"/>
                <w:szCs w:val="24"/>
                <w:color w:val="auto"/>
              </w:rPr>
            </w:pPr>
          </w:p>
        </w:tc>
        <w:tc>
          <w:tcPr>
            <w:tcW w:w="248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c>
          <w:tcPr>
            <w:tcW w:w="5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 Patrick M. McGuirk</w:t>
            </w:r>
          </w:p>
        </w:tc>
      </w:tr>
      <w:tr>
        <w:trPr>
          <w:trHeight w:val="205"/>
        </w:trPr>
        <w:tc>
          <w:tcPr>
            <w:tcW w:w="35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Patrick M. McGuirk</w:t>
            </w:r>
          </w:p>
        </w:tc>
      </w:tr>
      <w:tr>
        <w:trPr>
          <w:trHeight w:val="225"/>
        </w:trPr>
        <w:tc>
          <w:tcPr>
            <w:tcW w:w="35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Vice Chair and Chief Administrative Officer</w:t>
            </w:r>
          </w:p>
        </w:tc>
      </w:tr>
      <w:tr>
        <w:trPr>
          <w:trHeight w:val="1339"/>
        </w:trPr>
        <w:tc>
          <w:tcPr>
            <w:tcW w:w="35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1212850</wp:posOffset>
            </wp:positionH>
            <wp:positionV relativeFrom="paragraph">
              <wp:posOffset>19050</wp:posOffset>
            </wp:positionV>
            <wp:extent cx="4686300" cy="1517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8630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Bank of Hawai‘i Corporation Fourth Quarter 2023 Financial Results</w:t>
      </w:r>
    </w:p>
    <w:p>
      <w:pPr>
        <w:spacing w:after="0" w:line="209" w:lineRule="exact"/>
        <w:rPr>
          <w:sz w:val="20"/>
          <w:szCs w:val="20"/>
          <w:color w:val="auto"/>
        </w:rPr>
      </w:pPr>
    </w:p>
    <w:p>
      <w:pPr>
        <w:ind w:left="2040" w:hanging="515"/>
        <w:spacing w:after="0"/>
        <w:tabs>
          <w:tab w:leader="none" w:pos="20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2023 Diluted Earnings Per Common Share $4.14</w:t>
      </w:r>
    </w:p>
    <w:p>
      <w:pPr>
        <w:spacing w:after="0" w:line="27" w:lineRule="exact"/>
        <w:rPr>
          <w:rFonts w:ascii="Times New Roman" w:cs="Times New Roman" w:eastAsia="Times New Roman" w:hAnsi="Times New Roman"/>
          <w:sz w:val="17"/>
          <w:szCs w:val="17"/>
          <w:color w:val="auto"/>
        </w:rPr>
      </w:pPr>
    </w:p>
    <w:p>
      <w:pPr>
        <w:ind w:left="2040" w:hanging="515"/>
        <w:spacing w:after="0"/>
        <w:tabs>
          <w:tab w:leader="none" w:pos="20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Net Income $171.2 Million</w:t>
      </w:r>
    </w:p>
    <w:p>
      <w:pPr>
        <w:spacing w:after="0" w:line="5" w:lineRule="exact"/>
        <w:rPr>
          <w:rFonts w:ascii="Times New Roman" w:cs="Times New Roman" w:eastAsia="Times New Roman" w:hAnsi="Times New Roman"/>
          <w:sz w:val="17"/>
          <w:szCs w:val="17"/>
          <w:color w:val="auto"/>
        </w:rPr>
      </w:pPr>
    </w:p>
    <w:p>
      <w:pPr>
        <w:ind w:left="2040" w:hanging="515"/>
        <w:spacing w:after="0"/>
        <w:tabs>
          <w:tab w:leader="none" w:pos="20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Diluted Earnings Per Common Share $0.72 for the Fourth Quarter of 2023</w:t>
      </w:r>
    </w:p>
    <w:p>
      <w:pPr>
        <w:spacing w:after="0" w:line="5" w:lineRule="exact"/>
        <w:rPr>
          <w:rFonts w:ascii="Times New Roman" w:cs="Times New Roman" w:eastAsia="Times New Roman" w:hAnsi="Times New Roman"/>
          <w:sz w:val="17"/>
          <w:szCs w:val="17"/>
          <w:color w:val="auto"/>
        </w:rPr>
      </w:pPr>
    </w:p>
    <w:p>
      <w:pPr>
        <w:ind w:left="2040" w:hanging="515"/>
        <w:spacing w:after="0"/>
        <w:tabs>
          <w:tab w:leader="none" w:pos="20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Net Income $30.4 Million for the Fourth Quarter of 2023</w:t>
      </w:r>
    </w:p>
    <w:p>
      <w:pPr>
        <w:spacing w:after="0" w:line="5" w:lineRule="exact"/>
        <w:rPr>
          <w:rFonts w:ascii="Times New Roman" w:cs="Times New Roman" w:eastAsia="Times New Roman" w:hAnsi="Times New Roman"/>
          <w:sz w:val="17"/>
          <w:szCs w:val="17"/>
          <w:color w:val="auto"/>
        </w:rPr>
      </w:pPr>
    </w:p>
    <w:p>
      <w:pPr>
        <w:ind w:left="2040" w:hanging="515"/>
        <w:spacing w:after="0"/>
        <w:tabs>
          <w:tab w:leader="none" w:pos="20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Board of Directors Declares Dividend of $0.70 Per Common Share</w:t>
      </w:r>
    </w:p>
    <w:p>
      <w:pPr>
        <w:spacing w:after="0" w:line="5" w:lineRule="exact"/>
        <w:rPr>
          <w:rFonts w:ascii="Times New Roman" w:cs="Times New Roman" w:eastAsia="Times New Roman" w:hAnsi="Times New Roman"/>
          <w:sz w:val="17"/>
          <w:szCs w:val="17"/>
          <w:color w:val="auto"/>
        </w:rPr>
      </w:pPr>
    </w:p>
    <w:p>
      <w:pPr>
        <w:ind w:left="2040" w:hanging="515"/>
        <w:spacing w:after="0"/>
        <w:tabs>
          <w:tab w:leader="none" w:pos="20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Industry-wide FDIC Special Assessment Resulted in a $14.7 Million Charge in the Fourth Quarter of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 IMMEDIATE RELEASE</w:t>
      </w:r>
    </w:p>
    <w:p>
      <w:pPr>
        <w:spacing w:after="0" w:line="202" w:lineRule="exact"/>
        <w:rPr>
          <w:sz w:val="20"/>
          <w:szCs w:val="20"/>
          <w:color w:val="auto"/>
        </w:rPr>
      </w:pPr>
    </w:p>
    <w:p>
      <w:pPr>
        <w:jc w:val="both"/>
        <w:ind w:firstLine="751"/>
        <w:spacing w:after="0" w:line="259" w:lineRule="auto"/>
        <w:rPr>
          <w:sz w:val="20"/>
          <w:szCs w:val="20"/>
          <w:color w:val="auto"/>
        </w:rPr>
      </w:pPr>
      <w:r>
        <w:rPr>
          <w:rFonts w:ascii="Times New Roman" w:cs="Times New Roman" w:eastAsia="Times New Roman" w:hAnsi="Times New Roman"/>
          <w:sz w:val="17"/>
          <w:szCs w:val="17"/>
          <w:color w:val="auto"/>
        </w:rPr>
        <w:t>HONOLULU, HI (January 22, 2024) -- Bank of Hawai‘i Corporation (NYSE: BOH) today reported diluted earnings per common share of $4.14 for the full year of 2023 compared with diluted earnings per common share of $5.48 for the full year of 2022. An industry-wide FDIC Special Assessment resulted in a $14.7 million charge in the fourth quarter of 2023 which negatively impacted diluted earnings per common share by $0.29. Net income for the year was $171.2 million, down 24.2% from the previous year. The return on average common equity for the full year of 2023 was 13.89% compared with 17.83% in 2022.</w:t>
      </w:r>
    </w:p>
    <w:p>
      <w:pPr>
        <w:spacing w:after="0" w:line="161" w:lineRule="exact"/>
        <w:rPr>
          <w:sz w:val="20"/>
          <w:szCs w:val="20"/>
          <w:color w:val="auto"/>
        </w:rPr>
      </w:pPr>
    </w:p>
    <w:p>
      <w:pPr>
        <w:jc w:val="both"/>
        <w:ind w:firstLine="751"/>
        <w:spacing w:after="0" w:line="256" w:lineRule="auto"/>
        <w:rPr>
          <w:sz w:val="20"/>
          <w:szCs w:val="20"/>
          <w:color w:val="auto"/>
        </w:rPr>
      </w:pPr>
      <w:r>
        <w:rPr>
          <w:rFonts w:ascii="Times New Roman" w:cs="Times New Roman" w:eastAsia="Times New Roman" w:hAnsi="Times New Roman"/>
          <w:sz w:val="17"/>
          <w:szCs w:val="17"/>
          <w:color w:val="auto"/>
        </w:rPr>
        <w:t>“Bank of Hawai‘i managed through a challenging economic environment in 2023 and delivered strong financial results,” said Peter Ho, Chairman, President, and CEO. “Over the past year, we have demonstrated the resilience of our brand, deposit base and distinct business model. Total deposits were up 2.1% from the prior year and our credit quality remained excellent with non-performing assets of 0.08% at quarter end and net charge offs of 0.05% in the quarter. Our noninterest income held steady and we continued to demonstrate disciplined expense management. We focused on strengthening our balance sheet during the year and we are well positioned to deliver strong results in 2024.”</w:t>
      </w:r>
    </w:p>
    <w:p>
      <w:pPr>
        <w:spacing w:after="0" w:line="164" w:lineRule="exact"/>
        <w:rPr>
          <w:sz w:val="20"/>
          <w:szCs w:val="20"/>
          <w:color w:val="auto"/>
        </w:rPr>
      </w:pPr>
    </w:p>
    <w:p>
      <w:pPr>
        <w:jc w:val="both"/>
        <w:ind w:right="20" w:firstLine="751"/>
        <w:spacing w:after="0" w:line="259" w:lineRule="auto"/>
        <w:rPr>
          <w:sz w:val="20"/>
          <w:szCs w:val="20"/>
          <w:color w:val="auto"/>
        </w:rPr>
      </w:pPr>
      <w:r>
        <w:rPr>
          <w:rFonts w:ascii="Times New Roman" w:cs="Times New Roman" w:eastAsia="Times New Roman" w:hAnsi="Times New Roman"/>
          <w:sz w:val="17"/>
          <w:szCs w:val="17"/>
          <w:color w:val="auto"/>
        </w:rPr>
        <w:t>Diluted earnings per common share for the fourth quarter of 2023 was $0.72, compared with diluted earnings per common share of $1.17 in the previous quarter and $1.50 in the same quarter of 2022. Net income for the fourth quarter of 2023 was $30.4 million, down 36.5% from the previous quarter and down 50.4% from the same quarter of 2022. The return on average common equity for the fourth quarter of 2023 was 9.55% compared with 15.38% in the previous quarter and 21.28% in the same quarter of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Financial Highlights</w:t>
      </w:r>
    </w:p>
    <w:p>
      <w:pPr>
        <w:spacing w:after="0" w:line="209" w:lineRule="exact"/>
        <w:rPr>
          <w:sz w:val="20"/>
          <w:szCs w:val="20"/>
          <w:color w:val="auto"/>
        </w:rPr>
      </w:pPr>
    </w:p>
    <w:p>
      <w:pPr>
        <w:jc w:val="both"/>
        <w:ind w:firstLine="797"/>
        <w:spacing w:after="0" w:line="255" w:lineRule="auto"/>
        <w:rPr>
          <w:sz w:val="20"/>
          <w:szCs w:val="20"/>
          <w:color w:val="auto"/>
        </w:rPr>
      </w:pPr>
      <w:r>
        <w:rPr>
          <w:rFonts w:ascii="Times New Roman" w:cs="Times New Roman" w:eastAsia="Times New Roman" w:hAnsi="Times New Roman"/>
          <w:sz w:val="17"/>
          <w:szCs w:val="17"/>
          <w:color w:val="auto"/>
        </w:rPr>
        <w:t>Net interest income for the fourth quarter of 2023 was $115.8 million, a decrease of 4.3% from the previous quarter and a decrease of 17.7% from the same quarter of 2022. The decrease in net interest income in the fourth quarter of 2023 was primarily due to higher funding costs, partially offset by higher earning asset yields.</w:t>
      </w: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704850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184150</wp:posOffset>
            </wp:positionV>
            <wp:extent cx="4092575" cy="142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92575" cy="142875"/>
                    </a:xfrm>
                    <a:prstGeom prst="rect">
                      <a:avLst/>
                    </a:prstGeom>
                    <a:noFill/>
                  </pic:spPr>
                </pic:pic>
              </a:graphicData>
            </a:graphic>
          </wp:anchor>
        </w:drawing>
      </w:r>
    </w:p>
    <w:p>
      <w:pPr>
        <w:sectPr>
          <w:pgSz w:w="11900" w:h="16838" w:orient="portrait"/>
          <w:cols w:equalWidth="0" w:num="1">
            <w:col w:w="11260"/>
          </w:cols>
          <w:pgMar w:left="320" w:top="115" w:right="319" w:bottom="1440" w:gutter="0" w:footer="0" w:header="0"/>
        </w:sectPr>
      </w:pPr>
    </w:p>
    <w:bookmarkStart w:id="4" w:name="page5"/>
    <w:bookmarkEnd w:id="4"/>
    <w:p>
      <w:pPr>
        <w:spacing w:after="0"/>
        <w:tabs>
          <w:tab w:leader="none" w:pos="10740" w:val="left"/>
        </w:tabs>
        <w:rPr>
          <w:sz w:val="20"/>
          <w:szCs w:val="20"/>
          <w:color w:val="auto"/>
        </w:rPr>
      </w:pPr>
      <w:r>
        <w:rPr>
          <w:rFonts w:ascii="Times New Roman" w:cs="Times New Roman" w:eastAsia="Times New Roman" w:hAnsi="Times New Roman"/>
          <w:sz w:val="17"/>
          <w:szCs w:val="17"/>
          <w:b w:val="1"/>
          <w:bCs w:val="1"/>
          <w:color w:val="auto"/>
        </w:rPr>
        <w:t>Bank of Hawai‘i Corporation Fourth Quarter 2023 Financial Results</w:t>
      </w:r>
      <w:r>
        <w:rPr>
          <w:sz w:val="20"/>
          <w:szCs w:val="20"/>
          <w:color w:val="auto"/>
        </w:rPr>
        <w:tab/>
      </w:r>
      <w:r>
        <w:rPr>
          <w:rFonts w:ascii="Times New Roman" w:cs="Times New Roman" w:eastAsia="Times New Roman" w:hAnsi="Times New Roman"/>
          <w:sz w:val="17"/>
          <w:szCs w:val="17"/>
          <w:b w:val="1"/>
          <w:bCs w:val="1"/>
          <w:color w:val="auto"/>
        </w:rPr>
        <w:t>Page 2</w:t>
      </w:r>
    </w:p>
    <w:p>
      <w:pPr>
        <w:spacing w:after="0" w:line="209"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Net interest margin was 2.13% in the fourth quarter of 2023, unchanged from the previous quarter and a decrease of 47 basis points from the same quarter of 2022. Net interest margin in the fourth quarter of 2023 was negatively impacted by higher funding costs, partially offset by higher earning asset yields.</w:t>
      </w:r>
    </w:p>
    <w:p>
      <w:pPr>
        <w:spacing w:after="0" w:line="141" w:lineRule="exact"/>
        <w:rPr>
          <w:sz w:val="20"/>
          <w:szCs w:val="20"/>
          <w:color w:val="auto"/>
        </w:rPr>
      </w:pPr>
    </w:p>
    <w:p>
      <w:pPr>
        <w:jc w:val="both"/>
        <w:ind w:firstLine="751"/>
        <w:spacing w:after="0" w:line="254" w:lineRule="auto"/>
        <w:rPr>
          <w:sz w:val="20"/>
          <w:szCs w:val="20"/>
          <w:color w:val="auto"/>
        </w:rPr>
      </w:pPr>
      <w:r>
        <w:rPr>
          <w:rFonts w:ascii="Times New Roman" w:cs="Times New Roman" w:eastAsia="Times New Roman" w:hAnsi="Times New Roman"/>
          <w:sz w:val="17"/>
          <w:szCs w:val="17"/>
          <w:color w:val="auto"/>
        </w:rPr>
        <w:t>The average yield on loans and leases was 4.54% in the fourth quarter of 2023, up 20 basis points from the prior quarter and up 73 basis points from the same quarter of 2022. The average yield on total earning assets was 3.85% in the fourth quarter of 2023, up 13 basis points from the prior quarter and up 68 basis points from the same quarter of 2022. The average cost of interest-bearing deposits was 2.30% in the fourth quarter of 2023, up 35 basis points from the prior quarter and up 161 basis points from the same quarter of 2022. The average cost of total deposits, including noninterest-bearing deposits, was 1.67%, up 27 basis points from the prior quarter and up 121 basis points from the same quarter of 2022. The changes in yields and rates over the linked quarter and year over year period reflected the higher rate environment, including higher benchmark interest rates.</w:t>
      </w:r>
    </w:p>
    <w:p>
      <w:pPr>
        <w:spacing w:after="0" w:line="178" w:lineRule="exact"/>
        <w:rPr>
          <w:sz w:val="20"/>
          <w:szCs w:val="20"/>
          <w:color w:val="auto"/>
        </w:rPr>
      </w:pPr>
    </w:p>
    <w:p>
      <w:pPr>
        <w:jc w:val="both"/>
        <w:ind w:firstLine="751"/>
        <w:spacing w:after="0" w:line="259" w:lineRule="auto"/>
        <w:rPr>
          <w:sz w:val="20"/>
          <w:szCs w:val="20"/>
          <w:color w:val="auto"/>
        </w:rPr>
      </w:pPr>
      <w:r>
        <w:rPr>
          <w:rFonts w:ascii="Times New Roman" w:cs="Times New Roman" w:eastAsia="Times New Roman" w:hAnsi="Times New Roman"/>
          <w:sz w:val="17"/>
          <w:szCs w:val="17"/>
          <w:color w:val="auto"/>
        </w:rPr>
        <w:t>Noninterest income was $42.3 million in the fourth quarter of 2023, a decrease of 16.0% from the previous quarter and an increase of 2.7% from the same period in 2022. Noninterest income in the third quarter of 2023 included a $14.7 million gain from the early termination of private repurchase agreements, partially offset by a $4.6 million net loss related to investment securities sales and a negative $0.8 million adjustment related to a change in the Visa Class B conversion ratio. Adjusted for these items in the prior quarter, noninterest income increased by 3.0% quarter over quarter.</w:t>
      </w:r>
    </w:p>
    <w:p>
      <w:pPr>
        <w:spacing w:after="0" w:line="161" w:lineRule="exact"/>
        <w:rPr>
          <w:sz w:val="20"/>
          <w:szCs w:val="20"/>
          <w:color w:val="auto"/>
        </w:rPr>
      </w:pPr>
    </w:p>
    <w:p>
      <w:pPr>
        <w:ind w:right="40" w:firstLine="751"/>
        <w:spacing w:after="0" w:line="256" w:lineRule="auto"/>
        <w:rPr>
          <w:sz w:val="20"/>
          <w:szCs w:val="20"/>
          <w:color w:val="auto"/>
        </w:rPr>
      </w:pPr>
      <w:r>
        <w:rPr>
          <w:rFonts w:ascii="Times New Roman" w:cs="Times New Roman" w:eastAsia="Times New Roman" w:hAnsi="Times New Roman"/>
          <w:sz w:val="17"/>
          <w:szCs w:val="17"/>
          <w:color w:val="auto"/>
        </w:rPr>
        <w:t>Noninterest expense was $116.0 million in the fourth quarter of 2023, an increase of 9.8% from the previous quarter and an increase of 12.9% from the same quarter of 2022. Noninterest expense in the fourth quarter of 2023 included an industry-wide FDIC Special Assessment of $14.7 million and $1.7 million of expense savings that are not expected to recur in 2024. Noninterest expense in the third quarter of 2023 included separation expenses of $2.1 million and extraordinary expenses related to the Maui wildfires of $0.4 million. Adjusted core noninterest expense in the fourth quarter of 2023 was $102.9 million, down slightly from adjusted noninterest expense in the previous quarter and up 0.2% from the noninterest expense in the same period in 2022.</w:t>
      </w:r>
    </w:p>
    <w:p>
      <w:pPr>
        <w:spacing w:after="0" w:line="164" w:lineRule="exact"/>
        <w:rPr>
          <w:sz w:val="20"/>
          <w:szCs w:val="20"/>
          <w:color w:val="auto"/>
        </w:rPr>
      </w:pPr>
    </w:p>
    <w:p>
      <w:pPr>
        <w:jc w:val="both"/>
        <w:ind w:right="20" w:firstLine="751"/>
        <w:spacing w:after="0" w:line="265" w:lineRule="auto"/>
        <w:rPr>
          <w:sz w:val="20"/>
          <w:szCs w:val="20"/>
          <w:color w:val="auto"/>
        </w:rPr>
      </w:pPr>
      <w:r>
        <w:rPr>
          <w:rFonts w:ascii="Times New Roman" w:cs="Times New Roman" w:eastAsia="Times New Roman" w:hAnsi="Times New Roman"/>
          <w:sz w:val="17"/>
          <w:szCs w:val="17"/>
          <w:color w:val="auto"/>
        </w:rPr>
        <w:t>The effective tax rate for the fourth quarter of 2023 was 23.25% compared with 24.76% in the previous quarter and 22.40% during the same quarter of 2022. The decrease in the effective tax rate on a linked quarter basis was mainly due to discrete tax items recognized in the fourth quarter. The year over year increase was primarily due to tax benefits in the fourth quarter of 2022 related to our agreement to sell assets that terminated certain leveraged leases.</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u w:val="single" w:color="auto"/>
          <w:color w:val="auto"/>
        </w:rPr>
        <w:t>Asset Quality</w:t>
      </w:r>
    </w:p>
    <w:p>
      <w:pPr>
        <w:spacing w:after="0" w:line="197" w:lineRule="exact"/>
        <w:rPr>
          <w:sz w:val="20"/>
          <w:szCs w:val="20"/>
          <w:color w:val="auto"/>
        </w:rPr>
      </w:pPr>
    </w:p>
    <w:p>
      <w:pPr>
        <w:ind w:right="200" w:firstLine="751"/>
        <w:spacing w:after="0" w:line="284" w:lineRule="auto"/>
        <w:rPr>
          <w:sz w:val="20"/>
          <w:szCs w:val="20"/>
          <w:color w:val="auto"/>
        </w:rPr>
      </w:pPr>
      <w:r>
        <w:rPr>
          <w:rFonts w:ascii="Times New Roman" w:cs="Times New Roman" w:eastAsia="Times New Roman" w:hAnsi="Times New Roman"/>
          <w:sz w:val="17"/>
          <w:szCs w:val="17"/>
          <w:color w:val="auto"/>
        </w:rPr>
        <w:t>The Company’s overall asset quality remained strong during the fourth quarter of 2023. Provision for credit losses for the fourth quarter of 2023 was $2.5 million compared with $2.0 million in the previous quarter and $0.2 million in the same quarter of 2022.</w:t>
      </w:r>
    </w:p>
    <w:p>
      <w:pPr>
        <w:spacing w:after="0" w:line="141" w:lineRule="exact"/>
        <w:rPr>
          <w:sz w:val="20"/>
          <w:szCs w:val="20"/>
          <w:color w:val="auto"/>
        </w:rPr>
      </w:pPr>
    </w:p>
    <w:p>
      <w:pPr>
        <w:ind w:right="240" w:firstLine="751"/>
        <w:spacing w:after="0" w:line="265" w:lineRule="auto"/>
        <w:rPr>
          <w:sz w:val="20"/>
          <w:szCs w:val="20"/>
          <w:color w:val="auto"/>
        </w:rPr>
      </w:pPr>
      <w:r>
        <w:rPr>
          <w:rFonts w:ascii="Times New Roman" w:cs="Times New Roman" w:eastAsia="Times New Roman" w:hAnsi="Times New Roman"/>
          <w:sz w:val="17"/>
          <w:szCs w:val="17"/>
          <w:color w:val="auto"/>
        </w:rPr>
        <w:t>Total non-performing assets were $11.7 million at December 31, 2023, up $0.2 million from September 30, 2023 and down $0.9 million from December 31, 2022. Non-performing assets as a percentage of total loans and leases and foreclosed real estate were 0.08% at the end of the quarter, unchanged from the end of the prior quarter and a decrease of 1 basis point from the same quarter of 2022.</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619760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5" w:name="page6"/>
    <w:bookmarkEnd w:id="5"/>
    <w:p>
      <w:pPr>
        <w:spacing w:after="0"/>
        <w:tabs>
          <w:tab w:leader="none" w:pos="10740" w:val="left"/>
        </w:tabs>
        <w:rPr>
          <w:sz w:val="20"/>
          <w:szCs w:val="20"/>
          <w:color w:val="auto"/>
        </w:rPr>
      </w:pPr>
      <w:r>
        <w:rPr>
          <w:rFonts w:ascii="Times New Roman" w:cs="Times New Roman" w:eastAsia="Times New Roman" w:hAnsi="Times New Roman"/>
          <w:sz w:val="17"/>
          <w:szCs w:val="17"/>
          <w:b w:val="1"/>
          <w:bCs w:val="1"/>
          <w:color w:val="auto"/>
        </w:rPr>
        <w:t>Bank of Hawai‘i Corporation Fourth Quarter 2023 Financial Results</w:t>
      </w:r>
      <w:r>
        <w:rPr>
          <w:sz w:val="20"/>
          <w:szCs w:val="20"/>
          <w:color w:val="auto"/>
        </w:rPr>
        <w:tab/>
      </w:r>
      <w:r>
        <w:rPr>
          <w:rFonts w:ascii="Times New Roman" w:cs="Times New Roman" w:eastAsia="Times New Roman" w:hAnsi="Times New Roman"/>
          <w:sz w:val="17"/>
          <w:szCs w:val="17"/>
          <w:b w:val="1"/>
          <w:bCs w:val="1"/>
          <w:color w:val="auto"/>
        </w:rPr>
        <w:t>Page 3</w:t>
      </w:r>
    </w:p>
    <w:p>
      <w:pPr>
        <w:spacing w:after="0" w:line="200" w:lineRule="exact"/>
        <w:rPr>
          <w:sz w:val="20"/>
          <w:szCs w:val="20"/>
          <w:color w:val="auto"/>
        </w:rPr>
      </w:pPr>
    </w:p>
    <w:p>
      <w:pPr>
        <w:spacing w:after="0" w:line="210" w:lineRule="exact"/>
        <w:rPr>
          <w:sz w:val="20"/>
          <w:szCs w:val="20"/>
          <w:color w:val="auto"/>
        </w:rPr>
      </w:pPr>
    </w:p>
    <w:p>
      <w:pPr>
        <w:jc w:val="both"/>
        <w:ind w:firstLine="751"/>
        <w:spacing w:after="0" w:line="259" w:lineRule="auto"/>
        <w:rPr>
          <w:sz w:val="20"/>
          <w:szCs w:val="20"/>
          <w:color w:val="auto"/>
        </w:rPr>
      </w:pPr>
      <w:r>
        <w:rPr>
          <w:rFonts w:ascii="Times New Roman" w:cs="Times New Roman" w:eastAsia="Times New Roman" w:hAnsi="Times New Roman"/>
          <w:sz w:val="17"/>
          <w:szCs w:val="17"/>
          <w:color w:val="auto"/>
        </w:rPr>
        <w:t>Net loan and lease charge-offs during the fourth quarter of 2023 were $1.7 million or 5 basis points annualized of total average loans and leases outstanding. Net loan and lease charge-offs for the fourth quarter of 2023 were comprised of charge-offs of $3.5 million partially offset by recoveries of $1.8 million. Compared to the prior quarter, net loan and lease charge-offs decreased by $0.3 million or 1 basis point annualized on total average loans and leases outstanding. Compared to the same quarter of 2022, net loan and lease charge-offs decreased by $0.1 million.</w:t>
      </w:r>
    </w:p>
    <w:p>
      <w:pPr>
        <w:spacing w:after="0" w:line="161" w:lineRule="exact"/>
        <w:rPr>
          <w:sz w:val="20"/>
          <w:szCs w:val="20"/>
          <w:color w:val="auto"/>
        </w:rPr>
      </w:pPr>
    </w:p>
    <w:p>
      <w:pPr>
        <w:ind w:right="180" w:firstLine="751"/>
        <w:spacing w:after="0" w:line="265" w:lineRule="auto"/>
        <w:rPr>
          <w:sz w:val="20"/>
          <w:szCs w:val="20"/>
          <w:color w:val="auto"/>
        </w:rPr>
      </w:pPr>
      <w:r>
        <w:rPr>
          <w:rFonts w:ascii="Times New Roman" w:cs="Times New Roman" w:eastAsia="Times New Roman" w:hAnsi="Times New Roman"/>
          <w:sz w:val="17"/>
          <w:szCs w:val="17"/>
          <w:color w:val="auto"/>
        </w:rPr>
        <w:t>The allowance for credit losses on loans and leases was $146.4 million at December 31, 2023, an increase of $1.1 million from September 30, 2023 and an increase of $2.0 million from December 31, 2022. The ratio of the allowance for credit losses to total loans and leases outstanding was 1.05% at the end of the quarter, up 1 basis point from the end of the prior quarter and down 1 basis point from the same quarter of 2022.</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Balance Sheet</w:t>
      </w:r>
    </w:p>
    <w:p>
      <w:pPr>
        <w:spacing w:after="0" w:line="209" w:lineRule="exact"/>
        <w:rPr>
          <w:sz w:val="20"/>
          <w:szCs w:val="20"/>
          <w:color w:val="auto"/>
        </w:rPr>
      </w:pPr>
    </w:p>
    <w:p>
      <w:pPr>
        <w:jc w:val="both"/>
        <w:ind w:right="20" w:firstLine="751"/>
        <w:spacing w:after="0" w:line="265" w:lineRule="auto"/>
        <w:rPr>
          <w:sz w:val="20"/>
          <w:szCs w:val="20"/>
          <w:color w:val="auto"/>
        </w:rPr>
      </w:pPr>
      <w:r>
        <w:rPr>
          <w:rFonts w:ascii="Times New Roman" w:cs="Times New Roman" w:eastAsia="Times New Roman" w:hAnsi="Times New Roman"/>
          <w:sz w:val="17"/>
          <w:szCs w:val="17"/>
          <w:color w:val="auto"/>
        </w:rPr>
        <w:t>Total assets were $23.7 billion at December 31, 2023, an increase of 0.8% from September 30, 2023 and an increase of 0.5% from December 31, 2022. The increase from the prior quarter was primarily due to an increase in funds sold. The increase from the same period in 2022 was primarily due to increases in funds sold and loans and leases partially offset by a decrease in investment securities.</w:t>
      </w:r>
    </w:p>
    <w:p>
      <w:pPr>
        <w:spacing w:after="0" w:line="157" w:lineRule="exact"/>
        <w:rPr>
          <w:sz w:val="20"/>
          <w:szCs w:val="20"/>
          <w:color w:val="auto"/>
        </w:rPr>
      </w:pPr>
    </w:p>
    <w:p>
      <w:pPr>
        <w:jc w:val="both"/>
        <w:ind w:right="40" w:firstLine="751"/>
        <w:spacing w:after="0" w:line="256" w:lineRule="auto"/>
        <w:rPr>
          <w:sz w:val="20"/>
          <w:szCs w:val="20"/>
          <w:color w:val="auto"/>
        </w:rPr>
      </w:pPr>
      <w:r>
        <w:rPr>
          <w:rFonts w:ascii="Times New Roman" w:cs="Times New Roman" w:eastAsia="Times New Roman" w:hAnsi="Times New Roman"/>
          <w:sz w:val="17"/>
          <w:szCs w:val="17"/>
          <w:color w:val="auto"/>
        </w:rPr>
        <w:t>The investment securities portfolio was $7.4 billion at December 31, 2023, a decrease of 0.9% from September 30, 2023 and a decrease of 10.3% from December 31, 2022. The decrease from the prior quarter was mainly due to cashflows from the portfolio not being reinvested into securities. The decrease from the same period in 2022 was primarily due to $159.1 million of investment securities sold in the third quarter of 2023 and cashflows from the portfolio not being reinvested into securities. The investment portfolio remains largely comprised of securities issued by U.S. government agencies and U.S. government-sponsored enterprises.</w:t>
      </w:r>
    </w:p>
    <w:p>
      <w:pPr>
        <w:spacing w:after="0" w:line="164" w:lineRule="exact"/>
        <w:rPr>
          <w:sz w:val="20"/>
          <w:szCs w:val="20"/>
          <w:color w:val="auto"/>
        </w:rPr>
      </w:pPr>
    </w:p>
    <w:p>
      <w:pPr>
        <w:jc w:val="both"/>
        <w:ind w:right="20" w:firstLine="751"/>
        <w:spacing w:after="0" w:line="259" w:lineRule="auto"/>
        <w:rPr>
          <w:sz w:val="20"/>
          <w:szCs w:val="20"/>
          <w:color w:val="auto"/>
        </w:rPr>
      </w:pPr>
      <w:r>
        <w:rPr>
          <w:rFonts w:ascii="Times New Roman" w:cs="Times New Roman" w:eastAsia="Times New Roman" w:hAnsi="Times New Roman"/>
          <w:sz w:val="17"/>
          <w:szCs w:val="17"/>
          <w:color w:val="auto"/>
        </w:rPr>
        <w:t>Total loans and leases were $14.0 billion at December 31, 2023, an increase of 0.3% from September 30, 2023 and an increase of 2.3% from December 31, 2022. Total commercial loans were $5.8 billion at December 31, 2023, an increase of 1.7% from the prior quarter and an increase of 5.7% from the same quarter of 2022, primarily due to an increase in our commercial and industrial portfolio. Total consumer loans were $8.2 billion as of December 31, 2023, a decrease of 0.6% from the prior quarter and an increase of 0.1% from the same period in 2022.</w:t>
      </w:r>
    </w:p>
    <w:p>
      <w:pPr>
        <w:spacing w:after="0" w:line="161" w:lineRule="exact"/>
        <w:rPr>
          <w:sz w:val="20"/>
          <w:szCs w:val="20"/>
          <w:color w:val="auto"/>
        </w:rPr>
      </w:pPr>
    </w:p>
    <w:p>
      <w:pPr>
        <w:jc w:val="both"/>
        <w:ind w:right="240" w:firstLine="751"/>
        <w:spacing w:after="0" w:line="255" w:lineRule="auto"/>
        <w:rPr>
          <w:sz w:val="20"/>
          <w:szCs w:val="20"/>
          <w:color w:val="auto"/>
        </w:rPr>
      </w:pPr>
      <w:r>
        <w:rPr>
          <w:rFonts w:ascii="Times New Roman" w:cs="Times New Roman" w:eastAsia="Times New Roman" w:hAnsi="Times New Roman"/>
          <w:sz w:val="17"/>
          <w:szCs w:val="17"/>
          <w:color w:val="auto"/>
        </w:rPr>
        <w:t>Total deposits were $21.1 billion at December 31, 2023, an increase of 1.2% from September 30, 2023 and an increase of 2.1% from December 31, 2022. Noninterest-bearing deposits made up 29% of total deposit balances as of December 31, 2023, up from 27% as of September 30, 2023, and down from 33% as of December 31, 2022. Average total deposits were $20.7 billion for the fourth quarter of 2023, up 1.0% from $20.5 billion in the prior quarter, and up</w:t>
      </w: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1.8% from $20.3 billion in the fourth quarter of 2022. As of December 31, 2023, insured and uninsured but collateralized deposits represent 58% of total deposit balances, relatively flat from 58% as of September 30, 2023, and up from 57% as of December 31, 2022. As of December 31, 2023, our readily available liquidity of $10.2 billion exceeded total uninsured and uncollateralized deposits of $8.9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627380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6" w:name="page7"/>
    <w:bookmarkEnd w:id="6"/>
    <w:p>
      <w:pPr>
        <w:spacing w:after="0"/>
        <w:tabs>
          <w:tab w:leader="none" w:pos="10740" w:val="left"/>
        </w:tabs>
        <w:rPr>
          <w:sz w:val="20"/>
          <w:szCs w:val="20"/>
          <w:color w:val="auto"/>
        </w:rPr>
      </w:pPr>
      <w:r>
        <w:rPr>
          <w:rFonts w:ascii="Times New Roman" w:cs="Times New Roman" w:eastAsia="Times New Roman" w:hAnsi="Times New Roman"/>
          <w:sz w:val="17"/>
          <w:szCs w:val="17"/>
          <w:b w:val="1"/>
          <w:bCs w:val="1"/>
          <w:color w:val="auto"/>
        </w:rPr>
        <w:t>Bank of Hawai‘i Corporation Fourth Quarter 2023 Financial Results</w:t>
      </w:r>
      <w:r>
        <w:rPr>
          <w:sz w:val="20"/>
          <w:szCs w:val="20"/>
          <w:color w:val="auto"/>
        </w:rPr>
        <w:tab/>
      </w:r>
      <w:r>
        <w:rPr>
          <w:rFonts w:ascii="Times New Roman" w:cs="Times New Roman" w:eastAsia="Times New Roman" w:hAnsi="Times New Roman"/>
          <w:sz w:val="17"/>
          <w:szCs w:val="17"/>
          <w:b w:val="1"/>
          <w:bCs w:val="1"/>
          <w:color w:val="auto"/>
        </w:rPr>
        <w:t>Page 4</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Capital and Dividends</w:t>
      </w: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The Company’s capital levels increased quarter over quarter and remain well above regulatory well-capitalized minimums.</w:t>
      </w:r>
    </w:p>
    <w:p>
      <w:pPr>
        <w:spacing w:after="0" w:line="195" w:lineRule="exact"/>
        <w:rPr>
          <w:sz w:val="20"/>
          <w:szCs w:val="20"/>
          <w:color w:val="auto"/>
        </w:rPr>
      </w:pPr>
    </w:p>
    <w:p>
      <w:pPr>
        <w:jc w:val="both"/>
        <w:ind w:right="20" w:firstLine="751"/>
        <w:spacing w:after="0" w:line="259" w:lineRule="auto"/>
        <w:rPr>
          <w:sz w:val="20"/>
          <w:szCs w:val="20"/>
          <w:color w:val="auto"/>
        </w:rPr>
      </w:pPr>
      <w:r>
        <w:rPr>
          <w:rFonts w:ascii="Times New Roman" w:cs="Times New Roman" w:eastAsia="Times New Roman" w:hAnsi="Times New Roman"/>
          <w:sz w:val="17"/>
          <w:szCs w:val="17"/>
          <w:color w:val="auto"/>
        </w:rPr>
        <w:t>The Tier 1 Capital Ratio was 12.56% at December 31, 2023 compared with 12.53% at September 30, 2023 and 12.15% at December 31, 2022. The Tier 1 Leverage Ratio was 7.51% at December 31, 2023, up 29 basis points from 7.22% at September 30, 2023 and up 14 basis points from 7.37% at December 31, 2022. The increases from the prior quarter were due to an increase in Tier 1 capital as a result of retained earnings growth and a decrease in average total assets. The increases from the same period in 2022 were mainly due to an increase in Tier 1 capital as a result of retained earnings growth.</w:t>
      </w:r>
    </w:p>
    <w:p>
      <w:pPr>
        <w:spacing w:after="0" w:line="173" w:lineRule="exact"/>
        <w:rPr>
          <w:sz w:val="20"/>
          <w:szCs w:val="20"/>
          <w:color w:val="auto"/>
        </w:rPr>
      </w:pPr>
    </w:p>
    <w:p>
      <w:pPr>
        <w:jc w:val="both"/>
        <w:ind w:right="20" w:firstLine="751"/>
        <w:spacing w:after="0" w:line="284" w:lineRule="auto"/>
        <w:rPr>
          <w:sz w:val="20"/>
          <w:szCs w:val="20"/>
          <w:color w:val="auto"/>
        </w:rPr>
      </w:pPr>
      <w:r>
        <w:rPr>
          <w:rFonts w:ascii="Times New Roman" w:cs="Times New Roman" w:eastAsia="Times New Roman" w:hAnsi="Times New Roman"/>
          <w:sz w:val="17"/>
          <w:szCs w:val="17"/>
          <w:color w:val="auto"/>
        </w:rPr>
        <w:t>No shares of common stock were repurchased under the share repurchase program in the fourth quarter of 2023. Total remaining buyback authority under the share repurchase program was $126.0 million at December 31, 2023.</w:t>
      </w:r>
    </w:p>
    <w:p>
      <w:pPr>
        <w:spacing w:after="0" w:line="141" w:lineRule="exact"/>
        <w:rPr>
          <w:sz w:val="20"/>
          <w:szCs w:val="20"/>
          <w:color w:val="auto"/>
        </w:rPr>
      </w:pPr>
    </w:p>
    <w:p>
      <w:pPr>
        <w:jc w:val="both"/>
        <w:ind w:firstLine="751"/>
        <w:spacing w:after="0" w:line="284" w:lineRule="auto"/>
        <w:rPr>
          <w:sz w:val="20"/>
          <w:szCs w:val="20"/>
          <w:color w:val="auto"/>
        </w:rPr>
      </w:pPr>
      <w:r>
        <w:rPr>
          <w:rFonts w:ascii="Times New Roman" w:cs="Times New Roman" w:eastAsia="Times New Roman" w:hAnsi="Times New Roman"/>
          <w:sz w:val="17"/>
          <w:szCs w:val="17"/>
          <w:color w:val="auto"/>
        </w:rPr>
        <w:t>The Company’s Board of Directors declared a quarterly cash dividend of $0.70 per share on the Company’s outstanding common shares. The dividend will be payable on March 14, 2024 to shareholders of record at the close of business on February 29, 2024.</w:t>
      </w:r>
    </w:p>
    <w:p>
      <w:pPr>
        <w:spacing w:after="0" w:line="141" w:lineRule="exact"/>
        <w:rPr>
          <w:sz w:val="20"/>
          <w:szCs w:val="20"/>
          <w:color w:val="auto"/>
        </w:rPr>
      </w:pPr>
    </w:p>
    <w:p>
      <w:pPr>
        <w:jc w:val="both"/>
        <w:ind w:right="120" w:firstLine="751"/>
        <w:spacing w:after="0" w:line="265" w:lineRule="auto"/>
        <w:rPr>
          <w:sz w:val="20"/>
          <w:szCs w:val="20"/>
          <w:color w:val="auto"/>
        </w:rPr>
      </w:pPr>
      <w:r>
        <w:rPr>
          <w:rFonts w:ascii="Times New Roman" w:cs="Times New Roman" w:eastAsia="Times New Roman" w:hAnsi="Times New Roman"/>
          <w:sz w:val="17"/>
          <w:szCs w:val="17"/>
          <w:color w:val="auto"/>
        </w:rPr>
        <w:t>On January 5, 2024, the Company announced that the Board of Directors declared the quarterly dividend payment of $10.94 per share, equivalent to $0.2735 per depositary share, on its preferred stock. The depositary shares representing the Series A Preferred Stock are traded on the NYSE under the symbol “BOH.PRA.” The dividend will be payable on February 1, 2024 to shareholders of record of the preferred stock as of the close of business on January 16,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Conference Call Information</w:t>
      </w:r>
    </w:p>
    <w:p>
      <w:pPr>
        <w:spacing w:after="0" w:line="197" w:lineRule="exact"/>
        <w:rPr>
          <w:sz w:val="20"/>
          <w:szCs w:val="20"/>
          <w:color w:val="auto"/>
        </w:rPr>
      </w:pPr>
    </w:p>
    <w:p>
      <w:pPr>
        <w:jc w:val="both"/>
        <w:ind w:firstLine="751"/>
        <w:spacing w:after="0" w:line="259" w:lineRule="auto"/>
        <w:rPr>
          <w:sz w:val="20"/>
          <w:szCs w:val="20"/>
          <w:color w:val="auto"/>
        </w:rPr>
      </w:pPr>
      <w:r>
        <w:rPr>
          <w:rFonts w:ascii="Times New Roman" w:cs="Times New Roman" w:eastAsia="Times New Roman" w:hAnsi="Times New Roman"/>
          <w:sz w:val="17"/>
          <w:szCs w:val="17"/>
          <w:color w:val="auto"/>
        </w:rPr>
        <w:t xml:space="preserve">The Company will review its fourth quarter financial results today at 8:00 a.m. Hawai‘i Time (1:00 p.m. Eastern Time). The live call, including a slide presentation, will be accessible on the investor relations link of Bank of Hawai‘i Corporation's website, </w:t>
      </w:r>
      <w:r>
        <w:rPr>
          <w:rFonts w:ascii="Times New Roman" w:cs="Times New Roman" w:eastAsia="Times New Roman" w:hAnsi="Times New Roman"/>
          <w:sz w:val="17"/>
          <w:szCs w:val="17"/>
          <w:u w:val="single" w:color="auto"/>
          <w:color w:val="0000FF"/>
        </w:rPr>
        <w:t>www.boh.com</w:t>
      </w:r>
      <w:r>
        <w:rPr>
          <w:rFonts w:ascii="Times New Roman" w:cs="Times New Roman" w:eastAsia="Times New Roman" w:hAnsi="Times New Roman"/>
          <w:sz w:val="17"/>
          <w:szCs w:val="17"/>
          <w:color w:val="auto"/>
        </w:rPr>
        <w:t xml:space="preserve">. The webcast can be accessed via the link: </w:t>
      </w:r>
      <w:r>
        <w:rPr>
          <w:rFonts w:ascii="Times New Roman" w:cs="Times New Roman" w:eastAsia="Times New Roman" w:hAnsi="Times New Roman"/>
          <w:sz w:val="17"/>
          <w:szCs w:val="17"/>
          <w:u w:val="single" w:color="auto"/>
          <w:color w:val="0000FF"/>
        </w:rPr>
        <w:t>https://register.vevent.com/register/BIa96006b6de704a3690a1e0eeb5330a09</w:t>
      </w:r>
      <w:r>
        <w:rPr>
          <w:rFonts w:ascii="Times New Roman" w:cs="Times New Roman" w:eastAsia="Times New Roman" w:hAnsi="Times New Roman"/>
          <w:sz w:val="17"/>
          <w:szCs w:val="17"/>
          <w:color w:val="auto"/>
        </w:rPr>
        <w:t xml:space="preserve">. A replay of the webcast will be available for one year beginning approximately 11:00 a.m. Hawai‘i Time on Monday, January 22, 2024. The replay will be available on the Company's website, </w:t>
      </w:r>
      <w:r>
        <w:rPr>
          <w:rFonts w:ascii="Times New Roman" w:cs="Times New Roman" w:eastAsia="Times New Roman" w:hAnsi="Times New Roman"/>
          <w:sz w:val="17"/>
          <w:szCs w:val="17"/>
          <w:u w:val="single" w:color="auto"/>
          <w:color w:val="0000FF"/>
        </w:rPr>
        <w:t>www.boh.com</w:t>
      </w:r>
      <w:r>
        <w:rPr>
          <w:rFonts w:ascii="Times New Roman" w:cs="Times New Roman" w:eastAsia="Times New Roman" w:hAnsi="Times New Roman"/>
          <w:sz w:val="17"/>
          <w:szCs w:val="17"/>
          <w:color w:val="auto"/>
        </w:rPr>
        <w: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 Announcements</w:t>
      </w:r>
    </w:p>
    <w:p>
      <w:pPr>
        <w:spacing w:after="0" w:line="209" w:lineRule="exact"/>
        <w:rPr>
          <w:sz w:val="20"/>
          <w:szCs w:val="20"/>
          <w:color w:val="auto"/>
        </w:rPr>
      </w:pPr>
    </w:p>
    <w:p>
      <w:pPr>
        <w:jc w:val="both"/>
        <w:ind w:firstLine="751"/>
        <w:spacing w:after="0" w:line="259" w:lineRule="auto"/>
        <w:rPr>
          <w:sz w:val="20"/>
          <w:szCs w:val="20"/>
          <w:color w:val="auto"/>
        </w:rPr>
      </w:pPr>
      <w:r>
        <w:rPr>
          <w:rFonts w:ascii="Times New Roman" w:cs="Times New Roman" w:eastAsia="Times New Roman" w:hAnsi="Times New Roman"/>
          <w:sz w:val="17"/>
          <w:szCs w:val="17"/>
          <w:color w:val="auto"/>
        </w:rPr>
        <w:t xml:space="preserve">Investors and others should note that the Company intends to announce financial and other information to the Company’s investors using the Company’s investor relations website at </w:t>
      </w:r>
      <w:r>
        <w:rPr>
          <w:rFonts w:ascii="Times New Roman" w:cs="Times New Roman" w:eastAsia="Times New Roman" w:hAnsi="Times New Roman"/>
          <w:sz w:val="17"/>
          <w:szCs w:val="17"/>
          <w:u w:val="single" w:color="auto"/>
          <w:color w:val="0000FF"/>
        </w:rPr>
        <w:t>https://ir.boh.com</w:t>
      </w:r>
      <w:r>
        <w:rPr>
          <w:rFonts w:ascii="Times New Roman" w:cs="Times New Roman" w:eastAsia="Times New Roman" w:hAnsi="Times New Roman"/>
          <w:sz w:val="17"/>
          <w:szCs w:val="17"/>
          <w:color w:val="auto"/>
        </w:rPr>
        <w:t>, social media channels, press releases, SEC filings and public conference calls and webcasts, all for purposes of complying with the Company’s disclosure obligations under Regulation FD. Accordingly, investors should monitor these channels, as information is updated, and new information is posted.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747395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7" w:name="page8"/>
    <w:bookmarkEnd w:id="7"/>
    <w:p>
      <w:pPr>
        <w:spacing w:after="0"/>
        <w:tabs>
          <w:tab w:leader="none" w:pos="10740" w:val="left"/>
        </w:tabs>
        <w:rPr>
          <w:sz w:val="20"/>
          <w:szCs w:val="20"/>
          <w:color w:val="auto"/>
        </w:rPr>
      </w:pPr>
      <w:r>
        <w:rPr>
          <w:rFonts w:ascii="Times New Roman" w:cs="Times New Roman" w:eastAsia="Times New Roman" w:hAnsi="Times New Roman"/>
          <w:sz w:val="17"/>
          <w:szCs w:val="17"/>
          <w:b w:val="1"/>
          <w:bCs w:val="1"/>
          <w:color w:val="auto"/>
        </w:rPr>
        <w:t>Bank of Hawai‘i Corporation Fourth Quarter 2023 Financial Results</w:t>
      </w:r>
      <w:r>
        <w:rPr>
          <w:sz w:val="20"/>
          <w:szCs w:val="20"/>
          <w:color w:val="auto"/>
        </w:rPr>
        <w:tab/>
      </w:r>
      <w:r>
        <w:rPr>
          <w:rFonts w:ascii="Times New Roman" w:cs="Times New Roman" w:eastAsia="Times New Roman" w:hAnsi="Times New Roman"/>
          <w:sz w:val="17"/>
          <w:szCs w:val="17"/>
          <w:b w:val="1"/>
          <w:bCs w:val="1"/>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Forward-Looking Statements</w:t>
      </w:r>
    </w:p>
    <w:p>
      <w:pPr>
        <w:spacing w:after="0" w:line="209" w:lineRule="exact"/>
        <w:rPr>
          <w:sz w:val="20"/>
          <w:szCs w:val="20"/>
          <w:color w:val="auto"/>
        </w:rPr>
      </w:pPr>
    </w:p>
    <w:p>
      <w:pPr>
        <w:jc w:val="both"/>
        <w:ind w:firstLine="751"/>
        <w:spacing w:after="0" w:line="251" w:lineRule="auto"/>
        <w:rPr>
          <w:sz w:val="20"/>
          <w:szCs w:val="20"/>
          <w:color w:val="auto"/>
        </w:rPr>
      </w:pPr>
      <w:r>
        <w:rPr>
          <w:rFonts w:ascii="Times New Roman" w:cs="Times New Roman" w:eastAsia="Times New Roman" w:hAnsi="Times New Roman"/>
          <w:sz w:val="17"/>
          <w:szCs w:val="17"/>
          <w:color w:val="auto"/>
        </w:rPr>
        <w:t>This news release, and other statements made by the Company in connection with it may contain "forward-looking statements" (as defined in the Private Securities Litigation Reform Act of 1995) that involve risks and uncertainties that could cause results to be materially different from expectations. Forecasts of our financial results and condition, expectations for our operations and business prospects, and our assumptions used in those forecasts and expectations are examples of certain of these forward-looking statements. Do not unduly rely on forward-looking statements. Actual results might differ significantly from our forecasts and expectations because of a variety of factors. More information about these factors is contained in Bank of Hawai‘i Corporation's Annual Report on Form 10-K for the year ended December 31, 2022 and its Form 10-Q for the fiscal quarter ended March 31, 2023, June 30, 2023 and September 30, 2023, which were filed with the U.S. Securities and Exchange Commission. These forward-looking statements are not guarantees of future performance and speak only as of the date made, and, except as required by law, the Company undertakes no obligation to update or revise any forward-looking statements to reflect subsequent events, new information or future circumstances.</w:t>
      </w:r>
    </w:p>
    <w:p>
      <w:pPr>
        <w:spacing w:after="0" w:line="161" w:lineRule="exact"/>
        <w:rPr>
          <w:sz w:val="20"/>
          <w:szCs w:val="20"/>
          <w:color w:val="auto"/>
        </w:rPr>
      </w:pPr>
    </w:p>
    <w:p>
      <w:pPr>
        <w:jc w:val="both"/>
        <w:ind w:firstLine="751"/>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Bank of Hawai‘i Corporation is an independent regional financial services company serving businesses, consumers, and governments in Hawai‘i and the West Pacific. The Company's principal subsidiary, Bank of Hawai‘i, was founded in 1897. For more information about Bank of Hawai‘i Corporation, see the Company’s website, </w:t>
      </w:r>
      <w:r>
        <w:rPr>
          <w:rFonts w:ascii="Times New Roman" w:cs="Times New Roman" w:eastAsia="Times New Roman" w:hAnsi="Times New Roman"/>
          <w:sz w:val="16"/>
          <w:szCs w:val="16"/>
          <w:i w:val="1"/>
          <w:iCs w:val="1"/>
          <w:u w:val="single" w:color="auto"/>
          <w:color w:val="0000FF"/>
        </w:rPr>
        <w:t>www.boh.com</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6"/>
          <w:szCs w:val="16"/>
          <w:i w:val="1"/>
          <w:iCs w:val="1"/>
          <w:color w:val="0000FF"/>
        </w:rPr>
        <w:t xml:space="preserve"> </w:t>
      </w:r>
      <w:r>
        <w:rPr>
          <w:rFonts w:ascii="Times New Roman" w:cs="Times New Roman" w:eastAsia="Times New Roman" w:hAnsi="Times New Roman"/>
          <w:sz w:val="16"/>
          <w:szCs w:val="16"/>
          <w:i w:val="1"/>
          <w:iCs w:val="1"/>
          <w:color w:val="000000"/>
        </w:rPr>
        <w:t>Bank of Hawai‘i Corporation is a trade name of Bank of Hawaii 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982345</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9"/>
                <w:szCs w:val="19"/>
                <w:b w:val="1"/>
                <w:bCs w:val="1"/>
                <w:color w:val="auto"/>
              </w:rPr>
              <w:t>Financial Highlights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Table 1</w:t>
            </w:r>
          </w:p>
        </w:tc>
      </w:tr>
      <w:tr>
        <w:trPr>
          <w:trHeight w:val="119"/>
        </w:trPr>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4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9"/>
                <w:szCs w:val="9"/>
                <w:b w:val="1"/>
                <w:bCs w:val="1"/>
                <w:color w:val="auto"/>
              </w:rPr>
              <w:t>Year Ended</w:t>
            </w: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r>
        <w:trPr>
          <w:trHeight w:val="119"/>
        </w:trPr>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329"/>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360" w:type="dxa"/>
            <w:vAlign w:val="bottom"/>
          </w:tcPr>
          <w:p>
            <w:pPr>
              <w:spacing w:after="0"/>
              <w:rPr>
                <w:sz w:val="10"/>
                <w:szCs w:val="10"/>
                <w:color w:val="auto"/>
              </w:rPr>
            </w:pPr>
          </w:p>
        </w:tc>
        <w:tc>
          <w:tcPr>
            <w:tcW w:w="1140" w:type="dxa"/>
            <w:vAlign w:val="bottom"/>
          </w:tcPr>
          <w:p>
            <w:pPr>
              <w:jc w:val="center"/>
              <w:ind w:right="109"/>
              <w:spacing w:after="0"/>
              <w:rPr>
                <w:sz w:val="20"/>
                <w:szCs w:val="20"/>
                <w:color w:val="auto"/>
              </w:rPr>
            </w:pPr>
            <w:r>
              <w:rPr>
                <w:rFonts w:ascii="Times New Roman" w:cs="Times New Roman" w:eastAsia="Times New Roman" w:hAnsi="Times New Roman"/>
                <w:sz w:val="9"/>
                <w:szCs w:val="9"/>
                <w:b w:val="1"/>
                <w:bCs w:val="1"/>
                <w:color w:val="auto"/>
              </w:rPr>
              <w:t>September 30,</w:t>
            </w:r>
          </w:p>
        </w:tc>
        <w:tc>
          <w:tcPr>
            <w:tcW w:w="440" w:type="dxa"/>
            <w:vAlign w:val="bottom"/>
          </w:tcPr>
          <w:p>
            <w:pPr>
              <w:spacing w:after="0"/>
              <w:rPr>
                <w:sz w:val="10"/>
                <w:szCs w:val="10"/>
                <w:color w:val="auto"/>
              </w:rPr>
            </w:pPr>
          </w:p>
        </w:tc>
        <w:tc>
          <w:tcPr>
            <w:tcW w:w="1120" w:type="dxa"/>
            <w:vAlign w:val="bottom"/>
          </w:tcPr>
          <w:p>
            <w:pPr>
              <w:jc w:val="right"/>
              <w:ind w:right="389"/>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gridSpan w:val="2"/>
          </w:tcPr>
          <w:p>
            <w:pPr>
              <w:jc w:val="right"/>
              <w:ind w:right="129"/>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32"/>
        </w:trPr>
        <w:tc>
          <w:tcPr>
            <w:tcW w:w="3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9"/>
                <w:szCs w:val="9"/>
                <w:color w:val="auto"/>
              </w:rPr>
              <w:t>(dollars in thousands, except per share amounts)</w:t>
            </w: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9"/>
                <w:szCs w:val="9"/>
                <w:b w:val="1"/>
                <w:bCs w:val="1"/>
                <w:color w:val="auto"/>
              </w:rPr>
              <w:t>2023</w:t>
            </w: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9"/>
                <w:szCs w:val="9"/>
                <w:b w:val="1"/>
                <w:bCs w:val="1"/>
                <w:color w:val="auto"/>
              </w:rPr>
              <w:t>2023</w:t>
            </w:r>
          </w:p>
        </w:tc>
        <w:tc>
          <w:tcPr>
            <w:tcW w:w="4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9"/>
                <w:szCs w:val="9"/>
                <w:b w:val="1"/>
                <w:bCs w:val="1"/>
                <w:color w:val="auto"/>
              </w:rPr>
              <w:t>2022</w:t>
            </w: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9"/>
                <w:szCs w:val="9"/>
                <w:b w:val="1"/>
                <w:bCs w:val="1"/>
                <w:color w:val="auto"/>
              </w:rPr>
              <w:t>2023</w:t>
            </w:r>
          </w:p>
        </w:tc>
        <w:tc>
          <w:tcPr>
            <w:tcW w:w="5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9"/>
                <w:szCs w:val="9"/>
                <w:b w:val="1"/>
                <w:bCs w:val="1"/>
                <w:color w:val="auto"/>
              </w:rPr>
              <w:t>2022</w:t>
            </w:r>
          </w:p>
        </w:tc>
        <w:tc>
          <w:tcPr>
            <w:tcW w:w="240" w:type="dxa"/>
            <w:vAlign w:val="bottom"/>
            <w:tcBorders>
              <w:bottom w:val="single" w:sz="8" w:color="auto"/>
            </w:tcBorders>
          </w:tcPr>
          <w:p>
            <w:pPr>
              <w:spacing w:after="0"/>
              <w:rPr>
                <w:sz w:val="11"/>
                <w:szCs w:val="11"/>
                <w:color w:val="auto"/>
              </w:rPr>
            </w:pPr>
          </w:p>
        </w:tc>
      </w:tr>
      <w:tr>
        <w:trPr>
          <w:trHeight w:val="117"/>
        </w:trPr>
        <w:tc>
          <w:tcPr>
            <w:tcW w:w="680" w:type="dxa"/>
            <w:vAlign w:val="bottom"/>
            <w:tcBorders>
              <w:bottom w:val="single" w:sz="8" w:color="auto"/>
            </w:tcBorders>
            <w:shd w:val="clear" w:color="auto" w:fill="CFF0FC"/>
          </w:tcPr>
          <w:p>
            <w:pPr>
              <w:spacing w:after="0" w:line="114" w:lineRule="exact"/>
              <w:rPr>
                <w:sz w:val="20"/>
                <w:szCs w:val="20"/>
                <w:color w:val="auto"/>
              </w:rPr>
            </w:pPr>
            <w:r>
              <w:rPr>
                <w:rFonts w:ascii="Times New Roman" w:cs="Times New Roman" w:eastAsia="Times New Roman" w:hAnsi="Times New Roman"/>
                <w:sz w:val="10"/>
                <w:szCs w:val="10"/>
                <w:b w:val="1"/>
                <w:bCs w:val="1"/>
                <w:color w:val="auto"/>
              </w:rPr>
              <w:t>For the Period:</w:t>
            </w:r>
          </w:p>
        </w:tc>
        <w:tc>
          <w:tcPr>
            <w:tcW w:w="2760" w:type="dxa"/>
            <w:vAlign w:val="bottom"/>
            <w:tcBorders>
              <w:bottom w:val="single" w:sz="8" w:color="CFF0FC"/>
            </w:tcBorders>
            <w:gridSpan w:val="2"/>
            <w:shd w:val="clear" w:color="auto" w:fill="CFF0FC"/>
          </w:tcPr>
          <w:p>
            <w:pPr>
              <w:spacing w:after="0"/>
              <w:rPr>
                <w:sz w:val="10"/>
                <w:szCs w:val="10"/>
                <w:color w:val="auto"/>
              </w:rPr>
            </w:pPr>
          </w:p>
        </w:tc>
        <w:tc>
          <w:tcPr>
            <w:tcW w:w="200" w:type="dxa"/>
            <w:vAlign w:val="bottom"/>
            <w:tcBorders>
              <w:bottom w:val="single" w:sz="8" w:color="CFF0FC"/>
            </w:tcBorders>
            <w:shd w:val="clear" w:color="auto" w:fill="CFF0FC"/>
          </w:tcPr>
          <w:p>
            <w:pPr>
              <w:spacing w:after="0"/>
              <w:rPr>
                <w:sz w:val="10"/>
                <w:szCs w:val="10"/>
                <w:color w:val="auto"/>
              </w:rPr>
            </w:pPr>
          </w:p>
        </w:tc>
        <w:tc>
          <w:tcPr>
            <w:tcW w:w="1060" w:type="dxa"/>
            <w:vAlign w:val="bottom"/>
            <w:tcBorders>
              <w:bottom w:val="single" w:sz="8" w:color="CFF0FC"/>
            </w:tcBorders>
            <w:shd w:val="clear" w:color="auto" w:fill="CFF0FC"/>
          </w:tcPr>
          <w:p>
            <w:pPr>
              <w:spacing w:after="0"/>
              <w:rPr>
                <w:sz w:val="10"/>
                <w:szCs w:val="10"/>
                <w:color w:val="auto"/>
              </w:rPr>
            </w:pPr>
          </w:p>
        </w:tc>
        <w:tc>
          <w:tcPr>
            <w:tcW w:w="360" w:type="dxa"/>
            <w:vAlign w:val="bottom"/>
            <w:tcBorders>
              <w:bottom w:val="single" w:sz="8" w:color="CFF0FC"/>
            </w:tcBorders>
            <w:shd w:val="clear" w:color="auto" w:fill="CFF0FC"/>
          </w:tcPr>
          <w:p>
            <w:pPr>
              <w:spacing w:after="0"/>
              <w:rPr>
                <w:sz w:val="10"/>
                <w:szCs w:val="10"/>
                <w:color w:val="auto"/>
              </w:rPr>
            </w:pPr>
          </w:p>
        </w:tc>
        <w:tc>
          <w:tcPr>
            <w:tcW w:w="114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CFF0FC"/>
            </w:tcBorders>
            <w:shd w:val="clear" w:color="auto" w:fill="CFF0FC"/>
          </w:tcPr>
          <w:p>
            <w:pPr>
              <w:spacing w:after="0"/>
              <w:rPr>
                <w:sz w:val="10"/>
                <w:szCs w:val="10"/>
                <w:color w:val="auto"/>
              </w:rPr>
            </w:pPr>
          </w:p>
        </w:tc>
        <w:tc>
          <w:tcPr>
            <w:tcW w:w="1120" w:type="dxa"/>
            <w:vAlign w:val="bottom"/>
            <w:tcBorders>
              <w:bottom w:val="single" w:sz="8" w:color="CFF0FC"/>
            </w:tcBorders>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220" w:type="dxa"/>
            <w:vAlign w:val="bottom"/>
            <w:tcBorders>
              <w:bottom w:val="single" w:sz="8" w:color="CFF0FC"/>
            </w:tcBorders>
            <w:shd w:val="clear" w:color="auto" w:fill="CFF0FC"/>
          </w:tcPr>
          <w:p>
            <w:pPr>
              <w:spacing w:after="0"/>
              <w:rPr>
                <w:sz w:val="10"/>
                <w:szCs w:val="10"/>
                <w:color w:val="auto"/>
              </w:rPr>
            </w:pPr>
          </w:p>
        </w:tc>
        <w:tc>
          <w:tcPr>
            <w:tcW w:w="1180" w:type="dxa"/>
            <w:vAlign w:val="bottom"/>
            <w:tcBorders>
              <w:bottom w:val="single" w:sz="8" w:color="CFF0FC"/>
            </w:tcBorders>
            <w:shd w:val="clear" w:color="auto" w:fill="CFF0FC"/>
          </w:tcPr>
          <w:p>
            <w:pPr>
              <w:spacing w:after="0"/>
              <w:rPr>
                <w:sz w:val="10"/>
                <w:szCs w:val="10"/>
                <w:color w:val="auto"/>
              </w:rPr>
            </w:pPr>
          </w:p>
        </w:tc>
        <w:tc>
          <w:tcPr>
            <w:tcW w:w="560" w:type="dxa"/>
            <w:vAlign w:val="bottom"/>
            <w:tcBorders>
              <w:bottom w:val="single" w:sz="8" w:color="CFF0FC"/>
            </w:tcBorders>
            <w:shd w:val="clear" w:color="auto" w:fill="CFF0FC"/>
          </w:tcPr>
          <w:p>
            <w:pPr>
              <w:spacing w:after="0"/>
              <w:rPr>
                <w:sz w:val="10"/>
                <w:szCs w:val="10"/>
                <w:color w:val="auto"/>
              </w:rPr>
            </w:pPr>
          </w:p>
        </w:tc>
        <w:tc>
          <w:tcPr>
            <w:tcW w:w="114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Operating Results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Net Interest Income</w:t>
            </w:r>
          </w:p>
        </w:tc>
        <w:tc>
          <w:tcPr>
            <w:tcW w:w="2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115,785</w:t>
            </w:r>
          </w:p>
        </w:tc>
        <w:tc>
          <w:tcPr>
            <w:tcW w:w="3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120,937</w:t>
            </w:r>
          </w:p>
        </w:tc>
        <w:tc>
          <w:tcPr>
            <w:tcW w:w="4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140,738</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497,025</w:t>
            </w:r>
          </w:p>
        </w:tc>
        <w:tc>
          <w:tcPr>
            <w:tcW w:w="56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540,558</w:t>
            </w: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Provision for Credit Losses</w:t>
            </w:r>
          </w:p>
        </w:tc>
        <w:tc>
          <w:tcPr>
            <w:tcW w:w="200" w:type="dxa"/>
            <w:vAlign w:val="bottom"/>
          </w:tcPr>
          <w:p>
            <w:pPr>
              <w:spacing w:after="0"/>
              <w:rPr>
                <w:sz w:val="12"/>
                <w:szCs w:val="12"/>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2,500</w:t>
            </w:r>
          </w:p>
        </w:tc>
        <w:tc>
          <w:tcPr>
            <w:tcW w:w="360" w:type="dxa"/>
            <w:vAlign w:val="bottom"/>
          </w:tcPr>
          <w:p>
            <w:pPr>
              <w:spacing w:after="0"/>
              <w:rPr>
                <w:sz w:val="12"/>
                <w:szCs w:val="12"/>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2,000</w:t>
            </w: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9,000</w:t>
            </w:r>
          </w:p>
        </w:tc>
        <w:tc>
          <w:tcPr>
            <w:tcW w:w="5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(7,800 )</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Total Noninterest Income</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42,283</w:t>
            </w: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50,334</w:t>
            </w: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41,172</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176,609</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157,541</w:t>
            </w: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Total Noninterest Expense</w:t>
            </w:r>
          </w:p>
        </w:tc>
        <w:tc>
          <w:tcPr>
            <w:tcW w:w="200" w:type="dxa"/>
            <w:vAlign w:val="bottom"/>
          </w:tcPr>
          <w:p>
            <w:pPr>
              <w:spacing w:after="0"/>
              <w:rPr>
                <w:sz w:val="12"/>
                <w:szCs w:val="12"/>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115,962</w:t>
            </w:r>
          </w:p>
        </w:tc>
        <w:tc>
          <w:tcPr>
            <w:tcW w:w="360" w:type="dxa"/>
            <w:vAlign w:val="bottom"/>
          </w:tcPr>
          <w:p>
            <w:pPr>
              <w:spacing w:after="0"/>
              <w:rPr>
                <w:sz w:val="12"/>
                <w:szCs w:val="12"/>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105,601</w:t>
            </w: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102,703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437,518</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415,265</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Pre-Provision Net Revenue</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42,106</w:t>
            </w: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65,670</w:t>
            </w: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79,207</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236,116</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282,834</w:t>
            </w: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Net Income</w:t>
            </w:r>
          </w:p>
        </w:tc>
        <w:tc>
          <w:tcPr>
            <w:tcW w:w="200" w:type="dxa"/>
            <w:vAlign w:val="bottom"/>
          </w:tcPr>
          <w:p>
            <w:pPr>
              <w:spacing w:after="0"/>
              <w:rPr>
                <w:sz w:val="12"/>
                <w:szCs w:val="12"/>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30,396</w:t>
            </w:r>
          </w:p>
        </w:tc>
        <w:tc>
          <w:tcPr>
            <w:tcW w:w="360" w:type="dxa"/>
            <w:vAlign w:val="bottom"/>
          </w:tcPr>
          <w:p>
            <w:pPr>
              <w:spacing w:after="0"/>
              <w:rPr>
                <w:sz w:val="12"/>
                <w:szCs w:val="12"/>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47,903</w:t>
            </w: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61,307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171,202</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225,804</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line="145" w:lineRule="exact"/>
              <w:rPr>
                <w:sz w:val="20"/>
                <w:szCs w:val="20"/>
                <w:color w:val="auto"/>
              </w:rPr>
            </w:pPr>
            <w:r>
              <w:rPr>
                <w:rFonts w:ascii="Times New Roman" w:cs="Times New Roman" w:eastAsia="Times New Roman" w:hAnsi="Times New Roman"/>
                <w:sz w:val="10"/>
                <w:szCs w:val="10"/>
                <w:color w:val="auto"/>
              </w:rPr>
              <w:t xml:space="preserve">Net Income Available to Common Shareholders </w:t>
            </w:r>
            <w:r>
              <w:rPr>
                <w:rFonts w:ascii="Times New Roman" w:cs="Times New Roman" w:eastAsia="Times New Roman" w:hAnsi="Times New Roman"/>
                <w:sz w:val="13"/>
                <w:szCs w:val="13"/>
                <w:color w:val="auto"/>
                <w:vertAlign w:val="superscript"/>
              </w:rPr>
              <w:t>1</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28,427</w:t>
            </w: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45,934</w:t>
            </w: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59,338</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163,326</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217,928</w:t>
            </w: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Basic Earnings Per Common Share</w:t>
            </w:r>
          </w:p>
        </w:tc>
        <w:tc>
          <w:tcPr>
            <w:tcW w:w="200" w:type="dxa"/>
            <w:vAlign w:val="bottom"/>
          </w:tcPr>
          <w:p>
            <w:pPr>
              <w:spacing w:after="0"/>
              <w:rPr>
                <w:sz w:val="12"/>
                <w:szCs w:val="12"/>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0.72</w:t>
            </w:r>
          </w:p>
        </w:tc>
        <w:tc>
          <w:tcPr>
            <w:tcW w:w="360" w:type="dxa"/>
            <w:vAlign w:val="bottom"/>
          </w:tcPr>
          <w:p>
            <w:pPr>
              <w:spacing w:after="0"/>
              <w:rPr>
                <w:sz w:val="12"/>
                <w:szCs w:val="12"/>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1.17</w:t>
            </w: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1.51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4.16</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5.50</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Diluted Earnings Per Common Share</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0.72</w:t>
            </w: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1.17</w:t>
            </w: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1.50</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4.14</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5.48</w:t>
            </w:r>
          </w:p>
        </w:tc>
        <w:tc>
          <w:tcPr>
            <w:tcW w:w="240" w:type="dxa"/>
            <w:vAlign w:val="bottom"/>
            <w:shd w:val="clear" w:color="auto" w:fill="CFF0FC"/>
          </w:tcPr>
          <w:p>
            <w:pPr>
              <w:spacing w:after="0"/>
              <w:rPr>
                <w:sz w:val="12"/>
                <w:szCs w:val="12"/>
                <w:color w:val="auto"/>
              </w:rPr>
            </w:pPr>
          </w:p>
        </w:tc>
      </w:tr>
      <w:tr>
        <w:trPr>
          <w:trHeight w:val="136"/>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Dividends Declared Per Common Share</w:t>
            </w:r>
          </w:p>
        </w:tc>
        <w:tc>
          <w:tcPr>
            <w:tcW w:w="200" w:type="dxa"/>
            <w:vAlign w:val="bottom"/>
          </w:tcPr>
          <w:p>
            <w:pPr>
              <w:spacing w:after="0"/>
              <w:rPr>
                <w:sz w:val="11"/>
                <w:szCs w:val="11"/>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0.70</w:t>
            </w:r>
          </w:p>
        </w:tc>
        <w:tc>
          <w:tcPr>
            <w:tcW w:w="36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0.70</w:t>
            </w:r>
          </w:p>
        </w:tc>
        <w:tc>
          <w:tcPr>
            <w:tcW w:w="440" w:type="dxa"/>
            <w:vAlign w:val="bottom"/>
          </w:tcPr>
          <w:p>
            <w:pPr>
              <w:spacing w:after="0"/>
              <w:rPr>
                <w:sz w:val="11"/>
                <w:szCs w:val="11"/>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0.70</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2.80</w:t>
            </w:r>
          </w:p>
        </w:tc>
        <w:tc>
          <w:tcPr>
            <w:tcW w:w="560" w:type="dxa"/>
            <w:vAlign w:val="bottom"/>
          </w:tcPr>
          <w:p>
            <w:pPr>
              <w:spacing w:after="0"/>
              <w:rPr>
                <w:sz w:val="11"/>
                <w:szCs w:val="11"/>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2.80</w:t>
            </w:r>
          </w:p>
        </w:tc>
        <w:tc>
          <w:tcPr>
            <w:tcW w:w="240" w:type="dxa"/>
            <w:vAlign w:val="bottom"/>
          </w:tcPr>
          <w:p>
            <w:pPr>
              <w:spacing w:after="0"/>
              <w:rPr>
                <w:sz w:val="11"/>
                <w:szCs w:val="11"/>
                <w:color w:val="auto"/>
              </w:rPr>
            </w:pPr>
          </w:p>
        </w:tc>
      </w:tr>
      <w:tr>
        <w:trPr>
          <w:trHeight w:val="147"/>
        </w:trPr>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2"/>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Performance Ratios</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Return on Average Assets</w:t>
            </w:r>
          </w:p>
        </w:tc>
        <w:tc>
          <w:tcPr>
            <w:tcW w:w="200" w:type="dxa"/>
            <w:vAlign w:val="bottom"/>
          </w:tcPr>
          <w:p>
            <w:pPr>
              <w:spacing w:after="0"/>
              <w:rPr>
                <w:sz w:val="12"/>
                <w:szCs w:val="12"/>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0.51</w:t>
            </w:r>
          </w:p>
        </w:tc>
        <w:tc>
          <w:tcPr>
            <w:tcW w:w="360" w:type="dxa"/>
            <w:vAlign w:val="bottom"/>
          </w:tcPr>
          <w:p>
            <w:pPr>
              <w:jc w:val="right"/>
              <w:ind w:right="149"/>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0.78</w:t>
            </w:r>
          </w:p>
        </w:tc>
        <w:tc>
          <w:tcPr>
            <w:tcW w:w="440" w:type="dxa"/>
            <w:vAlign w:val="bottom"/>
          </w:tcPr>
          <w:p>
            <w:pPr>
              <w:jc w:val="right"/>
              <w:ind w:right="229"/>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1.05</w:t>
            </w:r>
          </w:p>
        </w:tc>
        <w:tc>
          <w:tcPr>
            <w:tcW w:w="16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w w:val="71"/>
              </w:rPr>
              <w:t>%</w:t>
            </w: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0.71</w:t>
            </w:r>
          </w:p>
        </w:tc>
        <w:tc>
          <w:tcPr>
            <w:tcW w:w="560" w:type="dxa"/>
            <w:vAlign w:val="bottom"/>
          </w:tcPr>
          <w:p>
            <w:pPr>
              <w:jc w:val="right"/>
              <w:ind w:right="329"/>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0.98</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Return on Average Shareholders' Equity</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8.86</w:t>
            </w: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13.92</w:t>
            </w: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18.91</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12.63</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16.10</w:t>
            </w: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Return on Average Common Equity</w:t>
            </w:r>
          </w:p>
        </w:tc>
        <w:tc>
          <w:tcPr>
            <w:tcW w:w="200" w:type="dxa"/>
            <w:vAlign w:val="bottom"/>
          </w:tcPr>
          <w:p>
            <w:pPr>
              <w:spacing w:after="0"/>
              <w:rPr>
                <w:sz w:val="12"/>
                <w:szCs w:val="12"/>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9.55</w:t>
            </w:r>
          </w:p>
        </w:tc>
        <w:tc>
          <w:tcPr>
            <w:tcW w:w="360" w:type="dxa"/>
            <w:vAlign w:val="bottom"/>
          </w:tcPr>
          <w:p>
            <w:pPr>
              <w:spacing w:after="0"/>
              <w:rPr>
                <w:sz w:val="12"/>
                <w:szCs w:val="12"/>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15.38</w:t>
            </w: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21.28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13.89</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17.83</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line="145" w:lineRule="exact"/>
              <w:rPr>
                <w:sz w:val="20"/>
                <w:szCs w:val="20"/>
                <w:color w:val="auto"/>
              </w:rPr>
            </w:pPr>
            <w:r>
              <w:rPr>
                <w:rFonts w:ascii="Times New Roman" w:cs="Times New Roman" w:eastAsia="Times New Roman" w:hAnsi="Times New Roman"/>
                <w:sz w:val="10"/>
                <w:szCs w:val="10"/>
                <w:color w:val="auto"/>
              </w:rPr>
              <w:t xml:space="preserve">Efficiency Ratio </w:t>
            </w:r>
            <w:r>
              <w:rPr>
                <w:rFonts w:ascii="Times New Roman" w:cs="Times New Roman" w:eastAsia="Times New Roman" w:hAnsi="Times New Roman"/>
                <w:sz w:val="13"/>
                <w:szCs w:val="13"/>
                <w:color w:val="auto"/>
                <w:vertAlign w:val="superscript"/>
              </w:rPr>
              <w:t>2</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73.36</w:t>
            </w: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61.66</w:t>
            </w: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56.46</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64.95</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59.49</w:t>
            </w:r>
          </w:p>
        </w:tc>
        <w:tc>
          <w:tcPr>
            <w:tcW w:w="240" w:type="dxa"/>
            <w:vAlign w:val="bottom"/>
            <w:shd w:val="clear" w:color="auto" w:fill="CFF0FC"/>
          </w:tcPr>
          <w:p>
            <w:pPr>
              <w:spacing w:after="0"/>
              <w:rPr>
                <w:sz w:val="12"/>
                <w:szCs w:val="12"/>
                <w:color w:val="auto"/>
              </w:rPr>
            </w:pPr>
          </w:p>
        </w:tc>
      </w:tr>
      <w:tr>
        <w:trPr>
          <w:trHeight w:val="142"/>
        </w:trPr>
        <w:tc>
          <w:tcPr>
            <w:tcW w:w="3440" w:type="dxa"/>
            <w:vAlign w:val="bottom"/>
            <w:gridSpan w:val="3"/>
          </w:tcPr>
          <w:p>
            <w:pPr>
              <w:spacing w:after="0" w:line="142" w:lineRule="exact"/>
              <w:rPr>
                <w:sz w:val="20"/>
                <w:szCs w:val="20"/>
                <w:color w:val="auto"/>
              </w:rPr>
            </w:pPr>
            <w:r>
              <w:rPr>
                <w:rFonts w:ascii="Times New Roman" w:cs="Times New Roman" w:eastAsia="Times New Roman" w:hAnsi="Times New Roman"/>
                <w:sz w:val="10"/>
                <w:szCs w:val="10"/>
                <w:color w:val="auto"/>
              </w:rPr>
              <w:t xml:space="preserve">Net Interest Margin </w:t>
            </w:r>
            <w:r>
              <w:rPr>
                <w:rFonts w:ascii="Times New Roman" w:cs="Times New Roman" w:eastAsia="Times New Roman" w:hAnsi="Times New Roman"/>
                <w:sz w:val="13"/>
                <w:szCs w:val="13"/>
                <w:color w:val="auto"/>
                <w:vertAlign w:val="superscript"/>
              </w:rPr>
              <w:t>3</w:t>
            </w:r>
          </w:p>
        </w:tc>
        <w:tc>
          <w:tcPr>
            <w:tcW w:w="200" w:type="dxa"/>
            <w:vAlign w:val="bottom"/>
          </w:tcPr>
          <w:p>
            <w:pPr>
              <w:spacing w:after="0"/>
              <w:rPr>
                <w:sz w:val="12"/>
                <w:szCs w:val="12"/>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2.13</w:t>
            </w:r>
          </w:p>
        </w:tc>
        <w:tc>
          <w:tcPr>
            <w:tcW w:w="360" w:type="dxa"/>
            <w:vAlign w:val="bottom"/>
          </w:tcPr>
          <w:p>
            <w:pPr>
              <w:spacing w:after="0"/>
              <w:rPr>
                <w:sz w:val="12"/>
                <w:szCs w:val="12"/>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2.13</w:t>
            </w: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2.60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2.50</w:t>
            </w:r>
          </w:p>
        </w:tc>
        <w:tc>
          <w:tcPr>
            <w:tcW w:w="240" w:type="dxa"/>
            <w:vAlign w:val="bottom"/>
          </w:tcPr>
          <w:p>
            <w:pPr>
              <w:spacing w:after="0"/>
              <w:rPr>
                <w:sz w:val="12"/>
                <w:szCs w:val="12"/>
                <w:color w:val="auto"/>
              </w:rPr>
            </w:pPr>
          </w:p>
        </w:tc>
      </w:tr>
      <w:tr>
        <w:trPr>
          <w:trHeight w:val="142"/>
        </w:trPr>
        <w:tc>
          <w:tcPr>
            <w:tcW w:w="344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0"/>
                <w:szCs w:val="10"/>
                <w:color w:val="auto"/>
              </w:rPr>
              <w:t xml:space="preserve">Dividend Payout Ratio </w:t>
            </w:r>
            <w:r>
              <w:rPr>
                <w:rFonts w:ascii="Times New Roman" w:cs="Times New Roman" w:eastAsia="Times New Roman" w:hAnsi="Times New Roman"/>
                <w:sz w:val="13"/>
                <w:szCs w:val="13"/>
                <w:color w:val="auto"/>
                <w:vertAlign w:val="superscript"/>
              </w:rPr>
              <w:t>4</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97.22</w:t>
            </w: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59.83</w:t>
            </w: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46.36</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67.31</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50.91</w:t>
            </w:r>
          </w:p>
        </w:tc>
        <w:tc>
          <w:tcPr>
            <w:tcW w:w="240" w:type="dxa"/>
            <w:vAlign w:val="bottom"/>
            <w:shd w:val="clear" w:color="auto" w:fill="CFF0FC"/>
          </w:tcPr>
          <w:p>
            <w:pPr>
              <w:spacing w:after="0"/>
              <w:rPr>
                <w:sz w:val="12"/>
                <w:szCs w:val="12"/>
                <w:color w:val="auto"/>
              </w:rPr>
            </w:pPr>
          </w:p>
        </w:tc>
      </w:tr>
      <w:tr>
        <w:trPr>
          <w:trHeight w:val="136"/>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Average Shareholders' Equity to Average Assets</w:t>
            </w:r>
          </w:p>
        </w:tc>
        <w:tc>
          <w:tcPr>
            <w:tcW w:w="200" w:type="dxa"/>
            <w:vAlign w:val="bottom"/>
          </w:tcPr>
          <w:p>
            <w:pPr>
              <w:spacing w:after="0"/>
              <w:rPr>
                <w:sz w:val="11"/>
                <w:szCs w:val="11"/>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5.80</w:t>
            </w:r>
          </w:p>
        </w:tc>
        <w:tc>
          <w:tcPr>
            <w:tcW w:w="36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5.60</w:t>
            </w:r>
          </w:p>
        </w:tc>
        <w:tc>
          <w:tcPr>
            <w:tcW w:w="440" w:type="dxa"/>
            <w:vAlign w:val="bottom"/>
          </w:tcPr>
          <w:p>
            <w:pPr>
              <w:spacing w:after="0"/>
              <w:rPr>
                <w:sz w:val="11"/>
                <w:szCs w:val="11"/>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5.56</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5.66</w:t>
            </w:r>
          </w:p>
        </w:tc>
        <w:tc>
          <w:tcPr>
            <w:tcW w:w="560" w:type="dxa"/>
            <w:vAlign w:val="bottom"/>
          </w:tcPr>
          <w:p>
            <w:pPr>
              <w:spacing w:after="0"/>
              <w:rPr>
                <w:sz w:val="11"/>
                <w:szCs w:val="11"/>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6.10</w:t>
            </w:r>
          </w:p>
        </w:tc>
        <w:tc>
          <w:tcPr>
            <w:tcW w:w="240" w:type="dxa"/>
            <w:vAlign w:val="bottom"/>
          </w:tcPr>
          <w:p>
            <w:pPr>
              <w:spacing w:after="0"/>
              <w:rPr>
                <w:sz w:val="11"/>
                <w:szCs w:val="11"/>
                <w:color w:val="auto"/>
              </w:rPr>
            </w:pPr>
          </w:p>
        </w:tc>
      </w:tr>
      <w:tr>
        <w:trPr>
          <w:trHeight w:val="147"/>
        </w:trPr>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2"/>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Average Balances</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Average Loans and Leases</w:t>
            </w:r>
          </w:p>
        </w:tc>
        <w:tc>
          <w:tcPr>
            <w:tcW w:w="20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13,906,114</w:t>
            </w:r>
          </w:p>
        </w:tc>
        <w:tc>
          <w:tcPr>
            <w:tcW w:w="3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13,903,214</w:t>
            </w:r>
          </w:p>
        </w:tc>
        <w:tc>
          <w:tcPr>
            <w:tcW w:w="44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13,452,791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13,851,551</w:t>
            </w:r>
          </w:p>
        </w:tc>
        <w:tc>
          <w:tcPr>
            <w:tcW w:w="560" w:type="dxa"/>
            <w:vAlign w:val="bottom"/>
          </w:tcPr>
          <w:p>
            <w:pPr>
              <w:jc w:val="right"/>
              <w:ind w:right="209"/>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12,896,510</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Average Assets</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23,449,215</w:t>
            </w: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24,387,421</w:t>
            </w: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23,147,398</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23,954,186</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23,006,671</w:t>
            </w: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Average Deposits</w:t>
            </w:r>
          </w:p>
        </w:tc>
        <w:tc>
          <w:tcPr>
            <w:tcW w:w="200" w:type="dxa"/>
            <w:vAlign w:val="bottom"/>
          </w:tcPr>
          <w:p>
            <w:pPr>
              <w:spacing w:after="0"/>
              <w:rPr>
                <w:sz w:val="12"/>
                <w:szCs w:val="12"/>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20,704,070</w:t>
            </w:r>
          </w:p>
        </w:tc>
        <w:tc>
          <w:tcPr>
            <w:tcW w:w="360" w:type="dxa"/>
            <w:vAlign w:val="bottom"/>
          </w:tcPr>
          <w:p>
            <w:pPr>
              <w:spacing w:after="0"/>
              <w:rPr>
                <w:sz w:val="12"/>
                <w:szCs w:val="12"/>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20,492,082</w:t>
            </w: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20,341,327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20,412,378</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20,550,739</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Average Shareholders' Equity</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1,360,641</w:t>
            </w: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1,365,143</w:t>
            </w: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1,286,291</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1,355,536</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1,402,533</w:t>
            </w:r>
          </w:p>
        </w:tc>
        <w:tc>
          <w:tcPr>
            <w:tcW w:w="240" w:type="dxa"/>
            <w:vAlign w:val="bottom"/>
            <w:shd w:val="clear" w:color="auto" w:fill="CFF0FC"/>
          </w:tcPr>
          <w:p>
            <w:pPr>
              <w:spacing w:after="0"/>
              <w:rPr>
                <w:sz w:val="12"/>
                <w:szCs w:val="12"/>
                <w:color w:val="auto"/>
              </w:rPr>
            </w:pPr>
          </w:p>
        </w:tc>
      </w:tr>
      <w:tr>
        <w:trPr>
          <w:trHeight w:val="281"/>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Per Share of Common Stock</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Book Value</w:t>
            </w:r>
          </w:p>
        </w:tc>
        <w:tc>
          <w:tcPr>
            <w:tcW w:w="200" w:type="dxa"/>
            <w:vAlign w:val="bottom"/>
            <w:shd w:val="clear" w:color="auto" w:fill="CFF0FC"/>
          </w:tcPr>
          <w:p>
            <w:pPr>
              <w:jc w:val="right"/>
              <w:ind w:right="89"/>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31.05</w:t>
            </w:r>
          </w:p>
        </w:tc>
        <w:tc>
          <w:tcPr>
            <w:tcW w:w="3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29.78</w:t>
            </w:r>
          </w:p>
        </w:tc>
        <w:tc>
          <w:tcPr>
            <w:tcW w:w="4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28.54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31.05</w:t>
            </w:r>
          </w:p>
        </w:tc>
        <w:tc>
          <w:tcPr>
            <w:tcW w:w="56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28.54</w:t>
            </w: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Tangible Book Value</w:t>
            </w:r>
          </w:p>
        </w:tc>
        <w:tc>
          <w:tcPr>
            <w:tcW w:w="200" w:type="dxa"/>
            <w:vAlign w:val="bottom"/>
          </w:tcPr>
          <w:p>
            <w:pPr>
              <w:spacing w:after="0"/>
              <w:rPr>
                <w:sz w:val="12"/>
                <w:szCs w:val="12"/>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30.25</w:t>
            </w:r>
          </w:p>
        </w:tc>
        <w:tc>
          <w:tcPr>
            <w:tcW w:w="360" w:type="dxa"/>
            <w:vAlign w:val="bottom"/>
          </w:tcPr>
          <w:p>
            <w:pPr>
              <w:spacing w:after="0"/>
              <w:rPr>
                <w:sz w:val="12"/>
                <w:szCs w:val="12"/>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28.99</w:t>
            </w: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27.75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30.25</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27.75</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rPr>
              <w:t>Market Value</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Closing</w:t>
            </w:r>
          </w:p>
        </w:tc>
        <w:tc>
          <w:tcPr>
            <w:tcW w:w="200" w:type="dxa"/>
            <w:vAlign w:val="bottom"/>
          </w:tcPr>
          <w:p>
            <w:pPr>
              <w:spacing w:after="0"/>
              <w:rPr>
                <w:sz w:val="12"/>
                <w:szCs w:val="12"/>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72.46</w:t>
            </w:r>
          </w:p>
        </w:tc>
        <w:tc>
          <w:tcPr>
            <w:tcW w:w="360" w:type="dxa"/>
            <w:vAlign w:val="bottom"/>
          </w:tcPr>
          <w:p>
            <w:pPr>
              <w:spacing w:after="0"/>
              <w:rPr>
                <w:sz w:val="12"/>
                <w:szCs w:val="12"/>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49.69</w:t>
            </w: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77.56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72.46</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77.56</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rPr>
              <w:t>High</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75.19</w:t>
            </w: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rPr>
              <w:t>58.63</w:t>
            </w: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82.87</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81.73</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92.38</w:t>
            </w:r>
          </w:p>
        </w:tc>
        <w:tc>
          <w:tcPr>
            <w:tcW w:w="240" w:type="dxa"/>
            <w:vAlign w:val="bottom"/>
            <w:shd w:val="clear" w:color="auto" w:fill="CFF0FC"/>
          </w:tcPr>
          <w:p>
            <w:pPr>
              <w:spacing w:after="0"/>
              <w:rPr>
                <w:sz w:val="12"/>
                <w:szCs w:val="12"/>
                <w:color w:val="auto"/>
              </w:rPr>
            </w:pPr>
          </w:p>
        </w:tc>
      </w:tr>
      <w:tr>
        <w:trPr>
          <w:trHeight w:val="136"/>
        </w:trPr>
        <w:tc>
          <w:tcPr>
            <w:tcW w:w="3440" w:type="dxa"/>
            <w:vAlign w:val="bottom"/>
            <w:gridSpan w:val="3"/>
          </w:tcPr>
          <w:p>
            <w:pPr>
              <w:ind w:left="140"/>
              <w:spacing w:after="0"/>
              <w:rPr>
                <w:sz w:val="20"/>
                <w:szCs w:val="20"/>
                <w:color w:val="auto"/>
              </w:rPr>
            </w:pPr>
            <w:r>
              <w:rPr>
                <w:rFonts w:ascii="Times New Roman" w:cs="Times New Roman" w:eastAsia="Times New Roman" w:hAnsi="Times New Roman"/>
                <w:sz w:val="10"/>
                <w:szCs w:val="10"/>
                <w:color w:val="auto"/>
              </w:rPr>
              <w:t>Low</w:t>
            </w:r>
          </w:p>
        </w:tc>
        <w:tc>
          <w:tcPr>
            <w:tcW w:w="200" w:type="dxa"/>
            <w:vAlign w:val="bottom"/>
          </w:tcPr>
          <w:p>
            <w:pPr>
              <w:spacing w:after="0"/>
              <w:rPr>
                <w:sz w:val="11"/>
                <w:szCs w:val="11"/>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45.56</w:t>
            </w:r>
          </w:p>
        </w:tc>
        <w:tc>
          <w:tcPr>
            <w:tcW w:w="360" w:type="dxa"/>
            <w:vAlign w:val="bottom"/>
          </w:tcPr>
          <w:p>
            <w:pPr>
              <w:spacing w:after="0"/>
              <w:rPr>
                <w:sz w:val="11"/>
                <w:szCs w:val="11"/>
                <w:color w:val="auto"/>
              </w:rPr>
            </w:pPr>
          </w:p>
        </w:tc>
        <w:tc>
          <w:tcPr>
            <w:tcW w:w="11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39.02</w:t>
            </w:r>
          </w:p>
        </w:tc>
        <w:tc>
          <w:tcPr>
            <w:tcW w:w="440" w:type="dxa"/>
            <w:vAlign w:val="bottom"/>
          </w:tcPr>
          <w:p>
            <w:pPr>
              <w:spacing w:after="0"/>
              <w:rPr>
                <w:sz w:val="11"/>
                <w:szCs w:val="11"/>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70.15</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30.83</w:t>
            </w:r>
          </w:p>
        </w:tc>
        <w:tc>
          <w:tcPr>
            <w:tcW w:w="560" w:type="dxa"/>
            <w:vAlign w:val="bottom"/>
          </w:tcPr>
          <w:p>
            <w:pPr>
              <w:spacing w:after="0"/>
              <w:rPr>
                <w:sz w:val="11"/>
                <w:szCs w:val="11"/>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70.15</w:t>
            </w:r>
          </w:p>
        </w:tc>
        <w:tc>
          <w:tcPr>
            <w:tcW w:w="240" w:type="dxa"/>
            <w:vAlign w:val="bottom"/>
          </w:tcPr>
          <w:p>
            <w:pPr>
              <w:spacing w:after="0"/>
              <w:rPr>
                <w:sz w:val="11"/>
                <w:szCs w:val="11"/>
                <w:color w:val="auto"/>
              </w:rPr>
            </w:pPr>
          </w:p>
        </w:tc>
      </w:tr>
      <w:tr>
        <w:trPr>
          <w:trHeight w:val="284"/>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jc w:val="right"/>
              <w:ind w:right="369"/>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349"/>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560" w:type="dxa"/>
            <w:vAlign w:val="bottom"/>
          </w:tcPr>
          <w:p>
            <w:pPr>
              <w:spacing w:after="0"/>
              <w:rPr>
                <w:sz w:val="24"/>
                <w:szCs w:val="24"/>
                <w:color w:val="auto"/>
              </w:rPr>
            </w:pPr>
          </w:p>
        </w:tc>
        <w:tc>
          <w:tcPr>
            <w:tcW w:w="1140" w:type="dxa"/>
            <w:vAlign w:val="bottom"/>
          </w:tcPr>
          <w:p>
            <w:pPr>
              <w:jc w:val="right"/>
              <w:ind w:right="428"/>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Pr>
          <w:p>
            <w:pPr>
              <w:spacing w:after="0"/>
              <w:rPr>
                <w:sz w:val="24"/>
                <w:szCs w:val="24"/>
                <w:color w:val="auto"/>
              </w:rPr>
            </w:pPr>
          </w:p>
        </w:tc>
      </w:tr>
      <w:tr>
        <w:trPr>
          <w:trHeight w:val="145"/>
        </w:trPr>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0"/>
                <w:szCs w:val="10"/>
                <w:b w:val="1"/>
                <w:bCs w:val="1"/>
                <w:color w:val="auto"/>
              </w:rPr>
              <w:t>2023</w:t>
            </w:r>
          </w:p>
        </w:tc>
        <w:tc>
          <w:tcPr>
            <w:tcW w:w="5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auto"/>
            </w:tcBorders>
          </w:tcPr>
          <w:p>
            <w:pPr>
              <w:spacing w:after="0"/>
              <w:rPr>
                <w:sz w:val="12"/>
                <w:szCs w:val="12"/>
                <w:color w:val="auto"/>
              </w:rPr>
            </w:pPr>
          </w:p>
        </w:tc>
      </w:tr>
      <w:tr>
        <w:trPr>
          <w:trHeight w:val="113"/>
        </w:trPr>
        <w:tc>
          <w:tcPr>
            <w:tcW w:w="3440" w:type="dxa"/>
            <w:vAlign w:val="bottom"/>
            <w:gridSpan w:val="3"/>
            <w:shd w:val="clear" w:color="auto" w:fill="CFF0FC"/>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As of Period End:</w:t>
            </w:r>
          </w:p>
        </w:tc>
        <w:tc>
          <w:tcPr>
            <w:tcW w:w="20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r>
      <w:tr>
        <w:trPr>
          <w:trHeight w:val="24"/>
        </w:trPr>
        <w:tc>
          <w:tcPr>
            <w:tcW w:w="6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Balance Sheet Totals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Loans and Leases</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13,965,026</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13,919,491</w:t>
            </w:r>
          </w:p>
        </w:tc>
        <w:tc>
          <w:tcPr>
            <w:tcW w:w="56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13,646,420</w:t>
            </w: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Total Assets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23,733,296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23,549,785</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23,606,877</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Total Deposits</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21,055,045</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20,802,309</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20,615,696</w:t>
            </w: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Other Debt</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560,190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560,217</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410,294</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Total Shareholders' Equity</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1,414,242</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1,363,840</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1,316,995</w:t>
            </w:r>
          </w:p>
        </w:tc>
        <w:tc>
          <w:tcPr>
            <w:tcW w:w="240" w:type="dxa"/>
            <w:vAlign w:val="bottom"/>
            <w:shd w:val="clear" w:color="auto" w:fill="CFF0FC"/>
          </w:tcPr>
          <w:p>
            <w:pPr>
              <w:spacing w:after="0"/>
              <w:rPr>
                <w:sz w:val="12"/>
                <w:szCs w:val="12"/>
                <w:color w:val="auto"/>
              </w:rPr>
            </w:pPr>
          </w:p>
        </w:tc>
      </w:tr>
      <w:tr>
        <w:trPr>
          <w:trHeight w:val="281"/>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Asset Quality</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Non-Performing Assets</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11,747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11,519</w:t>
            </w:r>
          </w:p>
        </w:tc>
        <w:tc>
          <w:tcPr>
            <w:tcW w:w="560" w:type="dxa"/>
            <w:vAlign w:val="bottom"/>
            <w:shd w:val="clear" w:color="auto" w:fill="CFF0FC"/>
          </w:tcPr>
          <w:p>
            <w:pPr>
              <w:jc w:val="right"/>
              <w:ind w:right="209"/>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12,647</w:t>
            </w: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Allowance for Credit Losses - Loans and Leases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146,403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145,263</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144,439</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line="145" w:lineRule="exact"/>
              <w:rPr>
                <w:sz w:val="20"/>
                <w:szCs w:val="20"/>
                <w:color w:val="auto"/>
              </w:rPr>
            </w:pPr>
            <w:r>
              <w:rPr>
                <w:rFonts w:ascii="Times New Roman" w:cs="Times New Roman" w:eastAsia="Times New Roman" w:hAnsi="Times New Roman"/>
                <w:sz w:val="10"/>
                <w:szCs w:val="10"/>
                <w:color w:val="auto"/>
              </w:rPr>
              <w:t xml:space="preserve">Allowance to Loans and Leases Outstanding </w:t>
            </w:r>
            <w:r>
              <w:rPr>
                <w:rFonts w:ascii="Times New Roman" w:cs="Times New Roman" w:eastAsia="Times New Roman" w:hAnsi="Times New Roman"/>
                <w:sz w:val="13"/>
                <w:szCs w:val="13"/>
                <w:color w:val="auto"/>
                <w:vertAlign w:val="superscript"/>
              </w:rPr>
              <w:t>5</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1.05</w:t>
            </w:r>
          </w:p>
        </w:tc>
        <w:tc>
          <w:tcPr>
            <w:tcW w:w="16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0"/>
                <w:szCs w:val="10"/>
                <w:color w:val="auto"/>
                <w:w w:val="71"/>
              </w:rPr>
              <w:t>%</w:t>
            </w: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1.04</w:t>
            </w:r>
          </w:p>
        </w:tc>
        <w:tc>
          <w:tcPr>
            <w:tcW w:w="560" w:type="dxa"/>
            <w:vAlign w:val="bottom"/>
            <w:shd w:val="clear" w:color="auto" w:fill="CFF0FC"/>
          </w:tcPr>
          <w:p>
            <w:pPr>
              <w:jc w:val="right"/>
              <w:ind w:right="329"/>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1.06</w:t>
            </w:r>
          </w:p>
        </w:tc>
        <w:tc>
          <w:tcPr>
            <w:tcW w:w="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r>
      <w:tr>
        <w:trPr>
          <w:trHeight w:val="284"/>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 xml:space="preserve">Capital Ratios </w:t>
            </w:r>
            <w:r>
              <w:rPr>
                <w:rFonts w:ascii="Times New Roman" w:cs="Times New Roman" w:eastAsia="Times New Roman" w:hAnsi="Times New Roman"/>
                <w:sz w:val="13"/>
                <w:szCs w:val="13"/>
                <w:b w:val="1"/>
                <w:bCs w:val="1"/>
                <w:color w:val="auto"/>
                <w:vertAlign w:val="superscript"/>
              </w:rPr>
              <w:t>6</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Common Equity Tier 1 Capital Ratio</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11.33</w:t>
            </w:r>
          </w:p>
        </w:tc>
        <w:tc>
          <w:tcPr>
            <w:tcW w:w="16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0"/>
                <w:szCs w:val="10"/>
                <w:color w:val="auto"/>
                <w:w w:val="71"/>
              </w:rPr>
              <w:t>%</w:t>
            </w: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11.29</w:t>
            </w:r>
          </w:p>
        </w:tc>
        <w:tc>
          <w:tcPr>
            <w:tcW w:w="560" w:type="dxa"/>
            <w:vAlign w:val="bottom"/>
            <w:shd w:val="clear" w:color="auto" w:fill="CFF0FC"/>
          </w:tcPr>
          <w:p>
            <w:pPr>
              <w:jc w:val="right"/>
              <w:ind w:right="329"/>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10.92</w:t>
            </w:r>
          </w:p>
        </w:tc>
        <w:tc>
          <w:tcPr>
            <w:tcW w:w="24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w:t>
            </w: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Tier 1 Capital Ratio</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12.56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12.53</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12.15</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Total Capital Ratio</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13.60</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13.56</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13.17</w:t>
            </w: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Tier 1 Leverage Ratio</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7.51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7.22</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7.37</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Total Shareholders' Equity to Total Assets</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5.96</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5.79</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5.58</w:t>
            </w:r>
          </w:p>
        </w:tc>
        <w:tc>
          <w:tcPr>
            <w:tcW w:w="240" w:type="dxa"/>
            <w:vAlign w:val="bottom"/>
            <w:shd w:val="clear" w:color="auto" w:fill="CFF0FC"/>
          </w:tcPr>
          <w:p>
            <w:pPr>
              <w:spacing w:after="0"/>
              <w:rPr>
                <w:sz w:val="12"/>
                <w:szCs w:val="12"/>
                <w:color w:val="auto"/>
              </w:rPr>
            </w:pPr>
          </w:p>
        </w:tc>
      </w:tr>
      <w:tr>
        <w:trPr>
          <w:trHeight w:val="142"/>
        </w:trPr>
        <w:tc>
          <w:tcPr>
            <w:tcW w:w="3440" w:type="dxa"/>
            <w:vAlign w:val="bottom"/>
            <w:gridSpan w:val="3"/>
          </w:tcPr>
          <w:p>
            <w:pPr>
              <w:spacing w:after="0" w:line="142" w:lineRule="exact"/>
              <w:rPr>
                <w:sz w:val="20"/>
                <w:szCs w:val="20"/>
                <w:color w:val="auto"/>
              </w:rPr>
            </w:pPr>
            <w:r>
              <w:rPr>
                <w:rFonts w:ascii="Times New Roman" w:cs="Times New Roman" w:eastAsia="Times New Roman" w:hAnsi="Times New Roman"/>
                <w:sz w:val="10"/>
                <w:szCs w:val="10"/>
                <w:color w:val="auto"/>
              </w:rPr>
              <w:t xml:space="preserve">Tangible Common Equity to Tangible Assets </w:t>
            </w:r>
            <w:r>
              <w:rPr>
                <w:rFonts w:ascii="Times New Roman" w:cs="Times New Roman" w:eastAsia="Times New Roman" w:hAnsi="Times New Roman"/>
                <w:sz w:val="13"/>
                <w:szCs w:val="13"/>
                <w:color w:val="auto"/>
                <w:vertAlign w:val="superscript"/>
              </w:rPr>
              <w:t>7</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5.07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4.90</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4.69</w:t>
            </w:r>
          </w:p>
        </w:tc>
        <w:tc>
          <w:tcPr>
            <w:tcW w:w="240" w:type="dxa"/>
            <w:vAlign w:val="bottom"/>
          </w:tcPr>
          <w:p>
            <w:pPr>
              <w:spacing w:after="0"/>
              <w:rPr>
                <w:sz w:val="12"/>
                <w:szCs w:val="12"/>
                <w:color w:val="auto"/>
              </w:rPr>
            </w:pPr>
          </w:p>
        </w:tc>
      </w:tr>
      <w:tr>
        <w:trPr>
          <w:trHeight w:val="142"/>
        </w:trPr>
        <w:tc>
          <w:tcPr>
            <w:tcW w:w="344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0"/>
                <w:szCs w:val="10"/>
                <w:color w:val="auto"/>
              </w:rPr>
              <w:t xml:space="preserve">Tangible Common Equity to Risk-Weighted Assets </w:t>
            </w:r>
            <w:r>
              <w:rPr>
                <w:rFonts w:ascii="Times New Roman" w:cs="Times New Roman" w:eastAsia="Times New Roman" w:hAnsi="Times New Roman"/>
                <w:sz w:val="13"/>
                <w:szCs w:val="13"/>
                <w:color w:val="auto"/>
                <w:vertAlign w:val="superscript"/>
              </w:rPr>
              <w:t>7</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8.45</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8.10</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7.76</w:t>
            </w:r>
          </w:p>
        </w:tc>
        <w:tc>
          <w:tcPr>
            <w:tcW w:w="240" w:type="dxa"/>
            <w:vAlign w:val="bottom"/>
            <w:shd w:val="clear" w:color="auto" w:fill="CFF0FC"/>
          </w:tcPr>
          <w:p>
            <w:pPr>
              <w:spacing w:after="0"/>
              <w:rPr>
                <w:sz w:val="12"/>
                <w:szCs w:val="12"/>
                <w:color w:val="auto"/>
              </w:rPr>
            </w:pPr>
          </w:p>
        </w:tc>
      </w:tr>
      <w:tr>
        <w:trPr>
          <w:trHeight w:val="281"/>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Non-Financial Data</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Full-Time Equivalent Employees</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1,899</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1,919</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2,076</w:t>
            </w:r>
          </w:p>
        </w:tc>
        <w:tc>
          <w:tcPr>
            <w:tcW w:w="240" w:type="dxa"/>
            <w:vAlign w:val="bottom"/>
            <w:shd w:val="clear" w:color="auto" w:fill="CFF0FC"/>
          </w:tcPr>
          <w:p>
            <w:pPr>
              <w:spacing w:after="0"/>
              <w:rPr>
                <w:sz w:val="12"/>
                <w:szCs w:val="12"/>
                <w:color w:val="auto"/>
              </w:rPr>
            </w:pPr>
          </w:p>
        </w:tc>
      </w:tr>
      <w:tr>
        <w:trPr>
          <w:trHeight w:val="139"/>
        </w:trPr>
        <w:tc>
          <w:tcPr>
            <w:tcW w:w="344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Branches</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51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560" w:type="dxa"/>
            <w:vAlign w:val="bottom"/>
          </w:tcPr>
          <w:p>
            <w:pPr>
              <w:spacing w:after="0"/>
              <w:rPr>
                <w:sz w:val="12"/>
                <w:szCs w:val="12"/>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51</w:t>
            </w:r>
          </w:p>
        </w:tc>
        <w:tc>
          <w:tcPr>
            <w:tcW w:w="240" w:type="dxa"/>
            <w:vAlign w:val="bottom"/>
          </w:tcPr>
          <w:p>
            <w:pPr>
              <w:spacing w:after="0"/>
              <w:rPr>
                <w:sz w:val="12"/>
                <w:szCs w:val="12"/>
                <w:color w:val="auto"/>
              </w:rPr>
            </w:pPr>
          </w:p>
        </w:tc>
      </w:tr>
      <w:tr>
        <w:trPr>
          <w:trHeight w:val="145"/>
        </w:trPr>
        <w:tc>
          <w:tcPr>
            <w:tcW w:w="3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0"/>
                <w:szCs w:val="10"/>
                <w:color w:val="auto"/>
              </w:rPr>
              <w:t>ATMs</w:t>
            </w: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9"/>
              <w:spacing w:after="0"/>
              <w:rPr>
                <w:sz w:val="20"/>
                <w:szCs w:val="20"/>
                <w:color w:val="auto"/>
              </w:rPr>
            </w:pPr>
            <w:r>
              <w:rPr>
                <w:rFonts w:ascii="Times New Roman" w:cs="Times New Roman" w:eastAsia="Times New Roman" w:hAnsi="Times New Roman"/>
                <w:sz w:val="10"/>
                <w:szCs w:val="10"/>
                <w:color w:val="auto"/>
              </w:rPr>
              <w:t>318</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320</w:t>
            </w:r>
          </w:p>
        </w:tc>
        <w:tc>
          <w:tcPr>
            <w:tcW w:w="56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color w:val="auto"/>
              </w:rPr>
              <w:t>320</w:t>
            </w:r>
          </w:p>
        </w:tc>
        <w:tc>
          <w:tcPr>
            <w:tcW w:w="240" w:type="dxa"/>
            <w:vAlign w:val="bottom"/>
            <w:shd w:val="clear" w:color="auto" w:fill="CFF0FC"/>
          </w:tcPr>
          <w:p>
            <w:pPr>
              <w:spacing w:after="0"/>
              <w:rPr>
                <w:sz w:val="12"/>
                <w:szCs w:val="12"/>
                <w:color w:val="auto"/>
              </w:rPr>
            </w:pPr>
          </w:p>
        </w:tc>
      </w:tr>
    </w:tbl>
    <w:p>
      <w:pPr>
        <w:spacing w:after="0" w:line="103" w:lineRule="exact"/>
        <w:rPr>
          <w:sz w:val="20"/>
          <w:szCs w:val="20"/>
          <w:color w:val="auto"/>
        </w:rPr>
      </w:pPr>
    </w:p>
    <w:p>
      <w:pPr>
        <w:ind w:left="60" w:hanging="54"/>
        <w:spacing w:after="0"/>
        <w:tabs>
          <w:tab w:leader="none" w:pos="60" w:val="left"/>
        </w:tabs>
        <w:numPr>
          <w:ilvl w:val="0"/>
          <w:numId w:val="3"/>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7"/>
          <w:szCs w:val="7"/>
          <w:color w:val="auto"/>
        </w:rPr>
        <w:t>Due to rounding, the amounts presented in this table may not tie to other amounts presented elsewhere in this report.</w:t>
      </w:r>
    </w:p>
    <w:p>
      <w:pPr>
        <w:ind w:left="60" w:hanging="54"/>
        <w:spacing w:after="0" w:line="204" w:lineRule="auto"/>
        <w:tabs>
          <w:tab w:leader="none" w:pos="60" w:val="left"/>
        </w:tabs>
        <w:numPr>
          <w:ilvl w:val="0"/>
          <w:numId w:val="4"/>
        </w:numPr>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7"/>
          <w:szCs w:val="7"/>
          <w:color w:val="auto"/>
        </w:rPr>
        <w:t>Efficiency ratio is defined as noninterest expense divided by total revenue (net interest income and total noninterest income).</w:t>
      </w:r>
    </w:p>
    <w:p>
      <w:pPr>
        <w:spacing w:after="0" w:line="11" w:lineRule="exact"/>
        <w:rPr>
          <w:rFonts w:ascii="Times New Roman" w:cs="Times New Roman" w:eastAsia="Times New Roman" w:hAnsi="Times New Roman"/>
          <w:sz w:val="10"/>
          <w:szCs w:val="10"/>
          <w:color w:val="auto"/>
          <w:vertAlign w:val="superscript"/>
        </w:rPr>
      </w:pPr>
    </w:p>
    <w:p>
      <w:pPr>
        <w:spacing w:after="0" w:line="219" w:lineRule="auto"/>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vertAlign w:val="superscript"/>
        </w:rPr>
        <w:t>3</w:t>
      </w:r>
      <w:r>
        <w:rPr>
          <w:rFonts w:ascii="Times New Roman" w:cs="Times New Roman" w:eastAsia="Times New Roman" w:hAnsi="Times New Roman"/>
          <w:sz w:val="7"/>
          <w:szCs w:val="7"/>
          <w:color w:val="auto"/>
        </w:rPr>
        <w:t xml:space="preserve">  Net interest margin is defined as net interest income, on a taxable-equivalent basis, as a percentage of average earning assets.</w:t>
      </w:r>
    </w:p>
    <w:p>
      <w:pPr>
        <w:spacing w:after="0" w:line="219" w:lineRule="auto"/>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vertAlign w:val="superscript"/>
        </w:rPr>
        <w:t>4</w:t>
      </w:r>
      <w:r>
        <w:rPr>
          <w:rFonts w:ascii="Times New Roman" w:cs="Times New Roman" w:eastAsia="Times New Roman" w:hAnsi="Times New Roman"/>
          <w:sz w:val="7"/>
          <w:szCs w:val="7"/>
          <w:color w:val="auto"/>
        </w:rPr>
        <w:t xml:space="preserve">  Dividend payout ratio is defined as dividends declared per common share divided by basic earnings per common share.</w:t>
      </w:r>
    </w:p>
    <w:p>
      <w:pPr>
        <w:spacing w:after="0" w:line="219" w:lineRule="auto"/>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vertAlign w:val="superscript"/>
        </w:rPr>
        <w:t>5</w:t>
      </w:r>
      <w:r>
        <w:rPr>
          <w:rFonts w:ascii="Times New Roman" w:cs="Times New Roman" w:eastAsia="Times New Roman" w:hAnsi="Times New Roman"/>
          <w:sz w:val="7"/>
          <w:szCs w:val="7"/>
          <w:color w:val="auto"/>
        </w:rPr>
        <w:t xml:space="preserve">  The numerator comprises the Allowance for Credit Losses - Loans and Leases.</w:t>
      </w:r>
    </w:p>
    <w:p>
      <w:pPr>
        <w:spacing w:after="0" w:line="219" w:lineRule="auto"/>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vertAlign w:val="superscript"/>
        </w:rPr>
        <w:t>6</w:t>
      </w:r>
      <w:r>
        <w:rPr>
          <w:rFonts w:ascii="Times New Roman" w:cs="Times New Roman" w:eastAsia="Times New Roman" w:hAnsi="Times New Roman"/>
          <w:sz w:val="7"/>
          <w:szCs w:val="7"/>
          <w:color w:val="auto"/>
        </w:rPr>
        <w:t xml:space="preserve">  Regulatory capital ratios as of December 31, 2023 are preliminary.</w:t>
      </w:r>
    </w:p>
    <w:p>
      <w:pPr>
        <w:spacing w:after="0" w:line="219" w:lineRule="auto"/>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9"/>
          <w:szCs w:val="9"/>
          <w:color w:val="auto"/>
          <w:vertAlign w:val="superscript"/>
        </w:rPr>
        <w:t>7</w:t>
      </w:r>
      <w:r>
        <w:rPr>
          <w:rFonts w:ascii="Times New Roman" w:cs="Times New Roman" w:eastAsia="Times New Roman" w:hAnsi="Times New Roman"/>
          <w:sz w:val="7"/>
          <w:szCs w:val="7"/>
          <w:color w:val="auto"/>
        </w:rPr>
        <w:t xml:space="preserve">  Tangible common equity to tangible assets and tangible common equity to risk-weighted assets are Non-GAAP financial measures.</w:t>
      </w:r>
    </w:p>
    <w:p>
      <w:pPr>
        <w:ind w:left="80"/>
        <w:spacing w:after="0"/>
        <w:rPr>
          <w:rFonts w:ascii="Times New Roman" w:cs="Times New Roman" w:eastAsia="Times New Roman" w:hAnsi="Times New Roman"/>
          <w:sz w:val="10"/>
          <w:szCs w:val="10"/>
          <w:color w:val="auto"/>
          <w:vertAlign w:val="superscript"/>
        </w:rPr>
      </w:pPr>
      <w:r>
        <w:rPr>
          <w:rFonts w:ascii="Times New Roman" w:cs="Times New Roman" w:eastAsia="Times New Roman" w:hAnsi="Times New Roman"/>
          <w:sz w:val="7"/>
          <w:szCs w:val="7"/>
          <w:color w:val="auto"/>
        </w:rPr>
        <w:t>Tangible common equity is defined by the Company as common shareholders' equity minus goodwill. See Table 2 "Reconciliation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667385</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7"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Reconciliation of Non-GAAP Financial Measures</w:t>
            </w:r>
          </w:p>
        </w:tc>
        <w:tc>
          <w:tcPr>
            <w:tcW w:w="1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Table 2</w:t>
            </w:r>
          </w:p>
        </w:tc>
      </w:tr>
      <w:tr>
        <w:trPr>
          <w:trHeight w:val="144"/>
        </w:trPr>
        <w:tc>
          <w:tcPr>
            <w:tcW w:w="49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54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0" w:type="dxa"/>
            <w:vAlign w:val="bottom"/>
          </w:tcPr>
          <w:p>
            <w:pPr>
              <w:spacing w:after="0"/>
              <w:rPr>
                <w:sz w:val="12"/>
                <w:szCs w:val="12"/>
                <w:color w:val="auto"/>
              </w:rPr>
            </w:pPr>
          </w:p>
        </w:tc>
      </w:tr>
      <w:tr>
        <w:trPr>
          <w:trHeight w:val="155"/>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1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2"/>
                <w:szCs w:val="12"/>
                <w:b w:val="1"/>
                <w:bCs w:val="1"/>
                <w:color w:val="auto"/>
              </w:rPr>
              <w:t>2023</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2"/>
                <w:szCs w:val="12"/>
                <w:b w:val="1"/>
                <w:bCs w:val="1"/>
                <w:color w:val="auto"/>
              </w:rPr>
              <w:t>2023</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spacing w:after="0"/>
              <w:rPr>
                <w:sz w:val="13"/>
                <w:szCs w:val="13"/>
                <w:color w:val="auto"/>
              </w:rPr>
            </w:pPr>
          </w:p>
        </w:tc>
      </w:tr>
      <w:tr>
        <w:trPr>
          <w:trHeight w:val="146"/>
        </w:trPr>
        <w:tc>
          <w:tcPr>
            <w:tcW w:w="49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Total Shareholders' Equity</w:t>
            </w:r>
          </w:p>
        </w:tc>
        <w:tc>
          <w:tcPr>
            <w:tcW w:w="1260" w:type="dxa"/>
            <w:vAlign w:val="bottom"/>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1,414,242</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1,363,840</w:t>
            </w: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1,316,995</w:t>
            </w:r>
          </w:p>
        </w:tc>
        <w:tc>
          <w:tcPr>
            <w:tcW w:w="20" w:type="dxa"/>
            <w:vAlign w:val="bottom"/>
          </w:tcPr>
          <w:p>
            <w:pPr>
              <w:spacing w:after="0"/>
              <w:rPr>
                <w:sz w:val="13"/>
                <w:szCs w:val="13"/>
                <w:color w:val="auto"/>
              </w:rPr>
            </w:pPr>
          </w:p>
        </w:tc>
      </w:tr>
      <w:tr>
        <w:trPr>
          <w:trHeight w:val="154"/>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Less: Preferred Stock</w:t>
            </w:r>
          </w:p>
        </w:tc>
        <w:tc>
          <w:tcPr>
            <w:tcW w:w="1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180,000</w:t>
            </w: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2"/>
                <w:szCs w:val="12"/>
                <w:color w:val="auto"/>
              </w:rPr>
              <w:t>180,000</w:t>
            </w: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180,000</w:t>
            </w:r>
          </w:p>
        </w:tc>
        <w:tc>
          <w:tcPr>
            <w:tcW w:w="20" w:type="dxa"/>
            <w:vAlign w:val="bottom"/>
          </w:tcPr>
          <w:p>
            <w:pPr>
              <w:spacing w:after="0"/>
              <w:rPr>
                <w:sz w:val="13"/>
                <w:szCs w:val="13"/>
                <w:color w:val="auto"/>
              </w:rPr>
            </w:pPr>
          </w:p>
        </w:tc>
      </w:tr>
      <w:tr>
        <w:trPr>
          <w:trHeight w:val="154"/>
        </w:trPr>
        <w:tc>
          <w:tcPr>
            <w:tcW w:w="4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rPr>
              <w:t>Goodwill</w:t>
            </w:r>
          </w:p>
        </w:tc>
        <w:tc>
          <w:tcPr>
            <w:tcW w:w="1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31,517</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31,517</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31,517</w:t>
            </w:r>
          </w:p>
        </w:tc>
        <w:tc>
          <w:tcPr>
            <w:tcW w:w="20" w:type="dxa"/>
            <w:vAlign w:val="bottom"/>
          </w:tcPr>
          <w:p>
            <w:pPr>
              <w:spacing w:after="0"/>
              <w:rPr>
                <w:sz w:val="13"/>
                <w:szCs w:val="13"/>
                <w:color w:val="auto"/>
              </w:rPr>
            </w:pPr>
          </w:p>
        </w:tc>
      </w:tr>
      <w:tr>
        <w:trPr>
          <w:trHeight w:val="146"/>
        </w:trPr>
        <w:tc>
          <w:tcPr>
            <w:tcW w:w="49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Tangible Common Equity</w:t>
            </w:r>
          </w:p>
        </w:tc>
        <w:tc>
          <w:tcPr>
            <w:tcW w:w="1260" w:type="dxa"/>
            <w:vAlign w:val="bottom"/>
            <w:tcBorders>
              <w:bottom w:val="single" w:sz="8" w:color="auto"/>
            </w:tcBorders>
            <w:shd w:val="clear" w:color="auto" w:fill="CFF0FC"/>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1,202,725</w:t>
            </w:r>
          </w:p>
        </w:tc>
        <w:tc>
          <w:tcPr>
            <w:tcW w:w="280" w:type="dxa"/>
            <w:vAlign w:val="bottom"/>
            <w:tcBorders>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2"/>
                <w:szCs w:val="12"/>
                <w:color w:val="auto"/>
              </w:rPr>
              <w:t>1,152,323</w:t>
            </w:r>
          </w:p>
        </w:tc>
        <w:tc>
          <w:tcPr>
            <w:tcW w:w="280" w:type="dxa"/>
            <w:vAlign w:val="bottom"/>
            <w:tcBorders>
              <w:bottom w:val="single" w:sz="8" w:color="auto"/>
            </w:tcBorders>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1,105,478</w:t>
            </w:r>
          </w:p>
        </w:tc>
        <w:tc>
          <w:tcPr>
            <w:tcW w:w="20" w:type="dxa"/>
            <w:vAlign w:val="bottom"/>
          </w:tcPr>
          <w:p>
            <w:pPr>
              <w:spacing w:after="0"/>
              <w:rPr>
                <w:sz w:val="12"/>
                <w:szCs w:val="12"/>
                <w:color w:val="auto"/>
              </w:rPr>
            </w:pPr>
          </w:p>
        </w:tc>
      </w:tr>
      <w:tr>
        <w:trPr>
          <w:trHeight w:val="146"/>
        </w:trPr>
        <w:tc>
          <w:tcPr>
            <w:tcW w:w="4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126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23,733,296</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2"/>
                <w:szCs w:val="12"/>
                <w:color w:val="auto"/>
              </w:rPr>
              <w:t>23,549,785</w:t>
            </w:r>
          </w:p>
        </w:tc>
        <w:tc>
          <w:tcPr>
            <w:tcW w:w="280" w:type="dxa"/>
            <w:vAlign w:val="bottom"/>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23,606,877</w:t>
            </w:r>
          </w:p>
        </w:tc>
        <w:tc>
          <w:tcPr>
            <w:tcW w:w="20" w:type="dxa"/>
            <w:vAlign w:val="bottom"/>
          </w:tcPr>
          <w:p>
            <w:pPr>
              <w:spacing w:after="0"/>
              <w:rPr>
                <w:sz w:val="13"/>
                <w:szCs w:val="13"/>
                <w:color w:val="auto"/>
              </w:rPr>
            </w:pPr>
          </w:p>
        </w:tc>
      </w:tr>
      <w:tr>
        <w:trPr>
          <w:trHeight w:val="154"/>
        </w:trPr>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Less: Goodwill</w:t>
            </w:r>
          </w:p>
        </w:tc>
        <w:tc>
          <w:tcPr>
            <w:tcW w:w="1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31,517</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31,517</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31,517</w:t>
            </w:r>
          </w:p>
        </w:tc>
        <w:tc>
          <w:tcPr>
            <w:tcW w:w="20" w:type="dxa"/>
            <w:vAlign w:val="bottom"/>
          </w:tcPr>
          <w:p>
            <w:pPr>
              <w:spacing w:after="0"/>
              <w:rPr>
                <w:sz w:val="13"/>
                <w:szCs w:val="13"/>
                <w:color w:val="auto"/>
              </w:rPr>
            </w:pPr>
          </w:p>
        </w:tc>
      </w:tr>
      <w:tr>
        <w:trPr>
          <w:trHeight w:val="146"/>
        </w:trPr>
        <w:tc>
          <w:tcPr>
            <w:tcW w:w="49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Tangible Assets</w:t>
            </w:r>
          </w:p>
        </w:tc>
        <w:tc>
          <w:tcPr>
            <w:tcW w:w="1260" w:type="dxa"/>
            <w:vAlign w:val="bottom"/>
            <w:tcBorders>
              <w:bottom w:val="single" w:sz="8" w:color="auto"/>
            </w:tcBorders>
            <w:shd w:val="clear" w:color="auto" w:fill="CFF0FC"/>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2"/>
                <w:szCs w:val="12"/>
                <w:color w:val="auto"/>
              </w:rPr>
              <w:t>23,701,779</w:t>
            </w:r>
          </w:p>
        </w:tc>
        <w:tc>
          <w:tcPr>
            <w:tcW w:w="280" w:type="dxa"/>
            <w:vAlign w:val="bottom"/>
            <w:tcBorders>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2"/>
                <w:szCs w:val="12"/>
                <w:color w:val="auto"/>
              </w:rPr>
              <w:t>23,518,268</w:t>
            </w:r>
          </w:p>
        </w:tc>
        <w:tc>
          <w:tcPr>
            <w:tcW w:w="280" w:type="dxa"/>
            <w:vAlign w:val="bottom"/>
            <w:tcBorders>
              <w:bottom w:val="single" w:sz="8" w:color="auto"/>
            </w:tcBorders>
            <w:shd w:val="clear" w:color="auto" w:fill="CFF0FC"/>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23,575,360</w:t>
            </w:r>
          </w:p>
        </w:tc>
        <w:tc>
          <w:tcPr>
            <w:tcW w:w="20" w:type="dxa"/>
            <w:vAlign w:val="bottom"/>
          </w:tcPr>
          <w:p>
            <w:pPr>
              <w:spacing w:after="0"/>
              <w:rPr>
                <w:sz w:val="12"/>
                <w:szCs w:val="12"/>
                <w:color w:val="auto"/>
              </w:rPr>
            </w:pPr>
          </w:p>
        </w:tc>
      </w:tr>
      <w:tr>
        <w:trPr>
          <w:trHeight w:val="146"/>
        </w:trPr>
        <w:tc>
          <w:tcPr>
            <w:tcW w:w="4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4"/>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Risk-Weighted Assets, determined in accordance</w:t>
            </w:r>
          </w:p>
        </w:tc>
        <w:tc>
          <w:tcPr>
            <w:tcW w:w="12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940" w:type="dxa"/>
            <w:vAlign w:val="bottom"/>
          </w:tcPr>
          <w:p>
            <w:pPr>
              <w:ind w:left="160"/>
              <w:spacing w:after="0" w:line="154" w:lineRule="exact"/>
              <w:rPr>
                <w:sz w:val="20"/>
                <w:szCs w:val="20"/>
                <w:color w:val="auto"/>
              </w:rPr>
            </w:pPr>
            <w:r>
              <w:rPr>
                <w:rFonts w:ascii="Times New Roman" w:cs="Times New Roman" w:eastAsia="Times New Roman" w:hAnsi="Times New Roman"/>
                <w:sz w:val="12"/>
                <w:szCs w:val="12"/>
                <w:color w:val="auto"/>
              </w:rPr>
              <w:t xml:space="preserve">with prescribed regulatory requirements </w:t>
            </w:r>
            <w:r>
              <w:rPr>
                <w:rFonts w:ascii="Times New Roman" w:cs="Times New Roman" w:eastAsia="Times New Roman" w:hAnsi="Times New Roman"/>
                <w:sz w:val="15"/>
                <w:szCs w:val="15"/>
                <w:color w:val="auto"/>
                <w:vertAlign w:val="superscript"/>
              </w:rPr>
              <w:t>1</w:t>
            </w:r>
          </w:p>
        </w:tc>
        <w:tc>
          <w:tcPr>
            <w:tcW w:w="1260" w:type="dxa"/>
            <w:vAlign w:val="bottom"/>
          </w:tcPr>
          <w:p>
            <w:pPr>
              <w:jc w:val="right"/>
              <w:ind w:right="161"/>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14,226,780</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14,222,825</w:t>
            </w: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14,238,798</w:t>
            </w:r>
          </w:p>
        </w:tc>
        <w:tc>
          <w:tcPr>
            <w:tcW w:w="20" w:type="dxa"/>
            <w:vAlign w:val="bottom"/>
          </w:tcPr>
          <w:p>
            <w:pPr>
              <w:spacing w:after="0"/>
              <w:rPr>
                <w:sz w:val="13"/>
                <w:szCs w:val="13"/>
                <w:color w:val="auto"/>
              </w:rPr>
            </w:pPr>
          </w:p>
        </w:tc>
      </w:tr>
      <w:tr>
        <w:trPr>
          <w:trHeight w:val="154"/>
        </w:trPr>
        <w:tc>
          <w:tcPr>
            <w:tcW w:w="49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Total Shareholders' Equity to Total Assets</w:t>
            </w:r>
          </w:p>
        </w:tc>
        <w:tc>
          <w:tcPr>
            <w:tcW w:w="1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5.96 %</w:t>
            </w:r>
          </w:p>
        </w:tc>
        <w:tc>
          <w:tcPr>
            <w:tcW w:w="2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5.79 %</w:t>
            </w:r>
          </w:p>
        </w:tc>
        <w:tc>
          <w:tcPr>
            <w:tcW w:w="280" w:type="dxa"/>
            <w:vAlign w:val="bottom"/>
          </w:tcPr>
          <w:p>
            <w:pPr>
              <w:spacing w:after="0"/>
              <w:rPr>
                <w:sz w:val="13"/>
                <w:szCs w:val="13"/>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5.58 %</w:t>
            </w:r>
          </w:p>
        </w:tc>
      </w:tr>
      <w:tr>
        <w:trPr>
          <w:trHeight w:val="154"/>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Tangible Common Equity to Tangible Assets (Non-GAAP)</w:t>
            </w:r>
          </w:p>
        </w:tc>
        <w:tc>
          <w:tcPr>
            <w:tcW w:w="1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5.07 %</w:t>
            </w: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4.90 %</w:t>
            </w: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4.69 %</w:t>
            </w:r>
          </w:p>
        </w:tc>
        <w:tc>
          <w:tcPr>
            <w:tcW w:w="20" w:type="dxa"/>
            <w:vAlign w:val="bottom"/>
          </w:tcPr>
          <w:p>
            <w:pPr>
              <w:spacing w:after="0"/>
              <w:rPr>
                <w:sz w:val="13"/>
                <w:szCs w:val="13"/>
                <w:color w:val="auto"/>
              </w:rPr>
            </w:pPr>
          </w:p>
        </w:tc>
      </w:tr>
      <w:tr>
        <w:trPr>
          <w:trHeight w:val="154"/>
        </w:trPr>
        <w:tc>
          <w:tcPr>
            <w:tcW w:w="4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spacing w:after="0"/>
              <w:rPr>
                <w:sz w:val="13"/>
                <w:szCs w:val="13"/>
                <w:color w:val="auto"/>
              </w:rPr>
            </w:pPr>
          </w:p>
        </w:tc>
      </w:tr>
      <w:tr>
        <w:trPr>
          <w:trHeight w:val="154"/>
        </w:trPr>
        <w:tc>
          <w:tcPr>
            <w:tcW w:w="4940" w:type="dxa"/>
            <w:vAlign w:val="bottom"/>
            <w:shd w:val="clear" w:color="auto" w:fill="CFF0FC"/>
          </w:tcPr>
          <w:p>
            <w:pPr>
              <w:spacing w:after="0" w:line="154" w:lineRule="exact"/>
              <w:rPr>
                <w:sz w:val="20"/>
                <w:szCs w:val="20"/>
                <w:color w:val="auto"/>
              </w:rPr>
            </w:pPr>
            <w:r>
              <w:rPr>
                <w:rFonts w:ascii="Times New Roman" w:cs="Times New Roman" w:eastAsia="Times New Roman" w:hAnsi="Times New Roman"/>
                <w:sz w:val="12"/>
                <w:szCs w:val="12"/>
                <w:color w:val="auto"/>
              </w:rPr>
              <w:t xml:space="preserve">Tier 1 Capital Ratio </w:t>
            </w:r>
            <w:r>
              <w:rPr>
                <w:rFonts w:ascii="Times New Roman" w:cs="Times New Roman" w:eastAsia="Times New Roman" w:hAnsi="Times New Roman"/>
                <w:sz w:val="15"/>
                <w:szCs w:val="15"/>
                <w:color w:val="auto"/>
                <w:vertAlign w:val="superscript"/>
              </w:rPr>
              <w:t>1</w:t>
            </w:r>
          </w:p>
        </w:tc>
        <w:tc>
          <w:tcPr>
            <w:tcW w:w="1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12.56 %</w:t>
            </w: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12.53 %</w:t>
            </w:r>
          </w:p>
        </w:tc>
        <w:tc>
          <w:tcPr>
            <w:tcW w:w="28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12.15 %</w:t>
            </w:r>
          </w:p>
        </w:tc>
        <w:tc>
          <w:tcPr>
            <w:tcW w:w="20" w:type="dxa"/>
            <w:vAlign w:val="bottom"/>
          </w:tcPr>
          <w:p>
            <w:pPr>
              <w:spacing w:after="0"/>
              <w:rPr>
                <w:sz w:val="13"/>
                <w:szCs w:val="13"/>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Tangible Common Equity to Risk-Weighted Assets (Non-GAAP) </w:t>
            </w:r>
            <w:r>
              <w:rPr>
                <w:rFonts w:ascii="Times New Roman" w:cs="Times New Roman" w:eastAsia="Times New Roman" w:hAnsi="Times New Roman"/>
                <w:sz w:val="15"/>
                <w:szCs w:val="15"/>
                <w:color w:val="auto"/>
                <w:vertAlign w:val="superscript"/>
              </w:rPr>
              <w:t>1</w:t>
            </w:r>
          </w:p>
        </w:tc>
        <w:tc>
          <w:tcPr>
            <w:tcW w:w="1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8.45 %</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8.10 %</w:t>
            </w:r>
          </w:p>
        </w:tc>
        <w:tc>
          <w:tcPr>
            <w:tcW w:w="2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7.76 %</w:t>
            </w:r>
          </w:p>
        </w:tc>
      </w:tr>
    </w:tbl>
    <w:p>
      <w:pPr>
        <w:spacing w:after="0" w:line="72" w:lineRule="exact"/>
        <w:rPr>
          <w:sz w:val="20"/>
          <w:szCs w:val="20"/>
          <w:color w:val="auto"/>
        </w:rPr>
      </w:pPr>
    </w:p>
    <w:p>
      <w:pPr>
        <w:ind w:left="80" w:hanging="74"/>
        <w:spacing w:after="0"/>
        <w:tabs>
          <w:tab w:leader="none" w:pos="80" w:val="left"/>
        </w:tabs>
        <w:numPr>
          <w:ilvl w:val="0"/>
          <w:numId w:val="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Regulatory capital ratios as of December 31, 2023 are preliminary.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742950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Consolidated Statements of Income</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Table 3</w:t>
            </w:r>
          </w:p>
        </w:tc>
      </w:tr>
      <w:tr>
        <w:trPr>
          <w:trHeight w:val="119"/>
        </w:trPr>
        <w:tc>
          <w:tcPr>
            <w:tcW w:w="42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Year Ended</w:t>
            </w:r>
          </w:p>
        </w:tc>
        <w:tc>
          <w:tcPr>
            <w:tcW w:w="980" w:type="dxa"/>
            <w:vAlign w:val="bottom"/>
            <w:tcBorders>
              <w:bottom w:val="single" w:sz="8" w:color="auto"/>
            </w:tcBorders>
          </w:tcPr>
          <w:p>
            <w:pPr>
              <w:spacing w:after="0"/>
              <w:rPr>
                <w:sz w:val="10"/>
                <w:szCs w:val="10"/>
                <w:color w:val="auto"/>
              </w:rPr>
            </w:pPr>
          </w:p>
        </w:tc>
      </w:tr>
      <w:tr>
        <w:trPr>
          <w:trHeight w:val="119"/>
        </w:trPr>
        <w:tc>
          <w:tcPr>
            <w:tcW w:w="4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160" w:type="dxa"/>
            <w:vAlign w:val="bottom"/>
          </w:tcPr>
          <w:p>
            <w:pPr>
              <w:spacing w:after="0"/>
              <w:rPr>
                <w:sz w:val="10"/>
                <w:szCs w:val="10"/>
                <w:color w:val="auto"/>
              </w:rPr>
            </w:pPr>
          </w:p>
        </w:tc>
        <w:tc>
          <w:tcPr>
            <w:tcW w:w="1160" w:type="dxa"/>
            <w:vAlign w:val="bottom"/>
          </w:tcPr>
          <w:p>
            <w:pPr>
              <w:jc w:val="right"/>
              <w:ind w:right="353"/>
              <w:spacing w:after="0"/>
              <w:rPr>
                <w:sz w:val="20"/>
                <w:szCs w:val="20"/>
                <w:color w:val="auto"/>
              </w:rPr>
            </w:pPr>
            <w:r>
              <w:rPr>
                <w:rFonts w:ascii="Times New Roman" w:cs="Times New Roman" w:eastAsia="Times New Roman" w:hAnsi="Times New Roman"/>
                <w:sz w:val="9"/>
                <w:szCs w:val="9"/>
                <w:b w:val="1"/>
                <w:bCs w:val="1"/>
                <w:color w:val="auto"/>
              </w:rPr>
              <w:t>September 30,</w:t>
            </w:r>
          </w:p>
        </w:tc>
        <w:tc>
          <w:tcPr>
            <w:tcW w:w="240" w:type="dxa"/>
            <w:vAlign w:val="bottom"/>
          </w:tcPr>
          <w:p>
            <w:pPr>
              <w:spacing w:after="0"/>
              <w:rPr>
                <w:sz w:val="10"/>
                <w:szCs w:val="10"/>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40" w:type="dxa"/>
            <w:vAlign w:val="bottom"/>
            <w:gridSpan w:val="2"/>
          </w:tcPr>
          <w:p>
            <w:pPr>
              <w:jc w:val="right"/>
              <w:ind w:right="113"/>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980" w:type="dxa"/>
            <w:vAlign w:val="bottom"/>
          </w:tcPr>
          <w:p>
            <w:pPr>
              <w:spacing w:after="0"/>
              <w:rPr>
                <w:sz w:val="10"/>
                <w:szCs w:val="10"/>
                <w:color w:val="auto"/>
              </w:rPr>
            </w:pPr>
          </w:p>
        </w:tc>
      </w:tr>
      <w:tr>
        <w:trPr>
          <w:trHeight w:val="132"/>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(dollars in thousands, except per share amounts)</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9"/>
                <w:szCs w:val="9"/>
                <w:b w:val="1"/>
                <w:bCs w:val="1"/>
                <w:color w:val="auto"/>
              </w:rPr>
              <w:t>2023</w:t>
            </w: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9"/>
                <w:szCs w:val="9"/>
                <w:b w:val="1"/>
                <w:bCs w:val="1"/>
                <w:color w:val="auto"/>
              </w:rPr>
              <w:t>2023</w:t>
            </w: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9"/>
                <w:szCs w:val="9"/>
                <w:b w:val="1"/>
                <w:bCs w:val="1"/>
                <w:color w:val="auto"/>
              </w:rPr>
              <w:t>2022</w:t>
            </w: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9"/>
                <w:szCs w:val="9"/>
                <w:b w:val="1"/>
                <w:bCs w:val="1"/>
                <w:color w:val="auto"/>
              </w:rPr>
              <w:t>2023</w:t>
            </w:r>
          </w:p>
        </w:tc>
        <w:tc>
          <w:tcPr>
            <w:tcW w:w="4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9"/>
                <w:szCs w:val="9"/>
                <w:b w:val="1"/>
                <w:bCs w:val="1"/>
                <w:color w:val="auto"/>
              </w:rPr>
              <w:t>2022</w:t>
            </w:r>
          </w:p>
        </w:tc>
      </w:tr>
      <w:tr>
        <w:trPr>
          <w:trHeight w:val="12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Interest Income</w:t>
            </w:r>
          </w:p>
        </w:tc>
        <w:tc>
          <w:tcPr>
            <w:tcW w:w="22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r>
      <w:tr>
        <w:trPr>
          <w:trHeight w:val="126"/>
        </w:trPr>
        <w:tc>
          <w:tcPr>
            <w:tcW w:w="4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Interest and Fees on Loans and Leases</w:t>
            </w:r>
          </w:p>
        </w:tc>
        <w:tc>
          <w:tcPr>
            <w:tcW w:w="220" w:type="dxa"/>
            <w:vAlign w:val="bottom"/>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158,324</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151,245</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128,683</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590,611</w:t>
            </w:r>
          </w:p>
        </w:tc>
        <w:tc>
          <w:tcPr>
            <w:tcW w:w="420" w:type="dxa"/>
            <w:vAlign w:val="bottom"/>
          </w:tcPr>
          <w:p>
            <w:pPr>
              <w:jc w:val="right"/>
              <w:ind w:right="293"/>
              <w:spacing w:after="0"/>
              <w:rPr>
                <w:sz w:val="20"/>
                <w:szCs w:val="20"/>
                <w:color w:val="auto"/>
              </w:rPr>
            </w:pPr>
            <w:r>
              <w:rPr>
                <w:rFonts w:ascii="Times New Roman" w:cs="Times New Roman" w:eastAsia="Times New Roman" w:hAnsi="Times New Roman"/>
                <w:sz w:val="9"/>
                <w:szCs w:val="9"/>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439,798</w:t>
            </w:r>
          </w:p>
        </w:tc>
      </w:tr>
      <w:tr>
        <w:trPr>
          <w:trHeight w:val="134"/>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Income on Investment Securities</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26"/>
        </w:trPr>
        <w:tc>
          <w:tcPr>
            <w:tcW w:w="4280" w:type="dxa"/>
            <w:vAlign w:val="bottom"/>
          </w:tcPr>
          <w:p>
            <w:pPr>
              <w:ind w:left="200"/>
              <w:spacing w:after="0"/>
              <w:rPr>
                <w:sz w:val="20"/>
                <w:szCs w:val="20"/>
                <w:color w:val="auto"/>
              </w:rPr>
            </w:pPr>
            <w:r>
              <w:rPr>
                <w:rFonts w:ascii="Times New Roman" w:cs="Times New Roman" w:eastAsia="Times New Roman" w:hAnsi="Times New Roman"/>
                <w:sz w:val="9"/>
                <w:szCs w:val="9"/>
                <w:color w:val="auto"/>
              </w:rPr>
              <w:t>Available-for-Sale</w:t>
            </w:r>
          </w:p>
        </w:tc>
        <w:tc>
          <w:tcPr>
            <w:tcW w:w="220" w:type="dxa"/>
            <w:vAlign w:val="bottom"/>
          </w:tcPr>
          <w:p>
            <w:pPr>
              <w:spacing w:after="0"/>
              <w:rPr>
                <w:sz w:val="10"/>
                <w:szCs w:val="1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22,782</w:t>
            </w:r>
          </w:p>
        </w:tc>
        <w:tc>
          <w:tcPr>
            <w:tcW w:w="160" w:type="dxa"/>
            <w:vAlign w:val="bottom"/>
          </w:tcPr>
          <w:p>
            <w:pPr>
              <w:spacing w:after="0"/>
              <w:rPr>
                <w:sz w:val="10"/>
                <w:szCs w:val="10"/>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23,552</w:t>
            </w:r>
          </w:p>
        </w:tc>
        <w:tc>
          <w:tcPr>
            <w:tcW w:w="240" w:type="dxa"/>
            <w:vAlign w:val="bottom"/>
          </w:tcPr>
          <w:p>
            <w:pPr>
              <w:spacing w:after="0"/>
              <w:rPr>
                <w:sz w:val="10"/>
                <w:szCs w:val="10"/>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18,476</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93,528</w:t>
            </w:r>
          </w:p>
        </w:tc>
        <w:tc>
          <w:tcPr>
            <w:tcW w:w="4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70,555</w:t>
            </w:r>
          </w:p>
        </w:tc>
      </w:tr>
      <w:tr>
        <w:trPr>
          <w:trHeight w:val="134"/>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9"/>
                <w:szCs w:val="9"/>
                <w:color w:val="auto"/>
              </w:rPr>
              <w:t>Held-to-Maturity</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22,589</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22,838</w:t>
            </w: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23,708</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92,750</w:t>
            </w: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81,490</w:t>
            </w:r>
          </w:p>
        </w:tc>
      </w:tr>
      <w:tr>
        <w:trPr>
          <w:trHeight w:val="126"/>
        </w:trPr>
        <w:tc>
          <w:tcPr>
            <w:tcW w:w="4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Deposits</w:t>
            </w:r>
          </w:p>
        </w:tc>
        <w:tc>
          <w:tcPr>
            <w:tcW w:w="220" w:type="dxa"/>
            <w:vAlign w:val="bottom"/>
          </w:tcPr>
          <w:p>
            <w:pPr>
              <w:spacing w:after="0"/>
              <w:rPr>
                <w:sz w:val="10"/>
                <w:szCs w:val="1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23</w:t>
            </w:r>
          </w:p>
        </w:tc>
        <w:tc>
          <w:tcPr>
            <w:tcW w:w="160" w:type="dxa"/>
            <w:vAlign w:val="bottom"/>
          </w:tcPr>
          <w:p>
            <w:pPr>
              <w:spacing w:after="0"/>
              <w:rPr>
                <w:sz w:val="10"/>
                <w:szCs w:val="10"/>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18</w:t>
            </w:r>
          </w:p>
        </w:tc>
        <w:tc>
          <w:tcPr>
            <w:tcW w:w="240" w:type="dxa"/>
            <w:vAlign w:val="bottom"/>
          </w:tcPr>
          <w:p>
            <w:pPr>
              <w:spacing w:after="0"/>
              <w:rPr>
                <w:sz w:val="10"/>
                <w:szCs w:val="10"/>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13</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86</w:t>
            </w:r>
          </w:p>
        </w:tc>
        <w:tc>
          <w:tcPr>
            <w:tcW w:w="4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32</w:t>
            </w:r>
          </w:p>
        </w:tc>
      </w:tr>
      <w:tr>
        <w:trPr>
          <w:trHeight w:val="134"/>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Funds Sold</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5,705</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12,828</w:t>
            </w: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1,093</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28,294</w:t>
            </w: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4,274</w:t>
            </w:r>
          </w:p>
        </w:tc>
      </w:tr>
      <w:tr>
        <w:trPr>
          <w:trHeight w:val="126"/>
        </w:trPr>
        <w:tc>
          <w:tcPr>
            <w:tcW w:w="4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Other</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924</w:t>
            </w: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1,464</w:t>
            </w: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340</w:t>
            </w: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5,106</w:t>
            </w: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1,217</w:t>
            </w:r>
          </w:p>
        </w:tc>
      </w:tr>
      <w:tr>
        <w:trPr>
          <w:trHeight w:val="122"/>
        </w:trPr>
        <w:tc>
          <w:tcPr>
            <w:tcW w:w="4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Interest Income</w:t>
            </w:r>
          </w:p>
        </w:tc>
        <w:tc>
          <w:tcPr>
            <w:tcW w:w="220" w:type="dxa"/>
            <w:vAlign w:val="bottom"/>
            <w:tcBorders>
              <w:bottom w:val="single" w:sz="8" w:color="auto"/>
            </w:tcBorders>
            <w:shd w:val="clear" w:color="auto" w:fill="CFF0FC"/>
          </w:tcPr>
          <w:p>
            <w:pPr>
              <w:spacing w:after="0"/>
              <w:rPr>
                <w:sz w:val="10"/>
                <w:szCs w:val="10"/>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210,347</w:t>
            </w:r>
          </w:p>
        </w:tc>
        <w:tc>
          <w:tcPr>
            <w:tcW w:w="16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211,945</w:t>
            </w:r>
          </w:p>
        </w:tc>
        <w:tc>
          <w:tcPr>
            <w:tcW w:w="24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172,313</w:t>
            </w:r>
          </w:p>
        </w:tc>
        <w:tc>
          <w:tcPr>
            <w:tcW w:w="18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810,375</w:t>
            </w:r>
          </w:p>
        </w:tc>
        <w:tc>
          <w:tcPr>
            <w:tcW w:w="42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597,366</w:t>
            </w:r>
          </w:p>
        </w:tc>
      </w:tr>
      <w:tr>
        <w:trPr>
          <w:trHeight w:val="122"/>
        </w:trPr>
        <w:tc>
          <w:tcPr>
            <w:tcW w:w="4280" w:type="dxa"/>
            <w:vAlign w:val="bottom"/>
          </w:tcPr>
          <w:p>
            <w:pPr>
              <w:spacing w:after="0"/>
              <w:rPr>
                <w:sz w:val="20"/>
                <w:szCs w:val="20"/>
                <w:color w:val="auto"/>
              </w:rPr>
            </w:pPr>
            <w:r>
              <w:rPr>
                <w:rFonts w:ascii="Times New Roman" w:cs="Times New Roman" w:eastAsia="Times New Roman" w:hAnsi="Times New Roman"/>
                <w:sz w:val="9"/>
                <w:szCs w:val="9"/>
                <w:color w:val="auto"/>
              </w:rPr>
              <w:t>Interest Expense</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4"/>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Deposits</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87,121</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72,153</w:t>
            </w: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23,494</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250,847</w:t>
            </w: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39,678</w:t>
            </w:r>
          </w:p>
        </w:tc>
      </w:tr>
      <w:tr>
        <w:trPr>
          <w:trHeight w:val="126"/>
        </w:trPr>
        <w:tc>
          <w:tcPr>
            <w:tcW w:w="4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Securities Sold Under Agreements to Repurchase</w:t>
            </w:r>
          </w:p>
        </w:tc>
        <w:tc>
          <w:tcPr>
            <w:tcW w:w="220" w:type="dxa"/>
            <w:vAlign w:val="bottom"/>
          </w:tcPr>
          <w:p>
            <w:pPr>
              <w:spacing w:after="0"/>
              <w:rPr>
                <w:sz w:val="10"/>
                <w:szCs w:val="1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1,459</w:t>
            </w:r>
          </w:p>
        </w:tc>
        <w:tc>
          <w:tcPr>
            <w:tcW w:w="160" w:type="dxa"/>
            <w:vAlign w:val="bottom"/>
          </w:tcPr>
          <w:p>
            <w:pPr>
              <w:spacing w:after="0"/>
              <w:rPr>
                <w:sz w:val="10"/>
                <w:szCs w:val="10"/>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4,034</w:t>
            </w:r>
          </w:p>
        </w:tc>
        <w:tc>
          <w:tcPr>
            <w:tcW w:w="240" w:type="dxa"/>
            <w:vAlign w:val="bottom"/>
          </w:tcPr>
          <w:p>
            <w:pPr>
              <w:spacing w:after="0"/>
              <w:rPr>
                <w:sz w:val="10"/>
                <w:szCs w:val="10"/>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4,289</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16,306</w:t>
            </w:r>
          </w:p>
        </w:tc>
        <w:tc>
          <w:tcPr>
            <w:tcW w:w="4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12,600</w:t>
            </w:r>
          </w:p>
        </w:tc>
      </w:tr>
      <w:tr>
        <w:trPr>
          <w:trHeight w:val="134"/>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Funds Purchased</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318</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888</w:t>
            </w: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417</w:t>
            </w:r>
          </w:p>
        </w:tc>
      </w:tr>
      <w:tr>
        <w:trPr>
          <w:trHeight w:val="126"/>
        </w:trPr>
        <w:tc>
          <w:tcPr>
            <w:tcW w:w="4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Short-Term Borrowings</w:t>
            </w:r>
          </w:p>
        </w:tc>
        <w:tc>
          <w:tcPr>
            <w:tcW w:w="220" w:type="dxa"/>
            <w:vAlign w:val="bottom"/>
          </w:tcPr>
          <w:p>
            <w:pPr>
              <w:spacing w:after="0"/>
              <w:rPr>
                <w:sz w:val="10"/>
                <w:szCs w:val="1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1,978</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5,713</w:t>
            </w:r>
          </w:p>
        </w:tc>
        <w:tc>
          <w:tcPr>
            <w:tcW w:w="4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2,070</w:t>
            </w:r>
          </w:p>
        </w:tc>
      </w:tr>
      <w:tr>
        <w:trPr>
          <w:trHeight w:val="130"/>
        </w:trPr>
        <w:tc>
          <w:tcPr>
            <w:tcW w:w="42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Other Debt</w:t>
            </w:r>
          </w:p>
        </w:tc>
        <w:tc>
          <w:tcPr>
            <w:tcW w:w="22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5,982</w:t>
            </w:r>
          </w:p>
        </w:tc>
        <w:tc>
          <w:tcPr>
            <w:tcW w:w="1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14,821</w:t>
            </w:r>
          </w:p>
        </w:tc>
        <w:tc>
          <w:tcPr>
            <w:tcW w:w="24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1,496</w:t>
            </w:r>
          </w:p>
        </w:tc>
        <w:tc>
          <w:tcPr>
            <w:tcW w:w="18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39,596</w:t>
            </w:r>
          </w:p>
        </w:tc>
        <w:tc>
          <w:tcPr>
            <w:tcW w:w="42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2,043</w:t>
            </w:r>
          </w:p>
        </w:tc>
      </w:tr>
      <w:tr>
        <w:trPr>
          <w:trHeight w:val="122"/>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Total Interest Expense</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94,562</w:t>
            </w: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91,008</w:t>
            </w: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31,575</w:t>
            </w: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313,350</w:t>
            </w: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56,808</w:t>
            </w:r>
          </w:p>
        </w:tc>
      </w:tr>
      <w:tr>
        <w:trPr>
          <w:trHeight w:val="12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Net Interest Income</w:t>
            </w:r>
          </w:p>
        </w:tc>
        <w:tc>
          <w:tcPr>
            <w:tcW w:w="22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115,785</w:t>
            </w:r>
          </w:p>
        </w:tc>
        <w:tc>
          <w:tcPr>
            <w:tcW w:w="160" w:type="dxa"/>
            <w:vAlign w:val="bottom"/>
            <w:shd w:val="clear" w:color="auto" w:fill="CFF0FC"/>
          </w:tcPr>
          <w:p>
            <w:pPr>
              <w:spacing w:after="0"/>
              <w:rPr>
                <w:sz w:val="10"/>
                <w:szCs w:val="10"/>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120,937</w:t>
            </w:r>
          </w:p>
        </w:tc>
        <w:tc>
          <w:tcPr>
            <w:tcW w:w="240" w:type="dxa"/>
            <w:vAlign w:val="bottom"/>
            <w:shd w:val="clear" w:color="auto" w:fill="CFF0FC"/>
          </w:tcPr>
          <w:p>
            <w:pPr>
              <w:spacing w:after="0"/>
              <w:rPr>
                <w:sz w:val="10"/>
                <w:szCs w:val="10"/>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140,738</w:t>
            </w:r>
          </w:p>
        </w:tc>
        <w:tc>
          <w:tcPr>
            <w:tcW w:w="1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497,025</w:t>
            </w:r>
          </w:p>
        </w:tc>
        <w:tc>
          <w:tcPr>
            <w:tcW w:w="42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540,558</w:t>
            </w:r>
          </w:p>
        </w:tc>
      </w:tr>
      <w:tr>
        <w:trPr>
          <w:trHeight w:val="126"/>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Provision for Credit Losses</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2,500</w:t>
            </w: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2,000</w:t>
            </w: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200</w:t>
            </w: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9,000</w:t>
            </w: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9"/>
                <w:szCs w:val="9"/>
                <w:color w:val="auto"/>
              </w:rPr>
              <w:t>(7,800 )</w:t>
            </w:r>
          </w:p>
        </w:tc>
      </w:tr>
      <w:tr>
        <w:trPr>
          <w:trHeight w:val="122"/>
        </w:trPr>
        <w:tc>
          <w:tcPr>
            <w:tcW w:w="4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Net Interest Income After Provision for Credit Losses</w:t>
            </w:r>
          </w:p>
        </w:tc>
        <w:tc>
          <w:tcPr>
            <w:tcW w:w="220" w:type="dxa"/>
            <w:vAlign w:val="bottom"/>
            <w:tcBorders>
              <w:bottom w:val="single" w:sz="8" w:color="auto"/>
            </w:tcBorders>
            <w:shd w:val="clear" w:color="auto" w:fill="CFF0FC"/>
          </w:tcPr>
          <w:p>
            <w:pPr>
              <w:spacing w:after="0"/>
              <w:rPr>
                <w:sz w:val="10"/>
                <w:szCs w:val="10"/>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113,285</w:t>
            </w:r>
          </w:p>
        </w:tc>
        <w:tc>
          <w:tcPr>
            <w:tcW w:w="16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118,937</w:t>
            </w:r>
          </w:p>
        </w:tc>
        <w:tc>
          <w:tcPr>
            <w:tcW w:w="24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140,538</w:t>
            </w:r>
          </w:p>
        </w:tc>
        <w:tc>
          <w:tcPr>
            <w:tcW w:w="18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488,025</w:t>
            </w:r>
          </w:p>
        </w:tc>
        <w:tc>
          <w:tcPr>
            <w:tcW w:w="42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548,358</w:t>
            </w:r>
          </w:p>
        </w:tc>
      </w:tr>
      <w:tr>
        <w:trPr>
          <w:trHeight w:val="122"/>
        </w:trPr>
        <w:tc>
          <w:tcPr>
            <w:tcW w:w="4280" w:type="dxa"/>
            <w:vAlign w:val="bottom"/>
          </w:tcPr>
          <w:p>
            <w:pPr>
              <w:spacing w:after="0"/>
              <w:rPr>
                <w:sz w:val="20"/>
                <w:szCs w:val="20"/>
                <w:color w:val="auto"/>
              </w:rPr>
            </w:pPr>
            <w:r>
              <w:rPr>
                <w:rFonts w:ascii="Times New Roman" w:cs="Times New Roman" w:eastAsia="Times New Roman" w:hAnsi="Times New Roman"/>
                <w:sz w:val="9"/>
                <w:szCs w:val="9"/>
                <w:color w:val="auto"/>
              </w:rPr>
              <w:t>Noninterest Income</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4"/>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Trust and Asset Management</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11,144</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10,548</w:t>
            </w: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10,652</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43,597</w:t>
            </w: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43,803</w:t>
            </w:r>
          </w:p>
        </w:tc>
      </w:tr>
      <w:tr>
        <w:trPr>
          <w:trHeight w:val="126"/>
        </w:trPr>
        <w:tc>
          <w:tcPr>
            <w:tcW w:w="4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Mortgage Banking</w:t>
            </w:r>
          </w:p>
        </w:tc>
        <w:tc>
          <w:tcPr>
            <w:tcW w:w="220" w:type="dxa"/>
            <w:vAlign w:val="bottom"/>
          </w:tcPr>
          <w:p>
            <w:pPr>
              <w:spacing w:after="0"/>
              <w:rPr>
                <w:sz w:val="10"/>
                <w:szCs w:val="1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1,016</w:t>
            </w:r>
          </w:p>
        </w:tc>
        <w:tc>
          <w:tcPr>
            <w:tcW w:w="160" w:type="dxa"/>
            <w:vAlign w:val="bottom"/>
          </w:tcPr>
          <w:p>
            <w:pPr>
              <w:spacing w:after="0"/>
              <w:rPr>
                <w:sz w:val="10"/>
                <w:szCs w:val="10"/>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1,059</w:t>
            </w:r>
          </w:p>
        </w:tc>
        <w:tc>
          <w:tcPr>
            <w:tcW w:w="240" w:type="dxa"/>
            <w:vAlign w:val="bottom"/>
          </w:tcPr>
          <w:p>
            <w:pPr>
              <w:spacing w:after="0"/>
              <w:rPr>
                <w:sz w:val="10"/>
                <w:szCs w:val="10"/>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991</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4,255</w:t>
            </w:r>
          </w:p>
        </w:tc>
        <w:tc>
          <w:tcPr>
            <w:tcW w:w="4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5,980</w:t>
            </w:r>
          </w:p>
        </w:tc>
      </w:tr>
      <w:tr>
        <w:trPr>
          <w:trHeight w:val="134"/>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Service Charges on Deposit Accounts</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7,949</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7,843</w:t>
            </w: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7,513</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31,116</w:t>
            </w: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29,620</w:t>
            </w:r>
          </w:p>
        </w:tc>
      </w:tr>
      <w:tr>
        <w:trPr>
          <w:trHeight w:val="126"/>
        </w:trPr>
        <w:tc>
          <w:tcPr>
            <w:tcW w:w="4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Fees, Exchange, and Other Service Charges</w:t>
            </w:r>
          </w:p>
        </w:tc>
        <w:tc>
          <w:tcPr>
            <w:tcW w:w="220" w:type="dxa"/>
            <w:vAlign w:val="bottom"/>
          </w:tcPr>
          <w:p>
            <w:pPr>
              <w:spacing w:after="0"/>
              <w:rPr>
                <w:sz w:val="10"/>
                <w:szCs w:val="1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13,774</w:t>
            </w:r>
          </w:p>
        </w:tc>
        <w:tc>
          <w:tcPr>
            <w:tcW w:w="160" w:type="dxa"/>
            <w:vAlign w:val="bottom"/>
          </w:tcPr>
          <w:p>
            <w:pPr>
              <w:spacing w:after="0"/>
              <w:rPr>
                <w:sz w:val="10"/>
                <w:szCs w:val="10"/>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13,824</w:t>
            </w:r>
          </w:p>
        </w:tc>
        <w:tc>
          <w:tcPr>
            <w:tcW w:w="240" w:type="dxa"/>
            <w:vAlign w:val="bottom"/>
          </w:tcPr>
          <w:p>
            <w:pPr>
              <w:spacing w:after="0"/>
              <w:rPr>
                <w:sz w:val="10"/>
                <w:szCs w:val="10"/>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13,906</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55,556</w:t>
            </w:r>
          </w:p>
        </w:tc>
        <w:tc>
          <w:tcPr>
            <w:tcW w:w="4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54,914</w:t>
            </w:r>
          </w:p>
        </w:tc>
      </w:tr>
      <w:tr>
        <w:trPr>
          <w:trHeight w:val="134"/>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Investment Securities Losses, Net</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(1,619 )</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(6,734 )</w:t>
            </w: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(1,124 )</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(11,455 )</w:t>
            </w: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(6,111 )</w:t>
            </w:r>
          </w:p>
        </w:tc>
      </w:tr>
      <w:tr>
        <w:trPr>
          <w:trHeight w:val="126"/>
        </w:trPr>
        <w:tc>
          <w:tcPr>
            <w:tcW w:w="4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Annuity and Insurance</w:t>
            </w:r>
          </w:p>
        </w:tc>
        <w:tc>
          <w:tcPr>
            <w:tcW w:w="220" w:type="dxa"/>
            <w:vAlign w:val="bottom"/>
          </w:tcPr>
          <w:p>
            <w:pPr>
              <w:spacing w:after="0"/>
              <w:rPr>
                <w:sz w:val="10"/>
                <w:szCs w:val="1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1,271</w:t>
            </w:r>
          </w:p>
        </w:tc>
        <w:tc>
          <w:tcPr>
            <w:tcW w:w="160" w:type="dxa"/>
            <w:vAlign w:val="bottom"/>
          </w:tcPr>
          <w:p>
            <w:pPr>
              <w:spacing w:after="0"/>
              <w:rPr>
                <w:sz w:val="10"/>
                <w:szCs w:val="10"/>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1,156</w:t>
            </w:r>
          </w:p>
        </w:tc>
        <w:tc>
          <w:tcPr>
            <w:tcW w:w="240" w:type="dxa"/>
            <w:vAlign w:val="bottom"/>
          </w:tcPr>
          <w:p>
            <w:pPr>
              <w:spacing w:after="0"/>
              <w:rPr>
                <w:sz w:val="10"/>
                <w:szCs w:val="10"/>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1,087</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4,736</w:t>
            </w:r>
          </w:p>
        </w:tc>
        <w:tc>
          <w:tcPr>
            <w:tcW w:w="4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3,782</w:t>
            </w:r>
          </w:p>
        </w:tc>
      </w:tr>
      <w:tr>
        <w:trPr>
          <w:trHeight w:val="134"/>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Bank-Owned Life Insurance</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3,176</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2,749</w:t>
            </w: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2,475</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11,643</w:t>
            </w: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9,968</w:t>
            </w:r>
          </w:p>
        </w:tc>
      </w:tr>
      <w:tr>
        <w:trPr>
          <w:trHeight w:val="126"/>
        </w:trPr>
        <w:tc>
          <w:tcPr>
            <w:tcW w:w="4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Other</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5,572</w:t>
            </w: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19,889</w:t>
            </w: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5,672</w:t>
            </w: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37,161</w:t>
            </w: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15,585</w:t>
            </w:r>
          </w:p>
        </w:tc>
      </w:tr>
      <w:tr>
        <w:trPr>
          <w:trHeight w:val="123"/>
        </w:trPr>
        <w:tc>
          <w:tcPr>
            <w:tcW w:w="4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Noninterest Income</w:t>
            </w:r>
          </w:p>
        </w:tc>
        <w:tc>
          <w:tcPr>
            <w:tcW w:w="220" w:type="dxa"/>
            <w:vAlign w:val="bottom"/>
            <w:tcBorders>
              <w:bottom w:val="single" w:sz="8" w:color="auto"/>
            </w:tcBorders>
            <w:shd w:val="clear" w:color="auto" w:fill="CFF0FC"/>
          </w:tcPr>
          <w:p>
            <w:pPr>
              <w:spacing w:after="0"/>
              <w:rPr>
                <w:sz w:val="10"/>
                <w:szCs w:val="10"/>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42,283</w:t>
            </w:r>
          </w:p>
        </w:tc>
        <w:tc>
          <w:tcPr>
            <w:tcW w:w="16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50,334</w:t>
            </w:r>
          </w:p>
        </w:tc>
        <w:tc>
          <w:tcPr>
            <w:tcW w:w="24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41,172</w:t>
            </w:r>
          </w:p>
        </w:tc>
        <w:tc>
          <w:tcPr>
            <w:tcW w:w="180" w:type="dxa"/>
            <w:vAlign w:val="bottom"/>
            <w:tcBorders>
              <w:bottom w:val="single" w:sz="8" w:color="auto"/>
            </w:tcBorders>
            <w:shd w:val="clear" w:color="auto" w:fill="CFF0FC"/>
          </w:tcPr>
          <w:p>
            <w:pPr>
              <w:spacing w:after="0"/>
              <w:rPr>
                <w:sz w:val="10"/>
                <w:szCs w:val="10"/>
                <w:color w:val="auto"/>
              </w:rPr>
            </w:pPr>
          </w:p>
        </w:tc>
        <w:tc>
          <w:tcPr>
            <w:tcW w:w="300" w:type="dxa"/>
            <w:vAlign w:val="bottom"/>
            <w:tcBorders>
              <w:bottom w:val="single" w:sz="8" w:color="auto"/>
            </w:tcBorders>
            <w:shd w:val="clear" w:color="auto" w:fill="CFF0FC"/>
          </w:tcPr>
          <w:p>
            <w:pPr>
              <w:spacing w:after="0"/>
              <w:rPr>
                <w:sz w:val="10"/>
                <w:szCs w:val="10"/>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176,609</w:t>
            </w:r>
          </w:p>
        </w:tc>
        <w:tc>
          <w:tcPr>
            <w:tcW w:w="420" w:type="dxa"/>
            <w:vAlign w:val="bottom"/>
            <w:tcBorders>
              <w:bottom w:val="single" w:sz="8" w:color="auto"/>
            </w:tcBorders>
            <w:shd w:val="clear" w:color="auto" w:fill="CFF0FC"/>
          </w:tcPr>
          <w:p>
            <w:pPr>
              <w:spacing w:after="0"/>
              <w:rPr>
                <w:sz w:val="10"/>
                <w:szCs w:val="10"/>
                <w:color w:val="auto"/>
              </w:rPr>
            </w:pPr>
          </w:p>
        </w:tc>
        <w:tc>
          <w:tcPr>
            <w:tcW w:w="9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157,541</w:t>
            </w:r>
          </w:p>
        </w:tc>
      </w:tr>
      <w:tr>
        <w:trPr>
          <w:trHeight w:val="121"/>
        </w:trPr>
        <w:tc>
          <w:tcPr>
            <w:tcW w:w="4280" w:type="dxa"/>
            <w:vAlign w:val="bottom"/>
          </w:tcPr>
          <w:p>
            <w:pPr>
              <w:spacing w:after="0"/>
              <w:rPr>
                <w:sz w:val="20"/>
                <w:szCs w:val="20"/>
                <w:color w:val="auto"/>
              </w:rPr>
            </w:pPr>
            <w:r>
              <w:rPr>
                <w:rFonts w:ascii="Times New Roman" w:cs="Times New Roman" w:eastAsia="Times New Roman" w:hAnsi="Times New Roman"/>
                <w:sz w:val="9"/>
                <w:szCs w:val="9"/>
                <w:color w:val="auto"/>
              </w:rPr>
              <w:t>Noninterest Expense</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4"/>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Salaries and Benefits</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53,991</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58,825</w:t>
            </w: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57,639</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234,079</w:t>
            </w: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235,270</w:t>
            </w:r>
          </w:p>
        </w:tc>
      </w:tr>
      <w:tr>
        <w:trPr>
          <w:trHeight w:val="126"/>
        </w:trPr>
        <w:tc>
          <w:tcPr>
            <w:tcW w:w="4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Net Occupancy</w:t>
            </w:r>
          </w:p>
        </w:tc>
        <w:tc>
          <w:tcPr>
            <w:tcW w:w="220" w:type="dxa"/>
            <w:vAlign w:val="bottom"/>
          </w:tcPr>
          <w:p>
            <w:pPr>
              <w:spacing w:after="0"/>
              <w:rPr>
                <w:sz w:val="10"/>
                <w:szCs w:val="1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9,734</w:t>
            </w:r>
          </w:p>
        </w:tc>
        <w:tc>
          <w:tcPr>
            <w:tcW w:w="160" w:type="dxa"/>
            <w:vAlign w:val="bottom"/>
          </w:tcPr>
          <w:p>
            <w:pPr>
              <w:spacing w:after="0"/>
              <w:rPr>
                <w:sz w:val="10"/>
                <w:szCs w:val="10"/>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10,327</w:t>
            </w:r>
          </w:p>
        </w:tc>
        <w:tc>
          <w:tcPr>
            <w:tcW w:w="240" w:type="dxa"/>
            <w:vAlign w:val="bottom"/>
          </w:tcPr>
          <w:p>
            <w:pPr>
              <w:spacing w:after="0"/>
              <w:rPr>
                <w:sz w:val="10"/>
                <w:szCs w:val="10"/>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9,499</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39,924</w:t>
            </w:r>
          </w:p>
        </w:tc>
        <w:tc>
          <w:tcPr>
            <w:tcW w:w="4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39,441</w:t>
            </w:r>
          </w:p>
        </w:tc>
      </w:tr>
      <w:tr>
        <w:trPr>
          <w:trHeight w:val="134"/>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Net Equipment</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9,826</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9,477</w:t>
            </w: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9,942</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40,251</w:t>
            </w: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38,374</w:t>
            </w:r>
          </w:p>
        </w:tc>
      </w:tr>
      <w:tr>
        <w:trPr>
          <w:trHeight w:val="126"/>
        </w:trPr>
        <w:tc>
          <w:tcPr>
            <w:tcW w:w="4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Data Processing</w:t>
            </w:r>
          </w:p>
        </w:tc>
        <w:tc>
          <w:tcPr>
            <w:tcW w:w="220" w:type="dxa"/>
            <w:vAlign w:val="bottom"/>
          </w:tcPr>
          <w:p>
            <w:pPr>
              <w:spacing w:after="0"/>
              <w:rPr>
                <w:sz w:val="10"/>
                <w:szCs w:val="1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4,948</w:t>
            </w:r>
          </w:p>
        </w:tc>
        <w:tc>
          <w:tcPr>
            <w:tcW w:w="160" w:type="dxa"/>
            <w:vAlign w:val="bottom"/>
          </w:tcPr>
          <w:p>
            <w:pPr>
              <w:spacing w:after="0"/>
              <w:rPr>
                <w:sz w:val="10"/>
                <w:szCs w:val="10"/>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4,706</w:t>
            </w:r>
          </w:p>
        </w:tc>
        <w:tc>
          <w:tcPr>
            <w:tcW w:w="240" w:type="dxa"/>
            <w:vAlign w:val="bottom"/>
          </w:tcPr>
          <w:p>
            <w:pPr>
              <w:spacing w:after="0"/>
              <w:rPr>
                <w:sz w:val="10"/>
                <w:szCs w:val="10"/>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4,579</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18,836</w:t>
            </w:r>
          </w:p>
        </w:tc>
        <w:tc>
          <w:tcPr>
            <w:tcW w:w="4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18,362</w:t>
            </w:r>
          </w:p>
        </w:tc>
      </w:tr>
      <w:tr>
        <w:trPr>
          <w:trHeight w:val="134"/>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Professional Fees</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5,079</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3,846</w:t>
            </w: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3,958</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17,459</w:t>
            </w: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14,557</w:t>
            </w:r>
          </w:p>
        </w:tc>
      </w:tr>
      <w:tr>
        <w:trPr>
          <w:trHeight w:val="126"/>
        </w:trPr>
        <w:tc>
          <w:tcPr>
            <w:tcW w:w="4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FDIC Insurance</w:t>
            </w:r>
          </w:p>
        </w:tc>
        <w:tc>
          <w:tcPr>
            <w:tcW w:w="220" w:type="dxa"/>
            <w:vAlign w:val="bottom"/>
          </w:tcPr>
          <w:p>
            <w:pPr>
              <w:spacing w:after="0"/>
              <w:rPr>
                <w:sz w:val="10"/>
                <w:szCs w:val="10"/>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18,545</w:t>
            </w:r>
          </w:p>
        </w:tc>
        <w:tc>
          <w:tcPr>
            <w:tcW w:w="160" w:type="dxa"/>
            <w:vAlign w:val="bottom"/>
          </w:tcPr>
          <w:p>
            <w:pPr>
              <w:spacing w:after="0"/>
              <w:rPr>
                <w:sz w:val="10"/>
                <w:szCs w:val="10"/>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3,361</w:t>
            </w:r>
          </w:p>
        </w:tc>
        <w:tc>
          <w:tcPr>
            <w:tcW w:w="240" w:type="dxa"/>
            <w:vAlign w:val="bottom"/>
          </w:tcPr>
          <w:p>
            <w:pPr>
              <w:spacing w:after="0"/>
              <w:rPr>
                <w:sz w:val="10"/>
                <w:szCs w:val="10"/>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1,774</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28,313</w:t>
            </w:r>
          </w:p>
        </w:tc>
        <w:tc>
          <w:tcPr>
            <w:tcW w:w="420" w:type="dxa"/>
            <w:vAlign w:val="bottom"/>
          </w:tcPr>
          <w:p>
            <w:pPr>
              <w:spacing w:after="0"/>
              <w:rPr>
                <w:sz w:val="10"/>
                <w:szCs w:val="10"/>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6,546</w:t>
            </w:r>
          </w:p>
        </w:tc>
      </w:tr>
      <w:tr>
        <w:trPr>
          <w:trHeight w:val="130"/>
        </w:trPr>
        <w:tc>
          <w:tcPr>
            <w:tcW w:w="42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Other</w:t>
            </w:r>
          </w:p>
        </w:tc>
        <w:tc>
          <w:tcPr>
            <w:tcW w:w="22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13,839</w:t>
            </w:r>
          </w:p>
        </w:tc>
        <w:tc>
          <w:tcPr>
            <w:tcW w:w="1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15,059</w:t>
            </w:r>
          </w:p>
        </w:tc>
        <w:tc>
          <w:tcPr>
            <w:tcW w:w="24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15,312</w:t>
            </w:r>
          </w:p>
        </w:tc>
        <w:tc>
          <w:tcPr>
            <w:tcW w:w="180" w:type="dxa"/>
            <w:vAlign w:val="bottom"/>
            <w:tcBorders>
              <w:bottom w:val="single" w:sz="8" w:color="auto"/>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58,656</w:t>
            </w:r>
          </w:p>
        </w:tc>
        <w:tc>
          <w:tcPr>
            <w:tcW w:w="42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62,715</w:t>
            </w:r>
          </w:p>
        </w:tc>
      </w:tr>
      <w:tr>
        <w:trPr>
          <w:trHeight w:val="12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Total Noninterest Expense</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115,962</w:t>
            </w: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105,601</w:t>
            </w: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102,703</w:t>
            </w: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437,518</w:t>
            </w: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415,265</w:t>
            </w:r>
          </w:p>
        </w:tc>
      </w:tr>
      <w:tr>
        <w:trPr>
          <w:trHeight w:val="125"/>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Income Before Provision for Income Taxes</w:t>
            </w:r>
          </w:p>
        </w:tc>
        <w:tc>
          <w:tcPr>
            <w:tcW w:w="220" w:type="dxa"/>
            <w:vAlign w:val="bottom"/>
            <w:shd w:val="clear" w:color="auto" w:fill="CFF0FC"/>
          </w:tcPr>
          <w:p>
            <w:pPr>
              <w:spacing w:after="0"/>
              <w:rPr>
                <w:sz w:val="10"/>
                <w:szCs w:val="10"/>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39,606</w:t>
            </w:r>
          </w:p>
        </w:tc>
        <w:tc>
          <w:tcPr>
            <w:tcW w:w="160" w:type="dxa"/>
            <w:vAlign w:val="bottom"/>
            <w:shd w:val="clear" w:color="auto" w:fill="CFF0FC"/>
          </w:tcPr>
          <w:p>
            <w:pPr>
              <w:spacing w:after="0"/>
              <w:rPr>
                <w:sz w:val="10"/>
                <w:szCs w:val="10"/>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63,670</w:t>
            </w:r>
          </w:p>
        </w:tc>
        <w:tc>
          <w:tcPr>
            <w:tcW w:w="240" w:type="dxa"/>
            <w:vAlign w:val="bottom"/>
            <w:shd w:val="clear" w:color="auto" w:fill="CFF0FC"/>
          </w:tcPr>
          <w:p>
            <w:pPr>
              <w:spacing w:after="0"/>
              <w:rPr>
                <w:sz w:val="10"/>
                <w:szCs w:val="10"/>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79,007</w:t>
            </w:r>
          </w:p>
        </w:tc>
        <w:tc>
          <w:tcPr>
            <w:tcW w:w="18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227,116</w:t>
            </w:r>
          </w:p>
        </w:tc>
        <w:tc>
          <w:tcPr>
            <w:tcW w:w="420" w:type="dxa"/>
            <w:vAlign w:val="bottom"/>
            <w:shd w:val="clear" w:color="auto" w:fill="CFF0FC"/>
          </w:tcPr>
          <w:p>
            <w:pPr>
              <w:spacing w:after="0"/>
              <w:rPr>
                <w:sz w:val="10"/>
                <w:szCs w:val="10"/>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290,634</w:t>
            </w:r>
          </w:p>
        </w:tc>
      </w:tr>
      <w:tr>
        <w:trPr>
          <w:trHeight w:val="126"/>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Provision for Income Taxes</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9,210</w:t>
            </w: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15,767</w:t>
            </w: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17,700</w:t>
            </w: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55,914</w:t>
            </w: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64,830</w:t>
            </w:r>
          </w:p>
        </w:tc>
      </w:tr>
      <w:tr>
        <w:trPr>
          <w:trHeight w:val="163"/>
        </w:trPr>
        <w:tc>
          <w:tcPr>
            <w:tcW w:w="4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Net Income</w:t>
            </w:r>
          </w:p>
        </w:tc>
        <w:tc>
          <w:tcPr>
            <w:tcW w:w="22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30,396</w:t>
            </w:r>
          </w:p>
        </w:tc>
        <w:tc>
          <w:tcPr>
            <w:tcW w:w="1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47,903</w:t>
            </w:r>
          </w:p>
        </w:tc>
        <w:tc>
          <w:tcPr>
            <w:tcW w:w="2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1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61,307</w:t>
            </w:r>
          </w:p>
        </w:tc>
        <w:tc>
          <w:tcPr>
            <w:tcW w:w="48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171,202</w:t>
            </w:r>
          </w:p>
        </w:tc>
        <w:tc>
          <w:tcPr>
            <w:tcW w:w="420" w:type="dxa"/>
            <w:vAlign w:val="bottom"/>
            <w:tcBorders>
              <w:bottom w:val="single" w:sz="8" w:color="auto"/>
            </w:tcBorders>
            <w:shd w:val="clear" w:color="auto" w:fill="CFF0FC"/>
          </w:tcPr>
          <w:p>
            <w:pPr>
              <w:jc w:val="right"/>
              <w:ind w:right="293"/>
              <w:spacing w:after="0"/>
              <w:rPr>
                <w:sz w:val="20"/>
                <w:szCs w:val="20"/>
                <w:color w:val="auto"/>
              </w:rPr>
            </w:pPr>
            <w:r>
              <w:rPr>
                <w:rFonts w:ascii="Times New Roman" w:cs="Times New Roman" w:eastAsia="Times New Roman" w:hAnsi="Times New Roman"/>
                <w:sz w:val="9"/>
                <w:szCs w:val="9"/>
                <w:color w:val="auto"/>
              </w:rPr>
              <w:t>$</w:t>
            </w:r>
          </w:p>
        </w:tc>
        <w:tc>
          <w:tcPr>
            <w:tcW w:w="9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225,804</w:t>
            </w:r>
          </w:p>
        </w:tc>
      </w:tr>
      <w:tr>
        <w:trPr>
          <w:trHeight w:val="10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Preferred Stock Dividends</w:t>
            </w:r>
          </w:p>
        </w:tc>
        <w:tc>
          <w:tcPr>
            <w:tcW w:w="2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1,969</w:t>
            </w:r>
          </w:p>
        </w:tc>
        <w:tc>
          <w:tcPr>
            <w:tcW w:w="1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1,969</w:t>
            </w:r>
          </w:p>
        </w:tc>
        <w:tc>
          <w:tcPr>
            <w:tcW w:w="2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1,969</w:t>
            </w: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7,877</w:t>
            </w:r>
          </w:p>
        </w:tc>
        <w:tc>
          <w:tcPr>
            <w:tcW w:w="4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7,877</w:t>
            </w:r>
          </w:p>
        </w:tc>
      </w:tr>
      <w:tr>
        <w:trPr>
          <w:trHeight w:val="163"/>
        </w:trPr>
        <w:tc>
          <w:tcPr>
            <w:tcW w:w="4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Net Income Available to Common Shareholders</w:t>
            </w:r>
          </w:p>
        </w:tc>
        <w:tc>
          <w:tcPr>
            <w:tcW w:w="22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28,427</w:t>
            </w:r>
          </w:p>
        </w:tc>
        <w:tc>
          <w:tcPr>
            <w:tcW w:w="16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45,934</w:t>
            </w:r>
          </w:p>
        </w:tc>
        <w:tc>
          <w:tcPr>
            <w:tcW w:w="2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1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59,338</w:t>
            </w:r>
          </w:p>
        </w:tc>
        <w:tc>
          <w:tcPr>
            <w:tcW w:w="48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163,325</w:t>
            </w:r>
          </w:p>
        </w:tc>
        <w:tc>
          <w:tcPr>
            <w:tcW w:w="420" w:type="dxa"/>
            <w:vAlign w:val="bottom"/>
            <w:tcBorders>
              <w:bottom w:val="single" w:sz="8" w:color="auto"/>
            </w:tcBorders>
            <w:shd w:val="clear" w:color="auto" w:fill="CFF0FC"/>
          </w:tcPr>
          <w:p>
            <w:pPr>
              <w:jc w:val="right"/>
              <w:ind w:right="293"/>
              <w:spacing w:after="0"/>
              <w:rPr>
                <w:sz w:val="20"/>
                <w:szCs w:val="20"/>
                <w:color w:val="auto"/>
              </w:rPr>
            </w:pPr>
            <w:r>
              <w:rPr>
                <w:rFonts w:ascii="Times New Roman" w:cs="Times New Roman" w:eastAsia="Times New Roman" w:hAnsi="Times New Roman"/>
                <w:sz w:val="9"/>
                <w:szCs w:val="9"/>
                <w:color w:val="auto"/>
              </w:rPr>
              <w:t>$</w:t>
            </w:r>
          </w:p>
        </w:tc>
        <w:tc>
          <w:tcPr>
            <w:tcW w:w="9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217,927</w:t>
            </w:r>
          </w:p>
        </w:tc>
      </w:tr>
      <w:tr>
        <w:trPr>
          <w:trHeight w:val="105"/>
        </w:trPr>
        <w:tc>
          <w:tcPr>
            <w:tcW w:w="4280" w:type="dxa"/>
            <w:vAlign w:val="bottom"/>
          </w:tcPr>
          <w:p>
            <w:pPr>
              <w:spacing w:after="0"/>
              <w:rPr>
                <w:sz w:val="20"/>
                <w:szCs w:val="20"/>
                <w:color w:val="auto"/>
              </w:rPr>
            </w:pPr>
            <w:r>
              <w:rPr>
                <w:rFonts w:ascii="Times New Roman" w:cs="Times New Roman" w:eastAsia="Times New Roman" w:hAnsi="Times New Roman"/>
                <w:sz w:val="9"/>
                <w:szCs w:val="9"/>
                <w:color w:val="auto"/>
              </w:rPr>
              <w:t>Basic Earnings Per Common Share</w:t>
            </w:r>
          </w:p>
        </w:tc>
        <w:tc>
          <w:tcPr>
            <w:tcW w:w="220" w:type="dxa"/>
            <w:vAlign w:val="bottom"/>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0.72</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1.17</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1.51</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4.16</w:t>
            </w:r>
          </w:p>
        </w:tc>
        <w:tc>
          <w:tcPr>
            <w:tcW w:w="420" w:type="dxa"/>
            <w:vAlign w:val="bottom"/>
          </w:tcPr>
          <w:p>
            <w:pPr>
              <w:jc w:val="right"/>
              <w:ind w:right="293"/>
              <w:spacing w:after="0"/>
              <w:rPr>
                <w:sz w:val="20"/>
                <w:szCs w:val="20"/>
                <w:color w:val="auto"/>
              </w:rPr>
            </w:pPr>
            <w:r>
              <w:rPr>
                <w:rFonts w:ascii="Times New Roman" w:cs="Times New Roman" w:eastAsia="Times New Roman" w:hAnsi="Times New Roman"/>
                <w:sz w:val="9"/>
                <w:szCs w:val="9"/>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5.50</w:t>
            </w:r>
          </w:p>
        </w:tc>
      </w:tr>
      <w:tr>
        <w:trPr>
          <w:trHeight w:val="134"/>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Diluted Earnings Per Common Share</w:t>
            </w:r>
          </w:p>
        </w:tc>
        <w:tc>
          <w:tcPr>
            <w:tcW w:w="2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0.72</w:t>
            </w: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1.17</w:t>
            </w:r>
          </w:p>
        </w:tc>
        <w:tc>
          <w:tcPr>
            <w:tcW w:w="2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1.50</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4.14</w:t>
            </w:r>
          </w:p>
        </w:tc>
        <w:tc>
          <w:tcPr>
            <w:tcW w:w="42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9"/>
                <w:szCs w:val="9"/>
                <w:color w:val="auto"/>
              </w:rPr>
              <w:t>$</w:t>
            </w: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5.48</w:t>
            </w:r>
          </w:p>
        </w:tc>
      </w:tr>
      <w:tr>
        <w:trPr>
          <w:trHeight w:val="126"/>
        </w:trPr>
        <w:tc>
          <w:tcPr>
            <w:tcW w:w="4280" w:type="dxa"/>
            <w:vAlign w:val="bottom"/>
          </w:tcPr>
          <w:p>
            <w:pPr>
              <w:spacing w:after="0"/>
              <w:rPr>
                <w:sz w:val="20"/>
                <w:szCs w:val="20"/>
                <w:color w:val="auto"/>
              </w:rPr>
            </w:pPr>
            <w:r>
              <w:rPr>
                <w:rFonts w:ascii="Times New Roman" w:cs="Times New Roman" w:eastAsia="Times New Roman" w:hAnsi="Times New Roman"/>
                <w:sz w:val="9"/>
                <w:szCs w:val="9"/>
                <w:color w:val="auto"/>
              </w:rPr>
              <w:t>Dividends Declared Per Common Share</w:t>
            </w:r>
          </w:p>
        </w:tc>
        <w:tc>
          <w:tcPr>
            <w:tcW w:w="220" w:type="dxa"/>
            <w:vAlign w:val="bottom"/>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0.70</w:t>
            </w: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0.70</w:t>
            </w: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0.70</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2.80</w:t>
            </w:r>
          </w:p>
        </w:tc>
        <w:tc>
          <w:tcPr>
            <w:tcW w:w="420" w:type="dxa"/>
            <w:vAlign w:val="bottom"/>
          </w:tcPr>
          <w:p>
            <w:pPr>
              <w:jc w:val="right"/>
              <w:ind w:right="293"/>
              <w:spacing w:after="0"/>
              <w:rPr>
                <w:sz w:val="20"/>
                <w:szCs w:val="20"/>
                <w:color w:val="auto"/>
              </w:rPr>
            </w:pPr>
            <w:r>
              <w:rPr>
                <w:rFonts w:ascii="Times New Roman" w:cs="Times New Roman" w:eastAsia="Times New Roman" w:hAnsi="Times New Roman"/>
                <w:sz w:val="9"/>
                <w:szCs w:val="9"/>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2.80</w:t>
            </w:r>
          </w:p>
        </w:tc>
      </w:tr>
      <w:tr>
        <w:trPr>
          <w:trHeight w:val="134"/>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Basic Weighted Average Common Shares</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39,303,525</w:t>
            </w: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39,274,626</w:t>
            </w:r>
          </w:p>
        </w:tc>
        <w:tc>
          <w:tcPr>
            <w:tcW w:w="24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39,395,338</w:t>
            </w: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39,274,291</w:t>
            </w:r>
          </w:p>
        </w:tc>
        <w:tc>
          <w:tcPr>
            <w:tcW w:w="42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39,601,089</w:t>
            </w:r>
          </w:p>
        </w:tc>
      </w:tr>
      <w:tr>
        <w:trPr>
          <w:trHeight w:val="126"/>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Diluted Weighted Average Common Shares</w:t>
            </w: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39,539,191</w:t>
            </w: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39,420,531</w:t>
            </w: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39,618,896</w:t>
            </w: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39,428,912</w:t>
            </w:r>
          </w:p>
        </w:tc>
        <w:tc>
          <w:tcPr>
            <w:tcW w:w="4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39,788,002</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953"/>
        </w:trPr>
        <w:tc>
          <w:tcPr>
            <w:tcW w:w="4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 (Loss)</w:t>
            </w:r>
          </w:p>
        </w:tc>
        <w:tc>
          <w:tcPr>
            <w:tcW w:w="1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4</w:t>
            </w:r>
          </w:p>
        </w:tc>
      </w:tr>
      <w:tr>
        <w:trPr>
          <w:trHeight w:val="193"/>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840" w:type="dxa"/>
            <w:vAlign w:val="bottom"/>
            <w:tcBorders>
              <w:bottom w:val="single" w:sz="8" w:color="auto"/>
            </w:tcBorders>
          </w:tcPr>
          <w:p>
            <w:pPr>
              <w:spacing w:after="0"/>
              <w:rPr>
                <w:sz w:val="16"/>
                <w:szCs w:val="16"/>
                <w:color w:val="auto"/>
              </w:rPr>
            </w:pPr>
          </w:p>
        </w:tc>
      </w:tr>
      <w:tr>
        <w:trPr>
          <w:trHeight w:val="195"/>
        </w:trPr>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380" w:type="dxa"/>
            <w:vAlign w:val="bottom"/>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140" w:type="dxa"/>
            <w:vAlign w:val="bottom"/>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6"/>
                <w:szCs w:val="16"/>
                <w:color w:val="auto"/>
              </w:rPr>
            </w:pPr>
          </w:p>
        </w:tc>
        <w:tc>
          <w:tcPr>
            <w:tcW w:w="17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tcPr>
          <w:p>
            <w:pPr>
              <w:spacing w:after="0"/>
              <w:rPr>
                <w:sz w:val="16"/>
                <w:szCs w:val="16"/>
                <w:color w:val="auto"/>
              </w:rPr>
            </w:pPr>
          </w:p>
        </w:tc>
      </w:tr>
      <w:tr>
        <w:trPr>
          <w:trHeight w:val="199"/>
        </w:trPr>
        <w:tc>
          <w:tcPr>
            <w:tcW w:w="4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1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3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1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940" w:type="dxa"/>
            <w:vAlign w:val="bottom"/>
            <w:tcBorders>
              <w:bottom w:val="single" w:sz="8" w:color="auto"/>
            </w:tcBorders>
            <w:gridSpan w:val="2"/>
          </w:tcPr>
          <w:p>
            <w:pPr>
              <w:jc w:val="right"/>
              <w:ind w:right="8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46"/>
        </w:trPr>
        <w:tc>
          <w:tcPr>
            <w:tcW w:w="4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$30,396</w:t>
            </w:r>
          </w:p>
        </w:tc>
        <w:tc>
          <w:tcPr>
            <w:tcW w:w="1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2"/>
                <w:szCs w:val="12"/>
                <w:color w:val="auto"/>
              </w:rPr>
              <w:t>$47,903</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$61,307</w:t>
            </w:r>
          </w:p>
        </w:tc>
        <w:tc>
          <w:tcPr>
            <w:tcW w:w="1940" w:type="dxa"/>
            <w:vAlign w:val="bottom"/>
            <w:gridSpan w:val="2"/>
            <w:shd w:val="clear" w:color="auto" w:fill="CFF0FC"/>
          </w:tcPr>
          <w:p>
            <w:pPr>
              <w:jc w:val="right"/>
              <w:ind w:right="397"/>
              <w:spacing w:after="0"/>
              <w:rPr>
                <w:sz w:val="20"/>
                <w:szCs w:val="20"/>
                <w:color w:val="auto"/>
              </w:rPr>
            </w:pPr>
            <w:r>
              <w:rPr>
                <w:rFonts w:ascii="Times New Roman" w:cs="Times New Roman" w:eastAsia="Times New Roman" w:hAnsi="Times New Roman"/>
                <w:sz w:val="12"/>
                <w:szCs w:val="12"/>
                <w:color w:val="auto"/>
              </w:rPr>
              <w:t>$171,202</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$225,804</w:t>
            </w:r>
          </w:p>
        </w:tc>
      </w:tr>
      <w:tr>
        <w:trPr>
          <w:trHeight w:val="154"/>
        </w:trPr>
        <w:tc>
          <w:tcPr>
            <w:tcW w:w="4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Income (Loss), Net of Tax:</w:t>
            </w:r>
          </w:p>
        </w:tc>
        <w:tc>
          <w:tcPr>
            <w:tcW w:w="1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4"/>
        </w:trPr>
        <w:tc>
          <w:tcPr>
            <w:tcW w:w="48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Net Unrealized Gains (Losses) on Investment Securities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43,357</w:t>
            </w:r>
          </w:p>
        </w:tc>
        <w:tc>
          <w:tcPr>
            <w:tcW w:w="1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2"/>
                <w:szCs w:val="12"/>
                <w:color w:val="auto"/>
              </w:rPr>
              <w:t>(18,264)</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5,677</w:t>
            </w:r>
          </w:p>
        </w:tc>
        <w:tc>
          <w:tcPr>
            <w:tcW w:w="1940" w:type="dxa"/>
            <w:vAlign w:val="bottom"/>
            <w:gridSpan w:val="2"/>
            <w:shd w:val="clear" w:color="auto" w:fill="CFF0FC"/>
          </w:tcPr>
          <w:p>
            <w:pPr>
              <w:jc w:val="right"/>
              <w:ind w:right="397"/>
              <w:spacing w:after="0"/>
              <w:rPr>
                <w:sz w:val="20"/>
                <w:szCs w:val="20"/>
                <w:color w:val="auto"/>
              </w:rPr>
            </w:pPr>
            <w:r>
              <w:rPr>
                <w:rFonts w:ascii="Times New Roman" w:cs="Times New Roman" w:eastAsia="Times New Roman" w:hAnsi="Times New Roman"/>
                <w:sz w:val="12"/>
                <w:szCs w:val="12"/>
                <w:color w:val="auto"/>
              </w:rPr>
              <w:t>36,152</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(376,694)</w:t>
            </w:r>
          </w:p>
        </w:tc>
      </w:tr>
      <w:tr>
        <w:trPr>
          <w:trHeight w:val="154"/>
        </w:trPr>
        <w:tc>
          <w:tcPr>
            <w:tcW w:w="4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color w:val="auto"/>
              </w:rPr>
              <w:t>Defined Benefit Plans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1,566</w:t>
            </w: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84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7,359</w:t>
            </w:r>
          </w:p>
        </w:tc>
        <w:tc>
          <w:tcPr>
            <w:tcW w:w="1940" w:type="dxa"/>
            <w:vAlign w:val="bottom"/>
            <w:tcBorders>
              <w:bottom w:val="single" w:sz="8" w:color="auto"/>
            </w:tcBorders>
            <w:gridSpan w:val="2"/>
          </w:tcPr>
          <w:p>
            <w:pPr>
              <w:jc w:val="right"/>
              <w:ind w:right="397"/>
              <w:spacing w:after="0"/>
              <w:rPr>
                <w:sz w:val="20"/>
                <w:szCs w:val="20"/>
                <w:color w:val="auto"/>
              </w:rPr>
            </w:pPr>
            <w:r>
              <w:rPr>
                <w:rFonts w:ascii="Times New Roman" w:cs="Times New Roman" w:eastAsia="Times New Roman" w:hAnsi="Times New Roman"/>
                <w:sz w:val="12"/>
                <w:szCs w:val="12"/>
                <w:color w:val="auto"/>
              </w:rPr>
              <w:t>1,818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8,418</w:t>
            </w:r>
          </w:p>
        </w:tc>
      </w:tr>
      <w:tr>
        <w:trPr>
          <w:trHeight w:val="146"/>
        </w:trPr>
        <w:tc>
          <w:tcPr>
            <w:tcW w:w="4820" w:type="dxa"/>
            <w:vAlign w:val="bottom"/>
            <w:tcBorders>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44,923</w:t>
            </w:r>
          </w:p>
        </w:tc>
        <w:tc>
          <w:tcPr>
            <w:tcW w:w="138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2"/>
                <w:szCs w:val="12"/>
                <w:color w:val="auto"/>
              </w:rPr>
              <w:t>(18,180)</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13,036</w:t>
            </w:r>
          </w:p>
        </w:tc>
        <w:tc>
          <w:tcPr>
            <w:tcW w:w="1940" w:type="dxa"/>
            <w:vAlign w:val="bottom"/>
            <w:tcBorders>
              <w:bottom w:val="single" w:sz="8" w:color="auto"/>
            </w:tcBorders>
            <w:gridSpan w:val="2"/>
            <w:shd w:val="clear" w:color="auto" w:fill="CFF0FC"/>
          </w:tcPr>
          <w:p>
            <w:pPr>
              <w:jc w:val="right"/>
              <w:ind w:right="397"/>
              <w:spacing w:after="0"/>
              <w:rPr>
                <w:sz w:val="20"/>
                <w:szCs w:val="20"/>
                <w:color w:val="auto"/>
              </w:rPr>
            </w:pPr>
            <w:r>
              <w:rPr>
                <w:rFonts w:ascii="Times New Roman" w:cs="Times New Roman" w:eastAsia="Times New Roman" w:hAnsi="Times New Roman"/>
                <w:sz w:val="12"/>
                <w:szCs w:val="12"/>
                <w:color w:val="auto"/>
              </w:rPr>
              <w:t>37,970</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(368,276)</w:t>
            </w:r>
          </w:p>
        </w:tc>
      </w:tr>
      <w:tr>
        <w:trPr>
          <w:trHeight w:val="146"/>
        </w:trPr>
        <w:tc>
          <w:tcPr>
            <w:tcW w:w="4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Comprehensive Income (Loss)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$75,319</w:t>
            </w: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color w:val="auto"/>
              </w:rPr>
              <w:t>$29,723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$74,343</w:t>
            </w:r>
          </w:p>
        </w:tc>
        <w:tc>
          <w:tcPr>
            <w:tcW w:w="1940" w:type="dxa"/>
            <w:vAlign w:val="bottom"/>
            <w:tcBorders>
              <w:bottom w:val="single" w:sz="8" w:color="auto"/>
            </w:tcBorders>
            <w:gridSpan w:val="2"/>
          </w:tcPr>
          <w:p>
            <w:pPr>
              <w:jc w:val="right"/>
              <w:ind w:right="397"/>
              <w:spacing w:after="0"/>
              <w:rPr>
                <w:sz w:val="20"/>
                <w:szCs w:val="20"/>
                <w:color w:val="auto"/>
              </w:rPr>
            </w:pPr>
            <w:r>
              <w:rPr>
                <w:rFonts w:ascii="Times New Roman" w:cs="Times New Roman" w:eastAsia="Times New Roman" w:hAnsi="Times New Roman"/>
                <w:sz w:val="12"/>
                <w:szCs w:val="12"/>
                <w:color w:val="auto"/>
              </w:rPr>
              <w:t>$209,172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$(142,472)</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49"/>
        </w:trPr>
        <w:tc>
          <w:tcPr>
            <w:tcW w:w="4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Consolidated Statements of Condition</w:t>
            </w:r>
          </w:p>
        </w:tc>
        <w:tc>
          <w:tcPr>
            <w:tcW w:w="16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Table 5</w:t>
            </w:r>
          </w:p>
        </w:tc>
      </w:tr>
      <w:tr>
        <w:trPr>
          <w:trHeight w:val="116"/>
        </w:trPr>
        <w:tc>
          <w:tcPr>
            <w:tcW w:w="53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260" w:type="dxa"/>
            <w:vAlign w:val="bottom"/>
          </w:tcPr>
          <w:p>
            <w:pPr>
              <w:spacing w:after="0"/>
              <w:rPr>
                <w:sz w:val="10"/>
                <w:szCs w:val="10"/>
                <w:color w:val="auto"/>
              </w:rPr>
            </w:pPr>
          </w:p>
        </w:tc>
        <w:tc>
          <w:tcPr>
            <w:tcW w:w="1240" w:type="dxa"/>
            <w:vAlign w:val="bottom"/>
          </w:tcPr>
          <w:p>
            <w:pPr>
              <w:jc w:val="right"/>
              <w:ind w:right="433"/>
              <w:spacing w:after="0"/>
              <w:rPr>
                <w:sz w:val="20"/>
                <w:szCs w:val="20"/>
                <w:color w:val="auto"/>
              </w:rPr>
            </w:pPr>
            <w:r>
              <w:rPr>
                <w:rFonts w:ascii="Times New Roman" w:cs="Times New Roman" w:eastAsia="Times New Roman" w:hAnsi="Times New Roman"/>
                <w:sz w:val="9"/>
                <w:szCs w:val="9"/>
                <w:b w:val="1"/>
                <w:bCs w:val="1"/>
                <w:color w:val="auto"/>
              </w:rPr>
              <w:t>September 30,</w:t>
            </w:r>
          </w:p>
        </w:tc>
        <w:tc>
          <w:tcPr>
            <w:tcW w:w="280" w:type="dxa"/>
            <w:vAlign w:val="bottom"/>
          </w:tcPr>
          <w:p>
            <w:pPr>
              <w:spacing w:after="0"/>
              <w:rPr>
                <w:sz w:val="10"/>
                <w:szCs w:val="10"/>
                <w:color w:val="auto"/>
              </w:rPr>
            </w:pPr>
          </w:p>
        </w:tc>
        <w:tc>
          <w:tcPr>
            <w:tcW w:w="1340" w:type="dxa"/>
            <w:vAlign w:val="bottom"/>
          </w:tcPr>
          <w:p>
            <w:pPr>
              <w:jc w:val="right"/>
              <w:ind w:right="532"/>
              <w:spacing w:after="0"/>
              <w:rPr>
                <w:sz w:val="20"/>
                <w:szCs w:val="20"/>
                <w:color w:val="auto"/>
              </w:rPr>
            </w:pPr>
            <w:r>
              <w:rPr>
                <w:rFonts w:ascii="Times New Roman" w:cs="Times New Roman" w:eastAsia="Times New Roman" w:hAnsi="Times New Roman"/>
                <w:sz w:val="9"/>
                <w:szCs w:val="9"/>
                <w:b w:val="1"/>
                <w:bCs w:val="1"/>
                <w:color w:val="auto"/>
              </w:rPr>
              <w:t>December 31,</w:t>
            </w:r>
          </w:p>
        </w:tc>
      </w:tr>
      <w:tr>
        <w:trPr>
          <w:trHeight w:val="132"/>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(dollars in thousands)</w:t>
            </w:r>
          </w:p>
        </w:tc>
        <w:tc>
          <w:tcPr>
            <w:tcW w:w="16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9"/>
                <w:szCs w:val="9"/>
                <w:b w:val="1"/>
                <w:bCs w:val="1"/>
                <w:color w:val="auto"/>
              </w:rPr>
              <w:t>2023</w:t>
            </w: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9"/>
                <w:szCs w:val="9"/>
                <w:b w:val="1"/>
                <w:bCs w:val="1"/>
                <w:color w:val="auto"/>
              </w:rPr>
              <w:t>2023</w:t>
            </w:r>
          </w:p>
        </w:tc>
        <w:tc>
          <w:tcPr>
            <w:tcW w:w="2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9"/>
                <w:szCs w:val="9"/>
                <w:b w:val="1"/>
                <w:bCs w:val="1"/>
                <w:color w:val="auto"/>
              </w:rPr>
              <w:t>2022</w:t>
            </w:r>
          </w:p>
        </w:tc>
      </w:tr>
      <w:tr>
        <w:trPr>
          <w:trHeight w:val="12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Assets</w:t>
            </w:r>
          </w:p>
        </w:tc>
        <w:tc>
          <w:tcPr>
            <w:tcW w:w="160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340" w:type="dxa"/>
            <w:vAlign w:val="bottom"/>
            <w:shd w:val="clear" w:color="auto" w:fill="CFF0FC"/>
          </w:tcPr>
          <w:p>
            <w:pPr>
              <w:spacing w:after="0"/>
              <w:rPr>
                <w:sz w:val="10"/>
                <w:szCs w:val="10"/>
                <w:color w:val="auto"/>
              </w:rPr>
            </w:pPr>
          </w:p>
        </w:tc>
      </w:tr>
      <w:tr>
        <w:trPr>
          <w:trHeight w:val="126"/>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Interest-Bearing Deposits in Other Banks</w:t>
            </w:r>
          </w:p>
        </w:tc>
        <w:tc>
          <w:tcPr>
            <w:tcW w:w="1600" w:type="dxa"/>
            <w:vAlign w:val="bottom"/>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2,761</w:t>
            </w:r>
          </w:p>
        </w:tc>
        <w:tc>
          <w:tcPr>
            <w:tcW w:w="260" w:type="dxa"/>
            <w:vAlign w:val="bottom"/>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4,676</w:t>
            </w:r>
          </w:p>
        </w:tc>
        <w:tc>
          <w:tcPr>
            <w:tcW w:w="280" w:type="dxa"/>
            <w:vAlign w:val="bottom"/>
          </w:tcPr>
          <w:p>
            <w:pPr>
              <w:jc w:val="right"/>
              <w:ind w:right="153"/>
              <w:spacing w:after="0"/>
              <w:rPr>
                <w:sz w:val="20"/>
                <w:szCs w:val="20"/>
                <w:color w:val="auto"/>
              </w:rPr>
            </w:pPr>
            <w:r>
              <w:rPr>
                <w:rFonts w:ascii="Times New Roman" w:cs="Times New Roman" w:eastAsia="Times New Roman" w:hAnsi="Times New Roman"/>
                <w:sz w:val="9"/>
                <w:szCs w:val="9"/>
                <w:color w:val="auto"/>
              </w:rPr>
              <w:t>$</w:t>
            </w: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3,724</w:t>
            </w:r>
          </w:p>
        </w:tc>
      </w:tr>
      <w:tr>
        <w:trPr>
          <w:trHeight w:val="1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Funds Sold</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690,112</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386,086</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81,364</w:t>
            </w:r>
          </w:p>
        </w:tc>
      </w:tr>
      <w:tr>
        <w:trPr>
          <w:trHeight w:val="126"/>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Investment Securities</w:t>
            </w:r>
          </w:p>
        </w:tc>
        <w:tc>
          <w:tcPr>
            <w:tcW w:w="1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34"/>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Available-for-Sale</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2,408,933</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2,387,324</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2,844,823</w:t>
            </w:r>
          </w:p>
        </w:tc>
      </w:tr>
      <w:tr>
        <w:trPr>
          <w:trHeight w:val="126"/>
        </w:trPr>
        <w:tc>
          <w:tcPr>
            <w:tcW w:w="53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Held-to-Maturity (Fair Value of $4,253,637; $4,104,469; and $4,615,393)</w:t>
            </w:r>
          </w:p>
        </w:tc>
        <w:tc>
          <w:tcPr>
            <w:tcW w:w="1600" w:type="dxa"/>
            <w:vAlign w:val="bottom"/>
          </w:tcPr>
          <w:p>
            <w:pPr>
              <w:spacing w:after="0"/>
              <w:rPr>
                <w:sz w:val="10"/>
                <w:szCs w:val="1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4,997,335</w:t>
            </w:r>
          </w:p>
        </w:tc>
        <w:tc>
          <w:tcPr>
            <w:tcW w:w="260" w:type="dxa"/>
            <w:vAlign w:val="bottom"/>
          </w:tcPr>
          <w:p>
            <w:pPr>
              <w:spacing w:after="0"/>
              <w:rPr>
                <w:sz w:val="10"/>
                <w:szCs w:val="1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5,088,013</w:t>
            </w:r>
          </w:p>
        </w:tc>
        <w:tc>
          <w:tcPr>
            <w:tcW w:w="2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5,414,139</w:t>
            </w:r>
          </w:p>
        </w:tc>
      </w:tr>
      <w:tr>
        <w:trPr>
          <w:trHeight w:val="1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Loans Held for Sale</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3,124</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1,450</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1,035</w:t>
            </w:r>
          </w:p>
        </w:tc>
      </w:tr>
      <w:tr>
        <w:trPr>
          <w:trHeight w:val="126"/>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Loans and Leases</w:t>
            </w:r>
          </w:p>
        </w:tc>
        <w:tc>
          <w:tcPr>
            <w:tcW w:w="1600" w:type="dxa"/>
            <w:vAlign w:val="bottom"/>
          </w:tcPr>
          <w:p>
            <w:pPr>
              <w:spacing w:after="0"/>
              <w:rPr>
                <w:sz w:val="10"/>
                <w:szCs w:val="1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13,965,026</w:t>
            </w:r>
          </w:p>
        </w:tc>
        <w:tc>
          <w:tcPr>
            <w:tcW w:w="260" w:type="dxa"/>
            <w:vAlign w:val="bottom"/>
          </w:tcPr>
          <w:p>
            <w:pPr>
              <w:spacing w:after="0"/>
              <w:rPr>
                <w:sz w:val="10"/>
                <w:szCs w:val="1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13,919,491</w:t>
            </w:r>
          </w:p>
        </w:tc>
        <w:tc>
          <w:tcPr>
            <w:tcW w:w="2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13,646,420</w:t>
            </w:r>
          </w:p>
        </w:tc>
      </w:tr>
      <w:tr>
        <w:trPr>
          <w:trHeight w:val="130"/>
        </w:trPr>
        <w:tc>
          <w:tcPr>
            <w:tcW w:w="53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Allowance for Credit Losses</w:t>
            </w:r>
          </w:p>
        </w:tc>
        <w:tc>
          <w:tcPr>
            <w:tcW w:w="160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(146,403 )</w:t>
            </w:r>
          </w:p>
        </w:tc>
        <w:tc>
          <w:tcPr>
            <w:tcW w:w="26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(145,263 )</w:t>
            </w:r>
          </w:p>
        </w:tc>
        <w:tc>
          <w:tcPr>
            <w:tcW w:w="28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(144,439 )</w:t>
            </w:r>
          </w:p>
        </w:tc>
      </w:tr>
      <w:tr>
        <w:trPr>
          <w:trHeight w:val="122"/>
        </w:trPr>
        <w:tc>
          <w:tcPr>
            <w:tcW w:w="5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9"/>
                <w:szCs w:val="9"/>
                <w:color w:val="auto"/>
              </w:rPr>
              <w:t>Net Loans and Leases</w:t>
            </w:r>
          </w:p>
        </w:tc>
        <w:tc>
          <w:tcPr>
            <w:tcW w:w="16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13,818,623</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13,774,228</w:t>
            </w:r>
          </w:p>
        </w:tc>
        <w:tc>
          <w:tcPr>
            <w:tcW w:w="2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13,501,981</w:t>
            </w:r>
          </w:p>
        </w:tc>
      </w:tr>
      <w:tr>
        <w:trPr>
          <w:trHeight w:val="122"/>
        </w:trPr>
        <w:tc>
          <w:tcPr>
            <w:tcW w:w="5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Earning Assets</w:t>
            </w:r>
          </w:p>
        </w:tc>
        <w:tc>
          <w:tcPr>
            <w:tcW w:w="160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21,920,888</w:t>
            </w:r>
          </w:p>
        </w:tc>
        <w:tc>
          <w:tcPr>
            <w:tcW w:w="260" w:type="dxa"/>
            <w:vAlign w:val="bottom"/>
            <w:tcBorders>
              <w:bottom w:val="single" w:sz="8" w:color="auto"/>
            </w:tcBorders>
            <w:shd w:val="clear" w:color="auto" w:fill="CFF0FC"/>
          </w:tcPr>
          <w:p>
            <w:pPr>
              <w:spacing w:after="0"/>
              <w:rPr>
                <w:sz w:val="10"/>
                <w:szCs w:val="10"/>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21,641,777</w:t>
            </w:r>
          </w:p>
        </w:tc>
        <w:tc>
          <w:tcPr>
            <w:tcW w:w="280" w:type="dxa"/>
            <w:vAlign w:val="bottom"/>
            <w:tcBorders>
              <w:bottom w:val="single" w:sz="8" w:color="auto"/>
            </w:tcBorders>
            <w:shd w:val="clear" w:color="auto" w:fill="CFF0FC"/>
          </w:tcPr>
          <w:p>
            <w:pPr>
              <w:spacing w:after="0"/>
              <w:rPr>
                <w:sz w:val="10"/>
                <w:szCs w:val="10"/>
                <w:color w:val="auto"/>
              </w:rPr>
            </w:pPr>
          </w:p>
        </w:tc>
        <w:tc>
          <w:tcPr>
            <w:tcW w:w="13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21,847,066</w:t>
            </w:r>
          </w:p>
        </w:tc>
      </w:tr>
      <w:tr>
        <w:trPr>
          <w:trHeight w:val="122"/>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Cash and Due from Banks</w:t>
            </w:r>
          </w:p>
        </w:tc>
        <w:tc>
          <w:tcPr>
            <w:tcW w:w="1600" w:type="dxa"/>
            <w:vAlign w:val="bottom"/>
          </w:tcPr>
          <w:p>
            <w:pPr>
              <w:spacing w:after="0"/>
              <w:rPr>
                <w:sz w:val="10"/>
                <w:szCs w:val="1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308,071</w:t>
            </w:r>
          </w:p>
        </w:tc>
        <w:tc>
          <w:tcPr>
            <w:tcW w:w="260" w:type="dxa"/>
            <w:vAlign w:val="bottom"/>
          </w:tcPr>
          <w:p>
            <w:pPr>
              <w:spacing w:after="0"/>
              <w:rPr>
                <w:sz w:val="10"/>
                <w:szCs w:val="1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261,464</w:t>
            </w:r>
          </w:p>
        </w:tc>
        <w:tc>
          <w:tcPr>
            <w:tcW w:w="2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316,679</w:t>
            </w:r>
          </w:p>
        </w:tc>
      </w:tr>
      <w:tr>
        <w:trPr>
          <w:trHeight w:val="1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Premises and Equipment, Net</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194,855</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196,094</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206,777</w:t>
            </w:r>
          </w:p>
        </w:tc>
      </w:tr>
      <w:tr>
        <w:trPr>
          <w:trHeight w:val="126"/>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Operating Lease Right-of-Use Assets</w:t>
            </w:r>
          </w:p>
        </w:tc>
        <w:tc>
          <w:tcPr>
            <w:tcW w:w="1600" w:type="dxa"/>
            <w:vAlign w:val="bottom"/>
          </w:tcPr>
          <w:p>
            <w:pPr>
              <w:spacing w:after="0"/>
              <w:rPr>
                <w:sz w:val="10"/>
                <w:szCs w:val="1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86,110</w:t>
            </w:r>
          </w:p>
        </w:tc>
        <w:tc>
          <w:tcPr>
            <w:tcW w:w="260" w:type="dxa"/>
            <w:vAlign w:val="bottom"/>
          </w:tcPr>
          <w:p>
            <w:pPr>
              <w:spacing w:after="0"/>
              <w:rPr>
                <w:sz w:val="10"/>
                <w:szCs w:val="1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86,896</w:t>
            </w:r>
          </w:p>
        </w:tc>
        <w:tc>
          <w:tcPr>
            <w:tcW w:w="2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92,307</w:t>
            </w:r>
          </w:p>
        </w:tc>
      </w:tr>
      <w:tr>
        <w:trPr>
          <w:trHeight w:val="1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Accrued Interest Receivable</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66,525</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65,541</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61,002</w:t>
            </w:r>
          </w:p>
        </w:tc>
      </w:tr>
      <w:tr>
        <w:trPr>
          <w:trHeight w:val="126"/>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Foreclosed Real Estate</w:t>
            </w:r>
          </w:p>
        </w:tc>
        <w:tc>
          <w:tcPr>
            <w:tcW w:w="1600" w:type="dxa"/>
            <w:vAlign w:val="bottom"/>
          </w:tcPr>
          <w:p>
            <w:pPr>
              <w:spacing w:after="0"/>
              <w:rPr>
                <w:sz w:val="10"/>
                <w:szCs w:val="1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2,098</w:t>
            </w:r>
          </w:p>
        </w:tc>
        <w:tc>
          <w:tcPr>
            <w:tcW w:w="260" w:type="dxa"/>
            <w:vAlign w:val="bottom"/>
          </w:tcPr>
          <w:p>
            <w:pPr>
              <w:spacing w:after="0"/>
              <w:rPr>
                <w:sz w:val="10"/>
                <w:szCs w:val="1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1,040</w:t>
            </w:r>
          </w:p>
        </w:tc>
        <w:tc>
          <w:tcPr>
            <w:tcW w:w="2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1,040</w:t>
            </w:r>
          </w:p>
        </w:tc>
      </w:tr>
      <w:tr>
        <w:trPr>
          <w:trHeight w:val="1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Mortgage Servicing Rights</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20,880</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21,273</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22,619</w:t>
            </w:r>
          </w:p>
        </w:tc>
      </w:tr>
      <w:tr>
        <w:trPr>
          <w:trHeight w:val="126"/>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Goodwill</w:t>
            </w:r>
          </w:p>
        </w:tc>
        <w:tc>
          <w:tcPr>
            <w:tcW w:w="1600" w:type="dxa"/>
            <w:vAlign w:val="bottom"/>
          </w:tcPr>
          <w:p>
            <w:pPr>
              <w:spacing w:after="0"/>
              <w:rPr>
                <w:sz w:val="10"/>
                <w:szCs w:val="1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31,517</w:t>
            </w:r>
          </w:p>
        </w:tc>
        <w:tc>
          <w:tcPr>
            <w:tcW w:w="260" w:type="dxa"/>
            <w:vAlign w:val="bottom"/>
          </w:tcPr>
          <w:p>
            <w:pPr>
              <w:spacing w:after="0"/>
              <w:rPr>
                <w:sz w:val="10"/>
                <w:szCs w:val="1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31,517</w:t>
            </w:r>
          </w:p>
        </w:tc>
        <w:tc>
          <w:tcPr>
            <w:tcW w:w="2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31,517</w:t>
            </w:r>
          </w:p>
        </w:tc>
      </w:tr>
      <w:tr>
        <w:trPr>
          <w:trHeight w:val="1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Bank-Owned Life Insurance</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462,894</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458,260</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453,882</w:t>
            </w:r>
          </w:p>
        </w:tc>
      </w:tr>
      <w:tr>
        <w:trPr>
          <w:trHeight w:val="12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Other Assets</w:t>
            </w:r>
          </w:p>
        </w:tc>
        <w:tc>
          <w:tcPr>
            <w:tcW w:w="16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639,458</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785,923</w:t>
            </w:r>
          </w:p>
        </w:tc>
        <w:tc>
          <w:tcPr>
            <w:tcW w:w="2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573,988</w:t>
            </w:r>
          </w:p>
        </w:tc>
      </w:tr>
      <w:tr>
        <w:trPr>
          <w:trHeight w:val="163"/>
        </w:trPr>
        <w:tc>
          <w:tcPr>
            <w:tcW w:w="5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Assets</w:t>
            </w:r>
          </w:p>
        </w:tc>
        <w:tc>
          <w:tcPr>
            <w:tcW w:w="160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23,733,296</w:t>
            </w:r>
          </w:p>
        </w:tc>
        <w:tc>
          <w:tcPr>
            <w:tcW w:w="26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23,549,785</w:t>
            </w:r>
          </w:p>
        </w:tc>
        <w:tc>
          <w:tcPr>
            <w:tcW w:w="280" w:type="dxa"/>
            <w:vAlign w:val="bottom"/>
            <w:tcBorders>
              <w:bottom w:val="single" w:sz="8" w:color="auto"/>
            </w:tcBorders>
            <w:shd w:val="clear" w:color="auto" w:fill="CFF0FC"/>
          </w:tcPr>
          <w:p>
            <w:pPr>
              <w:jc w:val="right"/>
              <w:ind w:right="153"/>
              <w:spacing w:after="0"/>
              <w:rPr>
                <w:sz w:val="20"/>
                <w:szCs w:val="20"/>
                <w:color w:val="auto"/>
              </w:rPr>
            </w:pPr>
            <w:r>
              <w:rPr>
                <w:rFonts w:ascii="Times New Roman" w:cs="Times New Roman" w:eastAsia="Times New Roman" w:hAnsi="Times New Roman"/>
                <w:sz w:val="9"/>
                <w:szCs w:val="9"/>
                <w:color w:val="auto"/>
              </w:rPr>
              <w:t>$</w:t>
            </w:r>
          </w:p>
        </w:tc>
        <w:tc>
          <w:tcPr>
            <w:tcW w:w="13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23,606,877</w:t>
            </w:r>
          </w:p>
        </w:tc>
      </w:tr>
      <w:tr>
        <w:trPr>
          <w:trHeight w:val="108"/>
        </w:trPr>
        <w:tc>
          <w:tcPr>
            <w:tcW w:w="5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1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Liabilities</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r>
      <w:tr>
        <w:trPr>
          <w:trHeight w:val="126"/>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Deposits</w:t>
            </w:r>
          </w:p>
        </w:tc>
        <w:tc>
          <w:tcPr>
            <w:tcW w:w="1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34"/>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Noninterest-Bearing Demand</w:t>
            </w:r>
          </w:p>
        </w:tc>
        <w:tc>
          <w:tcPr>
            <w:tcW w:w="160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6,058,554</w:t>
            </w:r>
          </w:p>
        </w:tc>
        <w:tc>
          <w:tcPr>
            <w:tcW w:w="26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5,687,442</w:t>
            </w:r>
          </w:p>
        </w:tc>
        <w:tc>
          <w:tcPr>
            <w:tcW w:w="28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9"/>
                <w:szCs w:val="9"/>
                <w:color w:val="auto"/>
              </w:rPr>
              <w:t>$</w:t>
            </w: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6,714,982</w:t>
            </w:r>
          </w:p>
        </w:tc>
      </w:tr>
      <w:tr>
        <w:trPr>
          <w:trHeight w:val="126"/>
        </w:trPr>
        <w:tc>
          <w:tcPr>
            <w:tcW w:w="53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Interest-Bearing Demand</w:t>
            </w:r>
          </w:p>
        </w:tc>
        <w:tc>
          <w:tcPr>
            <w:tcW w:w="1600" w:type="dxa"/>
            <w:vAlign w:val="bottom"/>
          </w:tcPr>
          <w:p>
            <w:pPr>
              <w:spacing w:after="0"/>
              <w:rPr>
                <w:sz w:val="10"/>
                <w:szCs w:val="1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3,749,717</w:t>
            </w:r>
          </w:p>
        </w:tc>
        <w:tc>
          <w:tcPr>
            <w:tcW w:w="260" w:type="dxa"/>
            <w:vAlign w:val="bottom"/>
          </w:tcPr>
          <w:p>
            <w:pPr>
              <w:spacing w:after="0"/>
              <w:rPr>
                <w:sz w:val="10"/>
                <w:szCs w:val="1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3,925,469</w:t>
            </w:r>
          </w:p>
        </w:tc>
        <w:tc>
          <w:tcPr>
            <w:tcW w:w="2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4,232,567</w:t>
            </w:r>
          </w:p>
        </w:tc>
      </w:tr>
      <w:tr>
        <w:trPr>
          <w:trHeight w:val="134"/>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Savings</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8,189,472</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8,530,384</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7,962,410</w:t>
            </w:r>
          </w:p>
        </w:tc>
      </w:tr>
      <w:tr>
        <w:trPr>
          <w:trHeight w:val="126"/>
        </w:trPr>
        <w:tc>
          <w:tcPr>
            <w:tcW w:w="5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9"/>
                <w:szCs w:val="9"/>
                <w:color w:val="auto"/>
              </w:rPr>
              <w:t>Time</w:t>
            </w:r>
          </w:p>
        </w:tc>
        <w:tc>
          <w:tcPr>
            <w:tcW w:w="16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3,057,302</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2,659,014</w:t>
            </w:r>
          </w:p>
        </w:tc>
        <w:tc>
          <w:tcPr>
            <w:tcW w:w="2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1,705,737</w:t>
            </w:r>
          </w:p>
        </w:tc>
      </w:tr>
      <w:tr>
        <w:trPr>
          <w:trHeight w:val="122"/>
        </w:trPr>
        <w:tc>
          <w:tcPr>
            <w:tcW w:w="5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Deposits</w:t>
            </w:r>
          </w:p>
        </w:tc>
        <w:tc>
          <w:tcPr>
            <w:tcW w:w="160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21,055,045</w:t>
            </w:r>
          </w:p>
        </w:tc>
        <w:tc>
          <w:tcPr>
            <w:tcW w:w="260" w:type="dxa"/>
            <w:vAlign w:val="bottom"/>
            <w:tcBorders>
              <w:bottom w:val="single" w:sz="8" w:color="auto"/>
            </w:tcBorders>
            <w:shd w:val="clear" w:color="auto" w:fill="CFF0FC"/>
          </w:tcPr>
          <w:p>
            <w:pPr>
              <w:spacing w:after="0"/>
              <w:rPr>
                <w:sz w:val="10"/>
                <w:szCs w:val="10"/>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20,802,309</w:t>
            </w:r>
          </w:p>
        </w:tc>
        <w:tc>
          <w:tcPr>
            <w:tcW w:w="280" w:type="dxa"/>
            <w:vAlign w:val="bottom"/>
            <w:tcBorders>
              <w:bottom w:val="single" w:sz="8" w:color="auto"/>
            </w:tcBorders>
            <w:shd w:val="clear" w:color="auto" w:fill="CFF0FC"/>
          </w:tcPr>
          <w:p>
            <w:pPr>
              <w:spacing w:after="0"/>
              <w:rPr>
                <w:sz w:val="10"/>
                <w:szCs w:val="10"/>
                <w:color w:val="auto"/>
              </w:rPr>
            </w:pPr>
          </w:p>
        </w:tc>
        <w:tc>
          <w:tcPr>
            <w:tcW w:w="13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20,615,696</w:t>
            </w:r>
          </w:p>
        </w:tc>
      </w:tr>
      <w:tr>
        <w:trPr>
          <w:trHeight w:val="122"/>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Securities Sold Under Agreements to Repurchase</w:t>
            </w:r>
          </w:p>
        </w:tc>
        <w:tc>
          <w:tcPr>
            <w:tcW w:w="1600" w:type="dxa"/>
            <w:vAlign w:val="bottom"/>
          </w:tcPr>
          <w:p>
            <w:pPr>
              <w:spacing w:after="0"/>
              <w:rPr>
                <w:sz w:val="10"/>
                <w:szCs w:val="1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150,490</w:t>
            </w:r>
          </w:p>
        </w:tc>
        <w:tc>
          <w:tcPr>
            <w:tcW w:w="260" w:type="dxa"/>
            <w:vAlign w:val="bottom"/>
          </w:tcPr>
          <w:p>
            <w:pPr>
              <w:spacing w:after="0"/>
              <w:rPr>
                <w:sz w:val="10"/>
                <w:szCs w:val="1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150,490</w:t>
            </w:r>
          </w:p>
        </w:tc>
        <w:tc>
          <w:tcPr>
            <w:tcW w:w="2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725,490</w:t>
            </w:r>
          </w:p>
        </w:tc>
      </w:tr>
      <w:tr>
        <w:trPr>
          <w:trHeight w:val="1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Other Debt</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560,190</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560,217</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410,294</w:t>
            </w:r>
          </w:p>
        </w:tc>
      </w:tr>
      <w:tr>
        <w:trPr>
          <w:trHeight w:val="126"/>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Operating Lease Liabilities</w:t>
            </w:r>
          </w:p>
        </w:tc>
        <w:tc>
          <w:tcPr>
            <w:tcW w:w="1600" w:type="dxa"/>
            <w:vAlign w:val="bottom"/>
          </w:tcPr>
          <w:p>
            <w:pPr>
              <w:spacing w:after="0"/>
              <w:rPr>
                <w:sz w:val="10"/>
                <w:szCs w:val="1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94,693</w:t>
            </w:r>
          </w:p>
        </w:tc>
        <w:tc>
          <w:tcPr>
            <w:tcW w:w="260" w:type="dxa"/>
            <w:vAlign w:val="bottom"/>
          </w:tcPr>
          <w:p>
            <w:pPr>
              <w:spacing w:after="0"/>
              <w:rPr>
                <w:sz w:val="10"/>
                <w:szCs w:val="1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95,453</w:t>
            </w:r>
          </w:p>
        </w:tc>
        <w:tc>
          <w:tcPr>
            <w:tcW w:w="2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100,526</w:t>
            </w:r>
          </w:p>
        </w:tc>
      </w:tr>
      <w:tr>
        <w:trPr>
          <w:trHeight w:val="1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Retirement Benefits Payable</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23,673</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26,074</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26,991</w:t>
            </w:r>
          </w:p>
        </w:tc>
      </w:tr>
      <w:tr>
        <w:trPr>
          <w:trHeight w:val="126"/>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Accrued Interest Payable</w:t>
            </w:r>
          </w:p>
        </w:tc>
        <w:tc>
          <w:tcPr>
            <w:tcW w:w="1600" w:type="dxa"/>
            <w:vAlign w:val="bottom"/>
          </w:tcPr>
          <w:p>
            <w:pPr>
              <w:spacing w:after="0"/>
              <w:rPr>
                <w:sz w:val="10"/>
                <w:szCs w:val="1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41,023</w:t>
            </w:r>
          </w:p>
        </w:tc>
        <w:tc>
          <w:tcPr>
            <w:tcW w:w="260" w:type="dxa"/>
            <w:vAlign w:val="bottom"/>
          </w:tcPr>
          <w:p>
            <w:pPr>
              <w:spacing w:after="0"/>
              <w:rPr>
                <w:sz w:val="10"/>
                <w:szCs w:val="1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33,434</w:t>
            </w:r>
          </w:p>
        </w:tc>
        <w:tc>
          <w:tcPr>
            <w:tcW w:w="2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9,698</w:t>
            </w:r>
          </w:p>
        </w:tc>
      </w:tr>
      <w:tr>
        <w:trPr>
          <w:trHeight w:val="1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Taxes Payable</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7,636</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6,965</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7,104</w:t>
            </w:r>
          </w:p>
        </w:tc>
      </w:tr>
      <w:tr>
        <w:trPr>
          <w:trHeight w:val="12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Other Liabilities</w:t>
            </w:r>
          </w:p>
        </w:tc>
        <w:tc>
          <w:tcPr>
            <w:tcW w:w="16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386,304</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511,003</w:t>
            </w:r>
          </w:p>
        </w:tc>
        <w:tc>
          <w:tcPr>
            <w:tcW w:w="2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394,083</w:t>
            </w:r>
          </w:p>
        </w:tc>
      </w:tr>
      <w:tr>
        <w:trPr>
          <w:trHeight w:val="123"/>
        </w:trPr>
        <w:tc>
          <w:tcPr>
            <w:tcW w:w="5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Liabilities</w:t>
            </w:r>
          </w:p>
        </w:tc>
        <w:tc>
          <w:tcPr>
            <w:tcW w:w="1600" w:type="dxa"/>
            <w:vAlign w:val="bottom"/>
            <w:tcBorders>
              <w:bottom w:val="single" w:sz="8" w:color="auto"/>
            </w:tcBorders>
            <w:shd w:val="clear" w:color="auto" w:fill="CFF0FC"/>
          </w:tcPr>
          <w:p>
            <w:pPr>
              <w:spacing w:after="0"/>
              <w:rPr>
                <w:sz w:val="10"/>
                <w:szCs w:val="10"/>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22,319,054</w:t>
            </w:r>
          </w:p>
        </w:tc>
        <w:tc>
          <w:tcPr>
            <w:tcW w:w="260" w:type="dxa"/>
            <w:vAlign w:val="bottom"/>
            <w:tcBorders>
              <w:bottom w:val="single" w:sz="8" w:color="auto"/>
            </w:tcBorders>
            <w:shd w:val="clear" w:color="auto" w:fill="CFF0FC"/>
          </w:tcPr>
          <w:p>
            <w:pPr>
              <w:spacing w:after="0"/>
              <w:rPr>
                <w:sz w:val="10"/>
                <w:szCs w:val="10"/>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22,185,945</w:t>
            </w:r>
          </w:p>
        </w:tc>
        <w:tc>
          <w:tcPr>
            <w:tcW w:w="280" w:type="dxa"/>
            <w:vAlign w:val="bottom"/>
            <w:tcBorders>
              <w:bottom w:val="single" w:sz="8" w:color="auto"/>
            </w:tcBorders>
            <w:shd w:val="clear" w:color="auto" w:fill="CFF0FC"/>
          </w:tcPr>
          <w:p>
            <w:pPr>
              <w:spacing w:after="0"/>
              <w:rPr>
                <w:sz w:val="10"/>
                <w:szCs w:val="10"/>
                <w:color w:val="auto"/>
              </w:rPr>
            </w:pPr>
          </w:p>
        </w:tc>
        <w:tc>
          <w:tcPr>
            <w:tcW w:w="13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22,289,882</w:t>
            </w:r>
          </w:p>
        </w:tc>
      </w:tr>
      <w:tr>
        <w:trPr>
          <w:trHeight w:val="122"/>
        </w:trPr>
        <w:tc>
          <w:tcPr>
            <w:tcW w:w="536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Shareholders' Equity</w:t>
            </w:r>
          </w:p>
        </w:tc>
        <w:tc>
          <w:tcPr>
            <w:tcW w:w="1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3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Preferred Stock ($.01 par value; authorized 180,000 shares;</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r>
      <w:tr>
        <w:trPr>
          <w:trHeight w:val="126"/>
        </w:trPr>
        <w:tc>
          <w:tcPr>
            <w:tcW w:w="53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issued / outstanding: December 31, 2023; September 30, 2023;</w:t>
            </w:r>
          </w:p>
        </w:tc>
        <w:tc>
          <w:tcPr>
            <w:tcW w:w="1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34"/>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and December 31, 2022 - 180,000)</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180,000</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180,000</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180,000</w:t>
            </w:r>
          </w:p>
        </w:tc>
      </w:tr>
      <w:tr>
        <w:trPr>
          <w:trHeight w:val="126"/>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Common Stock ($.01 par value; authorized 500,000,000 shares;</w:t>
            </w:r>
          </w:p>
        </w:tc>
        <w:tc>
          <w:tcPr>
            <w:tcW w:w="1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34"/>
        </w:trPr>
        <w:tc>
          <w:tcPr>
            <w:tcW w:w="5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issued / outstanding: December 31, 2023 - 58,755,465 / 39,753,138;</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r>
      <w:tr>
        <w:trPr>
          <w:trHeight w:val="126"/>
        </w:trPr>
        <w:tc>
          <w:tcPr>
            <w:tcW w:w="53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September 30, 2023 - 58,767,820 / 39,748,700; and December 31, 2022 - 58,733,625 / 39,835,750)</w:t>
            </w:r>
          </w:p>
        </w:tc>
        <w:tc>
          <w:tcPr>
            <w:tcW w:w="1600" w:type="dxa"/>
            <w:vAlign w:val="bottom"/>
          </w:tcPr>
          <w:p>
            <w:pPr>
              <w:spacing w:after="0"/>
              <w:rPr>
                <w:sz w:val="10"/>
                <w:szCs w:val="1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583</w:t>
            </w:r>
          </w:p>
        </w:tc>
        <w:tc>
          <w:tcPr>
            <w:tcW w:w="260" w:type="dxa"/>
            <w:vAlign w:val="bottom"/>
          </w:tcPr>
          <w:p>
            <w:pPr>
              <w:spacing w:after="0"/>
              <w:rPr>
                <w:sz w:val="10"/>
                <w:szCs w:val="1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583</w:t>
            </w:r>
          </w:p>
        </w:tc>
        <w:tc>
          <w:tcPr>
            <w:tcW w:w="280" w:type="dxa"/>
            <w:vAlign w:val="bottom"/>
          </w:tcPr>
          <w:p>
            <w:pPr>
              <w:spacing w:after="0"/>
              <w:rPr>
                <w:sz w:val="10"/>
                <w:szCs w:val="10"/>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582</w:t>
            </w:r>
          </w:p>
        </w:tc>
      </w:tr>
      <w:tr>
        <w:trPr>
          <w:trHeight w:val="1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Capital Surplus</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636,422</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632,425</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620,578</w:t>
            </w:r>
          </w:p>
        </w:tc>
      </w:tr>
      <w:tr>
        <w:trPr>
          <w:trHeight w:val="126"/>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Accumulated Other Comprehensive Loss</w:t>
            </w:r>
          </w:p>
        </w:tc>
        <w:tc>
          <w:tcPr>
            <w:tcW w:w="16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(396,688 )</w:t>
            </w:r>
          </w:p>
        </w:tc>
        <w:tc>
          <w:tcPr>
            <w:tcW w:w="26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(441,611 )</w:t>
            </w:r>
          </w:p>
        </w:tc>
        <w:tc>
          <w:tcPr>
            <w:tcW w:w="280" w:type="dxa"/>
            <w:vAlign w:val="bottom"/>
          </w:tcPr>
          <w:p>
            <w:pPr>
              <w:spacing w:after="0"/>
              <w:rPr>
                <w:sz w:val="10"/>
                <w:szCs w:val="10"/>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9"/>
                <w:szCs w:val="9"/>
                <w:color w:val="auto"/>
              </w:rPr>
              <w:t>(434,658 )</w:t>
            </w:r>
          </w:p>
        </w:tc>
      </w:tr>
      <w:tr>
        <w:trPr>
          <w:trHeight w:val="134"/>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Retained Earnings</w:t>
            </w:r>
          </w:p>
        </w:tc>
        <w:tc>
          <w:tcPr>
            <w:tcW w:w="1600" w:type="dxa"/>
            <w:vAlign w:val="bottom"/>
            <w:shd w:val="clear" w:color="auto" w:fill="CFF0FC"/>
          </w:tcPr>
          <w:p>
            <w:pPr>
              <w:spacing w:after="0"/>
              <w:rPr>
                <w:sz w:val="11"/>
                <w:szCs w:val="1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2,107,569</w:t>
            </w: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2,108,702</w:t>
            </w:r>
          </w:p>
        </w:tc>
        <w:tc>
          <w:tcPr>
            <w:tcW w:w="28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2,055,912</w:t>
            </w:r>
          </w:p>
        </w:tc>
      </w:tr>
      <w:tr>
        <w:trPr>
          <w:trHeight w:val="126"/>
        </w:trPr>
        <w:tc>
          <w:tcPr>
            <w:tcW w:w="5360" w:type="dxa"/>
            <w:vAlign w:val="bottom"/>
          </w:tcPr>
          <w:p>
            <w:pPr>
              <w:spacing w:after="0"/>
              <w:rPr>
                <w:sz w:val="20"/>
                <w:szCs w:val="20"/>
                <w:color w:val="auto"/>
              </w:rPr>
            </w:pPr>
            <w:r>
              <w:rPr>
                <w:rFonts w:ascii="Times New Roman" w:cs="Times New Roman" w:eastAsia="Times New Roman" w:hAnsi="Times New Roman"/>
                <w:sz w:val="9"/>
                <w:szCs w:val="9"/>
                <w:color w:val="auto"/>
              </w:rPr>
              <w:t>Treasury Stock, at Cost (Shares: December 31, 2023 - 19,002,327; September 30, 2023 - 19,019,120;</w:t>
            </w:r>
          </w:p>
        </w:tc>
        <w:tc>
          <w:tcPr>
            <w:tcW w:w="1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30"/>
        </w:trPr>
        <w:tc>
          <w:tcPr>
            <w:tcW w:w="536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and December 31, 2022 - 18,897,875)</w:t>
            </w:r>
          </w:p>
        </w:tc>
        <w:tc>
          <w:tcPr>
            <w:tcW w:w="1600" w:type="dxa"/>
            <w:vAlign w:val="bottom"/>
            <w:tcBorders>
              <w:bottom w:val="single" w:sz="8" w:color="auto"/>
            </w:tcBorders>
            <w:shd w:val="clear" w:color="auto" w:fill="CFF0FC"/>
          </w:tcPr>
          <w:p>
            <w:pPr>
              <w:spacing w:after="0"/>
              <w:rPr>
                <w:sz w:val="11"/>
                <w:szCs w:val="1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(1,113,644 )</w:t>
            </w:r>
          </w:p>
        </w:tc>
        <w:tc>
          <w:tcPr>
            <w:tcW w:w="26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(1,116,259 )</w:t>
            </w:r>
          </w:p>
        </w:tc>
        <w:tc>
          <w:tcPr>
            <w:tcW w:w="28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(1,105,419 )</w:t>
            </w:r>
          </w:p>
        </w:tc>
      </w:tr>
      <w:tr>
        <w:trPr>
          <w:trHeight w:val="12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Total Shareholders' Equity</w:t>
            </w:r>
          </w:p>
        </w:tc>
        <w:tc>
          <w:tcPr>
            <w:tcW w:w="16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1,414,242</w:t>
            </w: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1,363,840</w:t>
            </w:r>
          </w:p>
        </w:tc>
        <w:tc>
          <w:tcPr>
            <w:tcW w:w="2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1,316,995</w:t>
            </w:r>
          </w:p>
        </w:tc>
      </w:tr>
      <w:tr>
        <w:trPr>
          <w:trHeight w:val="162"/>
        </w:trPr>
        <w:tc>
          <w:tcPr>
            <w:tcW w:w="5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Liabilities and Shareholders' Equity</w:t>
            </w:r>
          </w:p>
        </w:tc>
        <w:tc>
          <w:tcPr>
            <w:tcW w:w="160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23,733,296</w:t>
            </w:r>
          </w:p>
        </w:tc>
        <w:tc>
          <w:tcPr>
            <w:tcW w:w="26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23,549,785</w:t>
            </w:r>
          </w:p>
        </w:tc>
        <w:tc>
          <w:tcPr>
            <w:tcW w:w="280" w:type="dxa"/>
            <w:vAlign w:val="bottom"/>
            <w:tcBorders>
              <w:bottom w:val="single" w:sz="8" w:color="auto"/>
            </w:tcBorders>
            <w:shd w:val="clear" w:color="auto" w:fill="CFF0FC"/>
          </w:tcPr>
          <w:p>
            <w:pPr>
              <w:jc w:val="right"/>
              <w:ind w:right="153"/>
              <w:spacing w:after="0"/>
              <w:rPr>
                <w:sz w:val="20"/>
                <w:szCs w:val="20"/>
                <w:color w:val="auto"/>
              </w:rPr>
            </w:pPr>
            <w:r>
              <w:rPr>
                <w:rFonts w:ascii="Times New Roman" w:cs="Times New Roman" w:eastAsia="Times New Roman" w:hAnsi="Times New Roman"/>
                <w:sz w:val="9"/>
                <w:szCs w:val="9"/>
                <w:color w:val="auto"/>
              </w:rPr>
              <w:t>$</w:t>
            </w:r>
          </w:p>
        </w:tc>
        <w:tc>
          <w:tcPr>
            <w:tcW w:w="13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23,606,877</w:t>
            </w:r>
          </w:p>
        </w:tc>
      </w:tr>
      <w:tr>
        <w:trPr>
          <w:trHeight w:val="1378"/>
        </w:trPr>
        <w:tc>
          <w:tcPr>
            <w:tcW w:w="53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b w:val="1"/>
                <w:bCs w:val="1"/>
                <w:color w:val="auto"/>
              </w:rPr>
              <w:t>Consolidated Statements of Shareholders' Equity</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Table 6</w:t>
            </w:r>
          </w:p>
        </w:tc>
      </w:tr>
      <w:tr>
        <w:trPr>
          <w:trHeight w:val="116"/>
        </w:trPr>
        <w:tc>
          <w:tcPr>
            <w:tcW w:w="28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28"/>
        </w:trPr>
        <w:tc>
          <w:tcPr>
            <w:tcW w:w="2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Other</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2840" w:type="dxa"/>
            <w:vAlign w:val="bottom"/>
          </w:tcPr>
          <w:p>
            <w:pPr>
              <w:spacing w:after="0"/>
              <w:rPr>
                <w:sz w:val="11"/>
                <w:szCs w:val="11"/>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Preferred</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Common</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Comprehensive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2840" w:type="dxa"/>
            <w:vAlign w:val="bottom"/>
          </w:tcPr>
          <w:p>
            <w:pPr>
              <w:spacing w:after="0"/>
              <w:rPr>
                <w:sz w:val="11"/>
                <w:szCs w:val="11"/>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Shares</w:t>
            </w:r>
          </w:p>
        </w:tc>
        <w:tc>
          <w:tcPr>
            <w:tcW w:w="240" w:type="dxa"/>
            <w:vAlign w:val="bottom"/>
          </w:tcPr>
          <w:p>
            <w:pPr>
              <w:spacing w:after="0"/>
              <w:rPr>
                <w:sz w:val="11"/>
                <w:szCs w:val="11"/>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9"/>
                <w:szCs w:val="9"/>
                <w:b w:val="1"/>
                <w:bCs w:val="1"/>
                <w:color w:val="auto"/>
              </w:rPr>
              <w:t>Preferred</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Shares</w:t>
            </w:r>
          </w:p>
        </w:tc>
        <w:tc>
          <w:tcPr>
            <w:tcW w:w="220" w:type="dxa"/>
            <w:vAlign w:val="bottom"/>
          </w:tcPr>
          <w:p>
            <w:pPr>
              <w:spacing w:after="0"/>
              <w:rPr>
                <w:sz w:val="11"/>
                <w:szCs w:val="11"/>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b w:val="1"/>
                <w:bCs w:val="1"/>
                <w:color w:val="auto"/>
              </w:rPr>
              <w:t>Common</w:t>
            </w:r>
          </w:p>
        </w:tc>
        <w:tc>
          <w:tcPr>
            <w:tcW w:w="340" w:type="dxa"/>
            <w:vAlign w:val="bottom"/>
          </w:tcPr>
          <w:p>
            <w:pPr>
              <w:spacing w:after="0"/>
              <w:rPr>
                <w:sz w:val="11"/>
                <w:szCs w:val="11"/>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Capital</w:t>
            </w:r>
          </w:p>
        </w:tc>
        <w:tc>
          <w:tcPr>
            <w:tcW w:w="200" w:type="dxa"/>
            <w:vAlign w:val="bottom"/>
          </w:tcPr>
          <w:p>
            <w:pPr>
              <w:spacing w:after="0"/>
              <w:rPr>
                <w:sz w:val="11"/>
                <w:szCs w:val="11"/>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Income</w:t>
            </w:r>
          </w:p>
        </w:tc>
        <w:tc>
          <w:tcPr>
            <w:tcW w:w="200" w:type="dxa"/>
            <w:vAlign w:val="bottom"/>
          </w:tcPr>
          <w:p>
            <w:pPr>
              <w:spacing w:after="0"/>
              <w:rPr>
                <w:sz w:val="11"/>
                <w:szCs w:val="11"/>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b w:val="1"/>
                <w:bCs w:val="1"/>
                <w:color w:val="auto"/>
              </w:rPr>
              <w:t>Retained</w:t>
            </w:r>
          </w:p>
        </w:tc>
        <w:tc>
          <w:tcPr>
            <w:tcW w:w="200" w:type="dxa"/>
            <w:vAlign w:val="bottom"/>
          </w:tcPr>
          <w:p>
            <w:pPr>
              <w:spacing w:after="0"/>
              <w:rPr>
                <w:sz w:val="11"/>
                <w:szCs w:val="11"/>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Treasury</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4"/>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(dollars in thousands)</w:t>
            </w: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Outstanding</w:t>
            </w: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9"/>
                <w:szCs w:val="9"/>
                <w:b w:val="1"/>
                <w:bCs w:val="1"/>
                <w:color w:val="auto"/>
              </w:rPr>
              <w:t>Stock</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Outstanding</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b w:val="1"/>
                <w:bCs w:val="1"/>
                <w:color w:val="auto"/>
              </w:rPr>
              <w:t>Stock</w:t>
            </w: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Surplus</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(Loss)</w:t>
            </w: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b w:val="1"/>
                <w:bCs w:val="1"/>
                <w:color w:val="auto"/>
              </w:rPr>
              <w:t>Earnings</w:t>
            </w: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Stock</w:t>
            </w: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126"/>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Balance as of December 31, 2021</w:t>
            </w: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180,000</w:t>
            </w:r>
          </w:p>
        </w:tc>
        <w:tc>
          <w:tcPr>
            <w:tcW w:w="2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8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9"/>
                <w:szCs w:val="9"/>
                <w:color w:val="auto"/>
              </w:rPr>
              <w:t>180,000</w:t>
            </w: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40,253,193</w:t>
            </w:r>
          </w:p>
        </w:tc>
        <w:tc>
          <w:tcPr>
            <w:tcW w:w="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581</w:t>
            </w:r>
          </w:p>
        </w:tc>
        <w:tc>
          <w:tcPr>
            <w:tcW w:w="34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602,508</w:t>
            </w:r>
          </w:p>
        </w:tc>
        <w:tc>
          <w:tcPr>
            <w:tcW w:w="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(66,382 )</w:t>
            </w:r>
          </w:p>
        </w:tc>
        <w:tc>
          <w:tcPr>
            <w:tcW w:w="2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1,950,375</w:t>
            </w:r>
          </w:p>
        </w:tc>
        <w:tc>
          <w:tcPr>
            <w:tcW w:w="2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(1,055,471 )</w:t>
            </w:r>
          </w:p>
        </w:tc>
        <w:tc>
          <w:tcPr>
            <w:tcW w:w="2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1,611,611</w:t>
            </w:r>
          </w:p>
        </w:tc>
      </w:tr>
      <w:tr>
        <w:trPr>
          <w:trHeight w:val="126"/>
        </w:trPr>
        <w:tc>
          <w:tcPr>
            <w:tcW w:w="2840" w:type="dxa"/>
            <w:vAlign w:val="bottom"/>
          </w:tcPr>
          <w:p>
            <w:pPr>
              <w:spacing w:after="0"/>
              <w:rPr>
                <w:sz w:val="20"/>
                <w:szCs w:val="20"/>
                <w:color w:val="auto"/>
              </w:rPr>
            </w:pPr>
            <w:r>
              <w:rPr>
                <w:rFonts w:ascii="Times New Roman" w:cs="Times New Roman" w:eastAsia="Times New Roman" w:hAnsi="Times New Roman"/>
                <w:sz w:val="9"/>
                <w:szCs w:val="9"/>
                <w:color w:val="auto"/>
              </w:rPr>
              <w:t>Net Income</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spacing w:after="0"/>
              <w:rPr>
                <w:sz w:val="10"/>
                <w:szCs w:val="10"/>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225,804</w:t>
            </w:r>
          </w:p>
        </w:tc>
        <w:tc>
          <w:tcPr>
            <w:tcW w:w="200" w:type="dxa"/>
            <w:vAlign w:val="bottom"/>
          </w:tcPr>
          <w:p>
            <w:pPr>
              <w:spacing w:after="0"/>
              <w:rPr>
                <w:sz w:val="10"/>
                <w:szCs w:val="10"/>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9"/>
                <w:szCs w:val="9"/>
                <w:color w:val="auto"/>
              </w:rPr>
              <w:t>225,804</w:t>
            </w:r>
          </w:p>
        </w:tc>
      </w:tr>
      <w:tr>
        <w:trPr>
          <w:trHeight w:val="134"/>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Other Comprehensive Loss</w:t>
            </w: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(368,276 )</w:t>
            </w: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(368,276 )</w:t>
            </w:r>
          </w:p>
        </w:tc>
      </w:tr>
      <w:tr>
        <w:trPr>
          <w:trHeight w:val="126"/>
        </w:trPr>
        <w:tc>
          <w:tcPr>
            <w:tcW w:w="2840" w:type="dxa"/>
            <w:vAlign w:val="bottom"/>
          </w:tcPr>
          <w:p>
            <w:pPr>
              <w:spacing w:after="0"/>
              <w:rPr>
                <w:sz w:val="20"/>
                <w:szCs w:val="20"/>
                <w:color w:val="auto"/>
              </w:rPr>
            </w:pPr>
            <w:r>
              <w:rPr>
                <w:rFonts w:ascii="Times New Roman" w:cs="Times New Roman" w:eastAsia="Times New Roman" w:hAnsi="Times New Roman"/>
                <w:sz w:val="9"/>
                <w:szCs w:val="9"/>
                <w:color w:val="auto"/>
              </w:rPr>
              <w:t>Share-Based Compensation</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spacing w:after="0"/>
              <w:rPr>
                <w:sz w:val="10"/>
                <w:szCs w:val="10"/>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16,066</w:t>
            </w:r>
          </w:p>
        </w:tc>
        <w:tc>
          <w:tcPr>
            <w:tcW w:w="200" w:type="dxa"/>
            <w:vAlign w:val="bottom"/>
          </w:tcPr>
          <w:p>
            <w:pPr>
              <w:spacing w:after="0"/>
              <w:rPr>
                <w:sz w:val="10"/>
                <w:szCs w:val="10"/>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9"/>
                <w:szCs w:val="9"/>
                <w:color w:val="auto"/>
              </w:rPr>
              <w:t>16,066</w:t>
            </w:r>
          </w:p>
        </w:tc>
      </w:tr>
      <w:tr>
        <w:trPr>
          <w:trHeight w:val="134"/>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Common Stock Issued under Purchase and Equity</w:t>
            </w:r>
          </w:p>
        </w:tc>
        <w:tc>
          <w:tcPr>
            <w:tcW w:w="1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26"/>
        </w:trPr>
        <w:tc>
          <w:tcPr>
            <w:tcW w:w="2840" w:type="dxa"/>
            <w:vAlign w:val="bottom"/>
          </w:tcPr>
          <w:p>
            <w:pPr>
              <w:ind w:left="180"/>
              <w:spacing w:after="0"/>
              <w:rPr>
                <w:sz w:val="20"/>
                <w:szCs w:val="20"/>
                <w:color w:val="auto"/>
              </w:rPr>
            </w:pPr>
            <w:r>
              <w:rPr>
                <w:rFonts w:ascii="Times New Roman" w:cs="Times New Roman" w:eastAsia="Times New Roman" w:hAnsi="Times New Roman"/>
                <w:sz w:val="9"/>
                <w:szCs w:val="9"/>
                <w:color w:val="auto"/>
              </w:rPr>
              <w:t>Compensation Plans and Related Tax Benefits</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272,007</w:t>
            </w:r>
          </w:p>
        </w:tc>
        <w:tc>
          <w:tcPr>
            <w:tcW w:w="220" w:type="dxa"/>
            <w:vAlign w:val="bottom"/>
          </w:tcPr>
          <w:p>
            <w:pPr>
              <w:spacing w:after="0"/>
              <w:rPr>
                <w:sz w:val="10"/>
                <w:szCs w:val="10"/>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1</w:t>
            </w:r>
          </w:p>
        </w:tc>
        <w:tc>
          <w:tcPr>
            <w:tcW w:w="340" w:type="dxa"/>
            <w:vAlign w:val="bottom"/>
          </w:tcPr>
          <w:p>
            <w:pPr>
              <w:spacing w:after="0"/>
              <w:rPr>
                <w:sz w:val="10"/>
                <w:szCs w:val="10"/>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2,004</w:t>
            </w:r>
          </w:p>
        </w:tc>
        <w:tc>
          <w:tcPr>
            <w:tcW w:w="200" w:type="dxa"/>
            <w:vAlign w:val="bottom"/>
          </w:tcPr>
          <w:p>
            <w:pPr>
              <w:spacing w:after="0"/>
              <w:rPr>
                <w:sz w:val="10"/>
                <w:szCs w:val="10"/>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167</w:t>
            </w:r>
          </w:p>
        </w:tc>
        <w:tc>
          <w:tcPr>
            <w:tcW w:w="200" w:type="dxa"/>
            <w:vAlign w:val="bottom"/>
          </w:tcPr>
          <w:p>
            <w:pPr>
              <w:spacing w:after="0"/>
              <w:rPr>
                <w:sz w:val="10"/>
                <w:szCs w:val="10"/>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5,115</w:t>
            </w:r>
          </w:p>
        </w:tc>
        <w:tc>
          <w:tcPr>
            <w:tcW w:w="200" w:type="dxa"/>
            <w:vAlign w:val="bottom"/>
          </w:tcPr>
          <w:p>
            <w:pPr>
              <w:spacing w:after="0"/>
              <w:rPr>
                <w:sz w:val="10"/>
                <w:szCs w:val="10"/>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9"/>
                <w:szCs w:val="9"/>
                <w:color w:val="auto"/>
              </w:rPr>
              <w:t>7,287</w:t>
            </w:r>
          </w:p>
        </w:tc>
      </w:tr>
      <w:tr>
        <w:trPr>
          <w:trHeight w:val="134"/>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Common Stock Repurchased</w:t>
            </w: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(689,450 )</w:t>
            </w: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(55,063 )</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(55,063 )</w:t>
            </w:r>
          </w:p>
        </w:tc>
      </w:tr>
      <w:tr>
        <w:trPr>
          <w:trHeight w:val="126"/>
        </w:trPr>
        <w:tc>
          <w:tcPr>
            <w:tcW w:w="2840" w:type="dxa"/>
            <w:vAlign w:val="bottom"/>
          </w:tcPr>
          <w:p>
            <w:pPr>
              <w:spacing w:after="0"/>
              <w:rPr>
                <w:sz w:val="20"/>
                <w:szCs w:val="20"/>
                <w:color w:val="auto"/>
              </w:rPr>
            </w:pPr>
            <w:r>
              <w:rPr>
                <w:rFonts w:ascii="Times New Roman" w:cs="Times New Roman" w:eastAsia="Times New Roman" w:hAnsi="Times New Roman"/>
                <w:sz w:val="9"/>
                <w:szCs w:val="9"/>
                <w:color w:val="auto"/>
              </w:rPr>
              <w:t>Cash Dividends Declared Common Stock ($2.80 per share)</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spacing w:after="0"/>
              <w:rPr>
                <w:sz w:val="10"/>
                <w:szCs w:val="10"/>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(112,557 )</w:t>
            </w:r>
          </w:p>
        </w:tc>
        <w:tc>
          <w:tcPr>
            <w:tcW w:w="200" w:type="dxa"/>
            <w:vAlign w:val="bottom"/>
          </w:tcPr>
          <w:p>
            <w:pPr>
              <w:spacing w:after="0"/>
              <w:rPr>
                <w:sz w:val="10"/>
                <w:szCs w:val="10"/>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9"/>
                <w:szCs w:val="9"/>
                <w:color w:val="auto"/>
              </w:rPr>
              <w:t>(112,557 )</w:t>
            </w:r>
          </w:p>
        </w:tc>
      </w:tr>
      <w:tr>
        <w:trPr>
          <w:trHeight w:val="130"/>
        </w:trPr>
        <w:tc>
          <w:tcPr>
            <w:tcW w:w="2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Cash Dividends Declared Preferred Stock</w:t>
            </w:r>
          </w:p>
        </w:tc>
        <w:tc>
          <w:tcPr>
            <w:tcW w:w="11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(7,877 )</w:t>
            </w:r>
          </w:p>
        </w:tc>
        <w:tc>
          <w:tcPr>
            <w:tcW w:w="2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(7,877 )</w:t>
            </w:r>
          </w:p>
        </w:tc>
      </w:tr>
      <w:tr>
        <w:trPr>
          <w:trHeight w:val="123"/>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Balance as of December 31, 2022</w:t>
            </w: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180,000</w:t>
            </w:r>
          </w:p>
        </w:tc>
        <w:tc>
          <w:tcPr>
            <w:tcW w:w="2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9"/>
                <w:szCs w:val="9"/>
                <w:color w:val="auto"/>
              </w:rPr>
              <w:t>180,000</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39,835,750</w:t>
            </w:r>
          </w:p>
        </w:tc>
        <w:tc>
          <w:tcPr>
            <w:tcW w:w="2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color w:val="auto"/>
              </w:rPr>
              <w:t>582</w:t>
            </w:r>
          </w:p>
        </w:tc>
        <w:tc>
          <w:tcPr>
            <w:tcW w:w="3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9"/>
                <w:szCs w:val="9"/>
                <w:color w:val="auto"/>
              </w:rPr>
              <w:t>620,578</w:t>
            </w: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(434,658 )</w:t>
            </w:r>
          </w:p>
        </w:tc>
        <w:tc>
          <w:tcPr>
            <w:tcW w:w="2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color w:val="auto"/>
              </w:rPr>
              <w:t>2,055,912</w:t>
            </w:r>
          </w:p>
        </w:tc>
        <w:tc>
          <w:tcPr>
            <w:tcW w:w="2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(1,105,419 )</w:t>
            </w:r>
          </w:p>
        </w:tc>
        <w:tc>
          <w:tcPr>
            <w:tcW w:w="2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color w:val="auto"/>
              </w:rPr>
              <w:t>1,316,995</w:t>
            </w: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08"/>
        </w:trPr>
        <w:tc>
          <w:tcPr>
            <w:tcW w:w="2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13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Net Income</w:t>
            </w: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8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171,202</w:t>
            </w:r>
          </w:p>
        </w:tc>
        <w:tc>
          <w:tcPr>
            <w:tcW w:w="2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171,202</w:t>
            </w:r>
          </w:p>
        </w:tc>
      </w:tr>
      <w:tr>
        <w:trPr>
          <w:trHeight w:val="126"/>
        </w:trPr>
        <w:tc>
          <w:tcPr>
            <w:tcW w:w="2840" w:type="dxa"/>
            <w:vAlign w:val="bottom"/>
          </w:tcPr>
          <w:p>
            <w:pPr>
              <w:spacing w:after="0"/>
              <w:rPr>
                <w:sz w:val="20"/>
                <w:szCs w:val="20"/>
                <w:color w:val="auto"/>
              </w:rPr>
            </w:pPr>
            <w:r>
              <w:rPr>
                <w:rFonts w:ascii="Times New Roman" w:cs="Times New Roman" w:eastAsia="Times New Roman" w:hAnsi="Times New Roman"/>
                <w:sz w:val="9"/>
                <w:szCs w:val="9"/>
                <w:color w:val="auto"/>
              </w:rPr>
              <w:t>Other Comprehensive Income</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0"/>
                <w:szCs w:val="10"/>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spacing w:after="0"/>
              <w:rPr>
                <w:sz w:val="10"/>
                <w:szCs w:val="10"/>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37,970</w:t>
            </w:r>
          </w:p>
        </w:tc>
        <w:tc>
          <w:tcPr>
            <w:tcW w:w="200" w:type="dxa"/>
            <w:vAlign w:val="bottom"/>
          </w:tcPr>
          <w:p>
            <w:pPr>
              <w:spacing w:after="0"/>
              <w:rPr>
                <w:sz w:val="10"/>
                <w:szCs w:val="10"/>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6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9"/>
                <w:szCs w:val="9"/>
                <w:color w:val="auto"/>
              </w:rPr>
              <w:t>37,970</w:t>
            </w:r>
          </w:p>
        </w:tc>
      </w:tr>
      <w:tr>
        <w:trPr>
          <w:trHeight w:val="134"/>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Share-Based Compensation</w:t>
            </w: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15,656</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15,656</w:t>
            </w:r>
          </w:p>
        </w:tc>
      </w:tr>
      <w:tr>
        <w:trPr>
          <w:trHeight w:val="126"/>
        </w:trPr>
        <w:tc>
          <w:tcPr>
            <w:tcW w:w="2840" w:type="dxa"/>
            <w:vAlign w:val="bottom"/>
          </w:tcPr>
          <w:p>
            <w:pPr>
              <w:spacing w:after="0"/>
              <w:rPr>
                <w:sz w:val="20"/>
                <w:szCs w:val="20"/>
                <w:color w:val="auto"/>
              </w:rPr>
            </w:pPr>
            <w:r>
              <w:rPr>
                <w:rFonts w:ascii="Times New Roman" w:cs="Times New Roman" w:eastAsia="Times New Roman" w:hAnsi="Times New Roman"/>
                <w:sz w:val="9"/>
                <w:szCs w:val="9"/>
                <w:color w:val="auto"/>
              </w:rPr>
              <w:t>Common Stock Issued under Purchase and Equity</w:t>
            </w: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4"/>
        </w:trPr>
        <w:tc>
          <w:tcPr>
            <w:tcW w:w="2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Compensation Plans and Related Tax Benefits</w:t>
            </w: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130,286</w:t>
            </w: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1</w:t>
            </w:r>
          </w:p>
        </w:tc>
        <w:tc>
          <w:tcPr>
            <w:tcW w:w="34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188</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127</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6,065</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6,381</w:t>
            </w:r>
          </w:p>
        </w:tc>
      </w:tr>
      <w:tr>
        <w:trPr>
          <w:trHeight w:val="126"/>
        </w:trPr>
        <w:tc>
          <w:tcPr>
            <w:tcW w:w="2840" w:type="dxa"/>
            <w:vAlign w:val="bottom"/>
          </w:tcPr>
          <w:p>
            <w:pPr>
              <w:spacing w:after="0"/>
              <w:rPr>
                <w:sz w:val="20"/>
                <w:szCs w:val="20"/>
                <w:color w:val="auto"/>
              </w:rPr>
            </w:pPr>
            <w:r>
              <w:rPr>
                <w:rFonts w:ascii="Times New Roman" w:cs="Times New Roman" w:eastAsia="Times New Roman" w:hAnsi="Times New Roman"/>
                <w:sz w:val="9"/>
                <w:szCs w:val="9"/>
                <w:color w:val="auto"/>
              </w:rPr>
              <w:t>Common Stock Repurchased</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0"/>
                <w:szCs w:val="10"/>
                <w:color w:val="auto"/>
              </w:rPr>
            </w:pPr>
          </w:p>
        </w:tc>
        <w:tc>
          <w:tcPr>
            <w:tcW w:w="840" w:type="dxa"/>
            <w:vAlign w:val="bottom"/>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(212,898 )</w:t>
            </w:r>
          </w:p>
        </w:tc>
        <w:tc>
          <w:tcPr>
            <w:tcW w:w="220" w:type="dxa"/>
            <w:vAlign w:val="bottom"/>
          </w:tcPr>
          <w:p>
            <w:pPr>
              <w:spacing w:after="0"/>
              <w:rPr>
                <w:sz w:val="10"/>
                <w:szCs w:val="10"/>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spacing w:after="0"/>
              <w:rPr>
                <w:sz w:val="10"/>
                <w:szCs w:val="10"/>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(14,290 )</w:t>
            </w:r>
          </w:p>
        </w:tc>
        <w:tc>
          <w:tcPr>
            <w:tcW w:w="200" w:type="dxa"/>
            <w:vAlign w:val="bottom"/>
          </w:tcPr>
          <w:p>
            <w:pPr>
              <w:spacing w:after="0"/>
              <w:rPr>
                <w:sz w:val="10"/>
                <w:szCs w:val="10"/>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9"/>
                <w:szCs w:val="9"/>
                <w:color w:val="auto"/>
              </w:rPr>
              <w:t>(14,290 )</w:t>
            </w:r>
          </w:p>
        </w:tc>
      </w:tr>
      <w:tr>
        <w:trPr>
          <w:trHeight w:val="134"/>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Cash Dividends Declared Common Stock ($2.80 per share)</w:t>
            </w: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(111,795 )</w:t>
            </w: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(111,795 )</w:t>
            </w:r>
          </w:p>
        </w:tc>
      </w:tr>
      <w:tr>
        <w:trPr>
          <w:trHeight w:val="126"/>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Cash Dividends Declared Preferred Stock</w:t>
            </w:r>
          </w:p>
        </w:tc>
        <w:tc>
          <w:tcPr>
            <w:tcW w:w="1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9"/>
                <w:szCs w:val="9"/>
                <w:color w:val="auto"/>
              </w:rPr>
              <w:t>-</w:t>
            </w:r>
          </w:p>
        </w:tc>
        <w:tc>
          <w:tcPr>
            <w:tcW w:w="8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(7,877 )</w:t>
            </w: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9"/>
                <w:szCs w:val="9"/>
                <w:color w:val="auto"/>
              </w:rPr>
              <w:t>(7,877 )</w:t>
            </w:r>
          </w:p>
        </w:tc>
      </w:tr>
      <w:tr>
        <w:trPr>
          <w:trHeight w:val="163"/>
        </w:trPr>
        <w:tc>
          <w:tcPr>
            <w:tcW w:w="2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Balance as of December 31, 2023</w:t>
            </w:r>
          </w:p>
        </w:tc>
        <w:tc>
          <w:tcPr>
            <w:tcW w:w="11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180,000</w:t>
            </w:r>
          </w:p>
        </w:tc>
        <w:tc>
          <w:tcPr>
            <w:tcW w:w="24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rPr>
              <w:t>$</w:t>
            </w:r>
          </w:p>
        </w:tc>
        <w:tc>
          <w:tcPr>
            <w:tcW w:w="840" w:type="dxa"/>
            <w:vAlign w:val="bottom"/>
            <w:tcBorders>
              <w:bottom w:val="single" w:sz="8" w:color="auto"/>
            </w:tcBorders>
            <w:shd w:val="clear" w:color="auto" w:fill="CFF0FC"/>
          </w:tcPr>
          <w:p>
            <w:pPr>
              <w:jc w:val="right"/>
              <w:ind w:right="213"/>
              <w:spacing w:after="0"/>
              <w:rPr>
                <w:sz w:val="20"/>
                <w:szCs w:val="20"/>
                <w:color w:val="auto"/>
              </w:rPr>
            </w:pPr>
            <w:r>
              <w:rPr>
                <w:rFonts w:ascii="Times New Roman" w:cs="Times New Roman" w:eastAsia="Times New Roman" w:hAnsi="Times New Roman"/>
                <w:sz w:val="9"/>
                <w:szCs w:val="9"/>
                <w:color w:val="auto"/>
              </w:rPr>
              <w:t>180,000</w:t>
            </w: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39,753,138</w:t>
            </w:r>
          </w:p>
        </w:tc>
        <w:tc>
          <w:tcPr>
            <w:tcW w:w="2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583</w:t>
            </w:r>
          </w:p>
        </w:tc>
        <w:tc>
          <w:tcPr>
            <w:tcW w:w="340" w:type="dxa"/>
            <w:vAlign w:val="bottom"/>
            <w:tcBorders>
              <w:bottom w:val="single" w:sz="8" w:color="auto"/>
            </w:tcBorders>
            <w:shd w:val="clear" w:color="auto" w:fill="CFF0FC"/>
          </w:tcPr>
          <w:p>
            <w:pPr>
              <w:jc w:val="right"/>
              <w:ind w:right="193"/>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636,422</w:t>
            </w:r>
          </w:p>
        </w:tc>
        <w:tc>
          <w:tcPr>
            <w:tcW w:w="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(396,688 )</w:t>
            </w:r>
          </w:p>
        </w:tc>
        <w:tc>
          <w:tcPr>
            <w:tcW w:w="2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2,107,569</w:t>
            </w:r>
          </w:p>
        </w:tc>
        <w:tc>
          <w:tcPr>
            <w:tcW w:w="2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(1,113,644 )</w:t>
            </w:r>
          </w:p>
        </w:tc>
        <w:tc>
          <w:tcPr>
            <w:tcW w:w="2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74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1,414,242</w:t>
            </w:r>
          </w:p>
        </w:tc>
      </w:tr>
      <w:tr>
        <w:trPr>
          <w:trHeight w:val="1378"/>
        </w:trPr>
        <w:tc>
          <w:tcPr>
            <w:tcW w:w="28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53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7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9"/>
                <w:szCs w:val="19"/>
                <w:b w:val="1"/>
                <w:bCs w:val="1"/>
                <w:color w:val="auto"/>
              </w:rPr>
              <w:t xml:space="preserve">Average Balances and Interest Rates - Taxable-Equivalent Basis </w:t>
            </w:r>
            <w:r>
              <w:rPr>
                <w:rFonts w:ascii="Times New Roman" w:cs="Times New Roman" w:eastAsia="Times New Roman" w:hAnsi="Times New Roman"/>
                <w:sz w:val="21"/>
                <w:szCs w:val="21"/>
                <w:b w:val="1"/>
                <w:bCs w:val="1"/>
                <w:color w:val="auto"/>
                <w:vertAlign w:val="superscript"/>
              </w:rPr>
              <w:t>1</w:t>
            </w:r>
          </w:p>
        </w:tc>
        <w:tc>
          <w:tcPr>
            <w:tcW w:w="1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Table 7a</w:t>
            </w:r>
          </w:p>
        </w:tc>
      </w:tr>
      <w:tr>
        <w:trPr>
          <w:trHeight w:val="124"/>
        </w:trPr>
        <w:tc>
          <w:tcPr>
            <w:tcW w:w="3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3"/>
          </w:tcPr>
          <w:p>
            <w:pPr>
              <w:jc w:val="right"/>
              <w:ind w:right="253"/>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3"/>
          </w:tcPr>
          <w:p>
            <w:pPr>
              <w:jc w:val="right"/>
              <w:ind w:right="233"/>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3"/>
          </w:tcPr>
          <w:p>
            <w:pPr>
              <w:jc w:val="right"/>
              <w:ind w:right="233"/>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32"/>
        </w:trPr>
        <w:tc>
          <w:tcPr>
            <w:tcW w:w="3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December 31, 2023</w:t>
            </w: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9"/>
                <w:szCs w:val="9"/>
                <w:b w:val="1"/>
                <w:bCs w:val="1"/>
                <w:color w:val="auto"/>
              </w:rPr>
              <w:t>September 30, 2023</w:t>
            </w: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9"/>
                <w:szCs w:val="9"/>
                <w:b w:val="1"/>
                <w:bCs w:val="1"/>
                <w:color w:val="auto"/>
              </w:rPr>
              <w:t>December 31, 2022</w:t>
            </w: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08"/>
        </w:trPr>
        <w:tc>
          <w:tcPr>
            <w:tcW w:w="3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9"/>
                <w:szCs w:val="9"/>
                <w:b w:val="1"/>
                <w:bCs w:val="1"/>
                <w:color w:val="auto"/>
              </w:rPr>
              <w:t>Average</w:t>
            </w: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Income /</w:t>
            </w:r>
          </w:p>
        </w:tc>
        <w:tc>
          <w:tcPr>
            <w:tcW w:w="340" w:type="dxa"/>
            <w:vAlign w:val="bottom"/>
          </w:tcPr>
          <w:p>
            <w:pPr>
              <w:spacing w:after="0"/>
              <w:rPr>
                <w:sz w:val="9"/>
                <w:szCs w:val="9"/>
                <w:color w:val="auto"/>
              </w:rPr>
            </w:pPr>
          </w:p>
        </w:tc>
        <w:tc>
          <w:tcPr>
            <w:tcW w:w="62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Yield /</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9"/>
                <w:szCs w:val="9"/>
                <w:b w:val="1"/>
                <w:bCs w:val="1"/>
                <w:color w:val="auto"/>
              </w:rPr>
              <w:t>Average</w:t>
            </w:r>
          </w:p>
        </w:tc>
        <w:tc>
          <w:tcPr>
            <w:tcW w:w="140" w:type="dxa"/>
            <w:vAlign w:val="bottom"/>
          </w:tcPr>
          <w:p>
            <w:pPr>
              <w:spacing w:after="0"/>
              <w:rPr>
                <w:sz w:val="9"/>
                <w:szCs w:val="9"/>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9"/>
                <w:szCs w:val="9"/>
                <w:b w:val="1"/>
                <w:bCs w:val="1"/>
                <w:color w:val="auto"/>
              </w:rPr>
              <w:t>Income /</w:t>
            </w:r>
          </w:p>
        </w:tc>
        <w:tc>
          <w:tcPr>
            <w:tcW w:w="580" w:type="dxa"/>
            <w:vAlign w:val="bottom"/>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Yield /</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right"/>
              <w:ind w:right="333"/>
              <w:spacing w:after="0"/>
              <w:rPr>
                <w:sz w:val="20"/>
                <w:szCs w:val="20"/>
                <w:color w:val="auto"/>
              </w:rPr>
            </w:pPr>
            <w:r>
              <w:rPr>
                <w:rFonts w:ascii="Times New Roman" w:cs="Times New Roman" w:eastAsia="Times New Roman" w:hAnsi="Times New Roman"/>
                <w:sz w:val="9"/>
                <w:szCs w:val="9"/>
                <w:b w:val="1"/>
                <w:bCs w:val="1"/>
                <w:color w:val="auto"/>
              </w:rPr>
              <w:t>Average</w:t>
            </w:r>
          </w:p>
        </w:tc>
        <w:tc>
          <w:tcPr>
            <w:tcW w:w="120" w:type="dxa"/>
            <w:vAlign w:val="bottom"/>
          </w:tcPr>
          <w:p>
            <w:pPr>
              <w:spacing w:after="0"/>
              <w:rPr>
                <w:sz w:val="9"/>
                <w:szCs w:val="9"/>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9"/>
                <w:szCs w:val="9"/>
                <w:b w:val="1"/>
                <w:bCs w:val="1"/>
                <w:color w:val="auto"/>
              </w:rPr>
              <w:t>Income /</w:t>
            </w:r>
          </w:p>
        </w:tc>
        <w:tc>
          <w:tcPr>
            <w:tcW w:w="580" w:type="dxa"/>
            <w:vAlign w:val="bottom"/>
          </w:tcPr>
          <w:p>
            <w:pPr>
              <w:jc w:val="right"/>
              <w:ind w:right="172"/>
              <w:spacing w:after="0"/>
              <w:rPr>
                <w:sz w:val="20"/>
                <w:szCs w:val="20"/>
                <w:color w:val="auto"/>
              </w:rPr>
            </w:pPr>
            <w:r>
              <w:rPr>
                <w:rFonts w:ascii="Times New Roman" w:cs="Times New Roman" w:eastAsia="Times New Roman" w:hAnsi="Times New Roman"/>
                <w:sz w:val="9"/>
                <w:szCs w:val="9"/>
                <w:b w:val="1"/>
                <w:bCs w:val="1"/>
                <w:color w:val="auto"/>
              </w:rPr>
              <w:t>Yield /</w:t>
            </w:r>
          </w:p>
        </w:tc>
        <w:tc>
          <w:tcPr>
            <w:tcW w:w="200" w:type="dxa"/>
            <w:vAlign w:val="bottom"/>
          </w:tcPr>
          <w:p>
            <w:pPr>
              <w:spacing w:after="0"/>
              <w:rPr>
                <w:sz w:val="9"/>
                <w:szCs w:val="9"/>
                <w:color w:val="auto"/>
              </w:rPr>
            </w:pPr>
          </w:p>
        </w:tc>
      </w:tr>
      <w:tr>
        <w:trPr>
          <w:trHeight w:val="16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(dollars in millions)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9"/>
                <w:szCs w:val="9"/>
                <w:b w:val="1"/>
                <w:bCs w:val="1"/>
                <w:color w:val="auto"/>
              </w:rPr>
              <w:t>Balance</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 xml:space="preserve">Expense </w:t>
            </w:r>
            <w:r>
              <w:rPr>
                <w:rFonts w:ascii="Times New Roman" w:cs="Times New Roman" w:eastAsia="Times New Roman" w:hAnsi="Times New Roman"/>
                <w:sz w:val="12"/>
                <w:szCs w:val="12"/>
                <w:b w:val="1"/>
                <w:bCs w:val="1"/>
                <w:color w:val="auto"/>
                <w:vertAlign w:val="superscript"/>
              </w:rPr>
              <w:t>2</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9"/>
                <w:szCs w:val="9"/>
                <w:b w:val="1"/>
                <w:bCs w:val="1"/>
                <w:color w:val="auto"/>
              </w:rPr>
              <w:t>Rate</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9"/>
                <w:szCs w:val="9"/>
                <w:b w:val="1"/>
                <w:bCs w:val="1"/>
                <w:color w:val="auto"/>
              </w:rPr>
              <w:t>Balance</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9"/>
                <w:szCs w:val="9"/>
                <w:b w:val="1"/>
                <w:bCs w:val="1"/>
                <w:color w:val="auto"/>
              </w:rPr>
              <w:t xml:space="preserve">Expense </w:t>
            </w:r>
            <w:r>
              <w:rPr>
                <w:rFonts w:ascii="Times New Roman" w:cs="Times New Roman" w:eastAsia="Times New Roman" w:hAnsi="Times New Roman"/>
                <w:sz w:val="12"/>
                <w:szCs w:val="12"/>
                <w:b w:val="1"/>
                <w:bCs w:val="1"/>
                <w:color w:val="auto"/>
                <w:vertAlign w:val="superscript"/>
              </w:rPr>
              <w:t>2</w:t>
            </w:r>
          </w:p>
        </w:tc>
        <w:tc>
          <w:tcPr>
            <w:tcW w:w="5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Rate</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9"/>
                <w:szCs w:val="9"/>
                <w:b w:val="1"/>
                <w:bCs w:val="1"/>
                <w:color w:val="auto"/>
              </w:rPr>
              <w:t>Balance</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9"/>
                <w:szCs w:val="9"/>
                <w:b w:val="1"/>
                <w:bCs w:val="1"/>
                <w:color w:val="auto"/>
              </w:rPr>
              <w:t xml:space="preserve">Expense </w:t>
            </w:r>
            <w:r>
              <w:rPr>
                <w:rFonts w:ascii="Times New Roman" w:cs="Times New Roman" w:eastAsia="Times New Roman" w:hAnsi="Times New Roman"/>
                <w:sz w:val="12"/>
                <w:szCs w:val="12"/>
                <w:b w:val="1"/>
                <w:bCs w:val="1"/>
                <w:color w:val="auto"/>
                <w:vertAlign w:val="superscript"/>
              </w:rPr>
              <w:t>2</w:t>
            </w:r>
          </w:p>
        </w:tc>
        <w:tc>
          <w:tcPr>
            <w:tcW w:w="5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9"/>
                <w:szCs w:val="9"/>
                <w:b w:val="1"/>
                <w:bCs w:val="1"/>
                <w:color w:val="auto"/>
              </w:rPr>
              <w:t>Rate</w:t>
            </w:r>
          </w:p>
        </w:tc>
        <w:tc>
          <w:tcPr>
            <w:tcW w:w="200" w:type="dxa"/>
            <w:vAlign w:val="bottom"/>
            <w:tcBorders>
              <w:bottom w:val="single" w:sz="8" w:color="auto"/>
            </w:tcBorders>
          </w:tcPr>
          <w:p>
            <w:pPr>
              <w:spacing w:after="0"/>
              <w:rPr>
                <w:sz w:val="14"/>
                <w:szCs w:val="14"/>
                <w:color w:val="auto"/>
              </w:rPr>
            </w:pPr>
          </w:p>
        </w:tc>
      </w:tr>
      <w:tr>
        <w:trPr>
          <w:trHeight w:val="13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Earning Assets</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r>
      <w:tr>
        <w:trPr>
          <w:trHeight w:val="126"/>
        </w:trPr>
        <w:tc>
          <w:tcPr>
            <w:tcW w:w="3180" w:type="dxa"/>
            <w:vAlign w:val="bottom"/>
          </w:tcPr>
          <w:p>
            <w:pPr>
              <w:spacing w:after="0"/>
              <w:rPr>
                <w:sz w:val="20"/>
                <w:szCs w:val="20"/>
                <w:color w:val="auto"/>
              </w:rPr>
            </w:pPr>
            <w:r>
              <w:rPr>
                <w:rFonts w:ascii="Times New Roman" w:cs="Times New Roman" w:eastAsia="Times New Roman" w:hAnsi="Times New Roman"/>
                <w:sz w:val="9"/>
                <w:szCs w:val="9"/>
                <w:color w:val="auto"/>
              </w:rPr>
              <w:t>Interest-Bearing Deposits in Other Banks</w:t>
            </w:r>
          </w:p>
        </w:tc>
        <w:tc>
          <w:tcPr>
            <w:tcW w:w="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4.3</w:t>
            </w:r>
          </w:p>
        </w:tc>
        <w:tc>
          <w:tcPr>
            <w:tcW w:w="620" w:type="dxa"/>
            <w:vAlign w:val="bottom"/>
          </w:tcPr>
          <w:p>
            <w:pPr>
              <w:jc w:val="right"/>
              <w:ind w:right="513"/>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2.08</w:t>
            </w:r>
          </w:p>
        </w:tc>
        <w:tc>
          <w:tcPr>
            <w:tcW w:w="18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w w:val="79"/>
              </w:rPr>
              <w:t>%</w:t>
            </w:r>
          </w:p>
        </w:tc>
        <w:tc>
          <w:tcPr>
            <w:tcW w:w="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2.9</w:t>
            </w:r>
          </w:p>
        </w:tc>
        <w:tc>
          <w:tcPr>
            <w:tcW w:w="14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w w:val="87"/>
              </w:rPr>
              <w:t>$</w:t>
            </w: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2.40</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2.2</w:t>
            </w:r>
          </w:p>
        </w:tc>
        <w:tc>
          <w:tcPr>
            <w:tcW w:w="120" w:type="dxa"/>
            <w:vAlign w:val="bottom"/>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2.32</w:t>
            </w:r>
          </w:p>
        </w:tc>
        <w:tc>
          <w:tcPr>
            <w:tcW w:w="2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w w:val="79"/>
              </w:rPr>
              <w:t>%</w:t>
            </w:r>
          </w:p>
        </w:tc>
      </w:tr>
      <w:tr>
        <w:trPr>
          <w:trHeight w:val="134"/>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Funds Sold</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415.0</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5.7</w:t>
            </w:r>
          </w:p>
        </w:tc>
        <w:tc>
          <w:tcPr>
            <w:tcW w:w="6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5.38</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944.8</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12.8</w:t>
            </w:r>
          </w:p>
        </w:tc>
        <w:tc>
          <w:tcPr>
            <w:tcW w:w="5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5.31</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118.1</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1.2</w:t>
            </w:r>
          </w:p>
        </w:tc>
        <w:tc>
          <w:tcPr>
            <w:tcW w:w="5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3.62</w:t>
            </w:r>
          </w:p>
        </w:tc>
        <w:tc>
          <w:tcPr>
            <w:tcW w:w="200" w:type="dxa"/>
            <w:vAlign w:val="bottom"/>
            <w:shd w:val="clear" w:color="auto" w:fill="CFF0FC"/>
          </w:tcPr>
          <w:p>
            <w:pPr>
              <w:spacing w:after="0"/>
              <w:rPr>
                <w:sz w:val="11"/>
                <w:szCs w:val="11"/>
                <w:color w:val="auto"/>
              </w:rPr>
            </w:pPr>
          </w:p>
        </w:tc>
      </w:tr>
      <w:tr>
        <w:trPr>
          <w:trHeight w:val="126"/>
        </w:trPr>
        <w:tc>
          <w:tcPr>
            <w:tcW w:w="3180" w:type="dxa"/>
            <w:vAlign w:val="bottom"/>
          </w:tcPr>
          <w:p>
            <w:pPr>
              <w:spacing w:after="0"/>
              <w:rPr>
                <w:sz w:val="20"/>
                <w:szCs w:val="20"/>
                <w:color w:val="auto"/>
              </w:rPr>
            </w:pPr>
            <w:r>
              <w:rPr>
                <w:rFonts w:ascii="Times New Roman" w:cs="Times New Roman" w:eastAsia="Times New Roman" w:hAnsi="Times New Roman"/>
                <w:sz w:val="9"/>
                <w:szCs w:val="9"/>
                <w:color w:val="auto"/>
              </w:rPr>
              <w:t>Investment Securities</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34"/>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Available-for-Sale</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r>
      <w:tr>
        <w:trPr>
          <w:trHeight w:val="126"/>
        </w:trPr>
        <w:tc>
          <w:tcPr>
            <w:tcW w:w="3180" w:type="dxa"/>
            <w:vAlign w:val="bottom"/>
          </w:tcPr>
          <w:p>
            <w:pPr>
              <w:ind w:left="180"/>
              <w:spacing w:after="0"/>
              <w:rPr>
                <w:sz w:val="20"/>
                <w:szCs w:val="20"/>
                <w:color w:val="auto"/>
              </w:rPr>
            </w:pPr>
            <w:r>
              <w:rPr>
                <w:rFonts w:ascii="Times New Roman" w:cs="Times New Roman" w:eastAsia="Times New Roman" w:hAnsi="Times New Roman"/>
                <w:sz w:val="9"/>
                <w:szCs w:val="9"/>
                <w:color w:val="auto"/>
              </w:rPr>
              <w:t>Taxable</w:t>
            </w:r>
          </w:p>
        </w:tc>
        <w:tc>
          <w:tcPr>
            <w:tcW w:w="18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2,362.4</w:t>
            </w:r>
          </w:p>
        </w:tc>
        <w:tc>
          <w:tcPr>
            <w:tcW w:w="620" w:type="dxa"/>
            <w:vAlign w:val="bottom"/>
          </w:tcPr>
          <w:p>
            <w:pPr>
              <w:spacing w:after="0"/>
              <w:rPr>
                <w:sz w:val="10"/>
                <w:szCs w:val="10"/>
                <w:color w:val="auto"/>
              </w:rPr>
            </w:pP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22.8</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3.84</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2,605.4</w:t>
            </w:r>
          </w:p>
        </w:tc>
        <w:tc>
          <w:tcPr>
            <w:tcW w:w="140" w:type="dxa"/>
            <w:vAlign w:val="bottom"/>
          </w:tcPr>
          <w:p>
            <w:pPr>
              <w:spacing w:after="0"/>
              <w:rPr>
                <w:sz w:val="10"/>
                <w:szCs w:val="10"/>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23.5</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3.60</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2,593.5</w:t>
            </w:r>
          </w:p>
        </w:tc>
        <w:tc>
          <w:tcPr>
            <w:tcW w:w="12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18.4</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2.83</w:t>
            </w:r>
          </w:p>
        </w:tc>
        <w:tc>
          <w:tcPr>
            <w:tcW w:w="200" w:type="dxa"/>
            <w:vAlign w:val="bottom"/>
          </w:tcPr>
          <w:p>
            <w:pPr>
              <w:spacing w:after="0"/>
              <w:rPr>
                <w:sz w:val="10"/>
                <w:szCs w:val="10"/>
                <w:color w:val="auto"/>
              </w:rPr>
            </w:pPr>
          </w:p>
        </w:tc>
      </w:tr>
      <w:tr>
        <w:trPr>
          <w:trHeight w:val="134"/>
        </w:trPr>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Non-Taxable</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1.8</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1.90</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3.5</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3.21</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7.5</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0.1</w:t>
            </w:r>
          </w:p>
        </w:tc>
        <w:tc>
          <w:tcPr>
            <w:tcW w:w="5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4.14</w:t>
            </w:r>
          </w:p>
        </w:tc>
        <w:tc>
          <w:tcPr>
            <w:tcW w:w="200" w:type="dxa"/>
            <w:vAlign w:val="bottom"/>
            <w:shd w:val="clear" w:color="auto" w:fill="CFF0FC"/>
          </w:tcPr>
          <w:p>
            <w:pPr>
              <w:spacing w:after="0"/>
              <w:rPr>
                <w:sz w:val="11"/>
                <w:szCs w:val="11"/>
                <w:color w:val="auto"/>
              </w:rPr>
            </w:pPr>
          </w:p>
        </w:tc>
      </w:tr>
      <w:tr>
        <w:trPr>
          <w:trHeight w:val="126"/>
        </w:trPr>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Held-to-Maturity</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34"/>
        </w:trPr>
        <w:tc>
          <w:tcPr>
            <w:tcW w:w="3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Taxable</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5,013.6</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22.4</w:t>
            </w:r>
          </w:p>
        </w:tc>
        <w:tc>
          <w:tcPr>
            <w:tcW w:w="6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1.79</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5,118.6</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22.7</w:t>
            </w:r>
          </w:p>
        </w:tc>
        <w:tc>
          <w:tcPr>
            <w:tcW w:w="5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1.77</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5,401.9</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23.5</w:t>
            </w:r>
          </w:p>
        </w:tc>
        <w:tc>
          <w:tcPr>
            <w:tcW w:w="5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1.74</w:t>
            </w:r>
          </w:p>
        </w:tc>
        <w:tc>
          <w:tcPr>
            <w:tcW w:w="200" w:type="dxa"/>
            <w:vAlign w:val="bottom"/>
            <w:shd w:val="clear" w:color="auto" w:fill="CFF0FC"/>
          </w:tcPr>
          <w:p>
            <w:pPr>
              <w:spacing w:after="0"/>
              <w:rPr>
                <w:sz w:val="11"/>
                <w:szCs w:val="11"/>
                <w:color w:val="auto"/>
              </w:rPr>
            </w:pPr>
          </w:p>
        </w:tc>
      </w:tr>
      <w:tr>
        <w:trPr>
          <w:trHeight w:val="126"/>
        </w:trPr>
        <w:tc>
          <w:tcPr>
            <w:tcW w:w="3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9"/>
                <w:szCs w:val="9"/>
                <w:color w:val="auto"/>
              </w:rPr>
              <w:t>Non-Taxable</w:t>
            </w: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34.9</w:t>
            </w: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0.2</w:t>
            </w:r>
          </w:p>
        </w:tc>
        <w:tc>
          <w:tcPr>
            <w:tcW w:w="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2.10</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35.0</w:t>
            </w: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0.2</w:t>
            </w:r>
          </w:p>
        </w:tc>
        <w:tc>
          <w:tcPr>
            <w:tcW w:w="5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2.10</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35.4</w:t>
            </w: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0.2</w:t>
            </w:r>
          </w:p>
        </w:tc>
        <w:tc>
          <w:tcPr>
            <w:tcW w:w="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2.10</w:t>
            </w:r>
          </w:p>
        </w:tc>
        <w:tc>
          <w:tcPr>
            <w:tcW w:w="200" w:type="dxa"/>
            <w:vAlign w:val="bottom"/>
            <w:tcBorders>
              <w:bottom w:val="single" w:sz="8" w:color="auto"/>
            </w:tcBorders>
          </w:tcPr>
          <w:p>
            <w:pPr>
              <w:spacing w:after="0"/>
              <w:rPr>
                <w:sz w:val="10"/>
                <w:szCs w:val="10"/>
                <w:color w:val="auto"/>
              </w:rPr>
            </w:pPr>
          </w:p>
        </w:tc>
      </w:tr>
      <w:tr>
        <w:trPr>
          <w:trHeight w:val="122"/>
        </w:trPr>
        <w:tc>
          <w:tcPr>
            <w:tcW w:w="3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Investment Securities</w:t>
            </w:r>
          </w:p>
        </w:tc>
        <w:tc>
          <w:tcPr>
            <w:tcW w:w="18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7,412.7</w:t>
            </w:r>
          </w:p>
        </w:tc>
        <w:tc>
          <w:tcPr>
            <w:tcW w:w="62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45.4</w:t>
            </w:r>
          </w:p>
        </w:tc>
        <w:tc>
          <w:tcPr>
            <w:tcW w:w="6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2.45</w:t>
            </w:r>
          </w:p>
        </w:tc>
        <w:tc>
          <w:tcPr>
            <w:tcW w:w="18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7,762.5</w:t>
            </w:r>
          </w:p>
        </w:tc>
        <w:tc>
          <w:tcPr>
            <w:tcW w:w="14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46.4</w:t>
            </w:r>
          </w:p>
        </w:tc>
        <w:tc>
          <w:tcPr>
            <w:tcW w:w="5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2.39</w:t>
            </w:r>
          </w:p>
        </w:tc>
        <w:tc>
          <w:tcPr>
            <w:tcW w:w="18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8,038.3</w:t>
            </w:r>
          </w:p>
        </w:tc>
        <w:tc>
          <w:tcPr>
            <w:tcW w:w="12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42.2</w:t>
            </w:r>
          </w:p>
        </w:tc>
        <w:tc>
          <w:tcPr>
            <w:tcW w:w="5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2.10</w:t>
            </w:r>
          </w:p>
        </w:tc>
        <w:tc>
          <w:tcPr>
            <w:tcW w:w="200" w:type="dxa"/>
            <w:vAlign w:val="bottom"/>
            <w:tcBorders>
              <w:bottom w:val="single" w:sz="8" w:color="auto"/>
            </w:tcBorders>
            <w:shd w:val="clear" w:color="auto" w:fill="CFF0FC"/>
          </w:tcPr>
          <w:p>
            <w:pPr>
              <w:spacing w:after="0"/>
              <w:rPr>
                <w:sz w:val="10"/>
                <w:szCs w:val="10"/>
                <w:color w:val="auto"/>
              </w:rPr>
            </w:pPr>
          </w:p>
        </w:tc>
      </w:tr>
      <w:tr>
        <w:trPr>
          <w:trHeight w:val="122"/>
        </w:trPr>
        <w:tc>
          <w:tcPr>
            <w:tcW w:w="3180" w:type="dxa"/>
            <w:vAlign w:val="bottom"/>
          </w:tcPr>
          <w:p>
            <w:pPr>
              <w:spacing w:after="0"/>
              <w:rPr>
                <w:sz w:val="20"/>
                <w:szCs w:val="20"/>
                <w:color w:val="auto"/>
              </w:rPr>
            </w:pPr>
            <w:r>
              <w:rPr>
                <w:rFonts w:ascii="Times New Roman" w:cs="Times New Roman" w:eastAsia="Times New Roman" w:hAnsi="Times New Roman"/>
                <w:sz w:val="9"/>
                <w:szCs w:val="9"/>
                <w:color w:val="auto"/>
              </w:rPr>
              <w:t>Loans Held for Sale</w:t>
            </w:r>
          </w:p>
        </w:tc>
        <w:tc>
          <w:tcPr>
            <w:tcW w:w="18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3.8</w:t>
            </w:r>
          </w:p>
        </w:tc>
        <w:tc>
          <w:tcPr>
            <w:tcW w:w="620" w:type="dxa"/>
            <w:vAlign w:val="bottom"/>
          </w:tcPr>
          <w:p>
            <w:pPr>
              <w:spacing w:after="0"/>
              <w:rPr>
                <w:sz w:val="10"/>
                <w:szCs w:val="10"/>
                <w:color w:val="auto"/>
              </w:rPr>
            </w:pP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0.1</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6.89</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3.8</w:t>
            </w:r>
          </w:p>
        </w:tc>
        <w:tc>
          <w:tcPr>
            <w:tcW w:w="140" w:type="dxa"/>
            <w:vAlign w:val="bottom"/>
          </w:tcPr>
          <w:p>
            <w:pPr>
              <w:spacing w:after="0"/>
              <w:rPr>
                <w:sz w:val="10"/>
                <w:szCs w:val="10"/>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0.1</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6.28</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3.3</w:t>
            </w:r>
          </w:p>
        </w:tc>
        <w:tc>
          <w:tcPr>
            <w:tcW w:w="12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5.65</w:t>
            </w:r>
          </w:p>
        </w:tc>
        <w:tc>
          <w:tcPr>
            <w:tcW w:w="200" w:type="dxa"/>
            <w:vAlign w:val="bottom"/>
          </w:tcPr>
          <w:p>
            <w:pPr>
              <w:spacing w:after="0"/>
              <w:rPr>
                <w:sz w:val="10"/>
                <w:szCs w:val="10"/>
                <w:color w:val="auto"/>
              </w:rPr>
            </w:pPr>
          </w:p>
        </w:tc>
      </w:tr>
      <w:tr>
        <w:trPr>
          <w:trHeight w:val="134"/>
        </w:trPr>
        <w:tc>
          <w:tcPr>
            <w:tcW w:w="318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9"/>
                <w:szCs w:val="9"/>
                <w:color w:val="auto"/>
              </w:rPr>
              <w:t xml:space="preserve">Loans and Leases </w:t>
            </w:r>
            <w:r>
              <w:rPr>
                <w:rFonts w:ascii="Times New Roman" w:cs="Times New Roman" w:eastAsia="Times New Roman" w:hAnsi="Times New Roman"/>
                <w:sz w:val="12"/>
                <w:szCs w:val="12"/>
                <w:color w:val="auto"/>
                <w:vertAlign w:val="superscript"/>
              </w:rPr>
              <w:t>3</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r>
      <w:tr>
        <w:trPr>
          <w:trHeight w:val="126"/>
        </w:trPr>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Commercial and Industrial</w:t>
            </w:r>
          </w:p>
        </w:tc>
        <w:tc>
          <w:tcPr>
            <w:tcW w:w="18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1,603.5</w:t>
            </w:r>
          </w:p>
        </w:tc>
        <w:tc>
          <w:tcPr>
            <w:tcW w:w="620" w:type="dxa"/>
            <w:vAlign w:val="bottom"/>
          </w:tcPr>
          <w:p>
            <w:pPr>
              <w:spacing w:after="0"/>
              <w:rPr>
                <w:sz w:val="10"/>
                <w:szCs w:val="10"/>
                <w:color w:val="auto"/>
              </w:rPr>
            </w:pP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21.3</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5.27</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1,515.0</w:t>
            </w:r>
          </w:p>
        </w:tc>
        <w:tc>
          <w:tcPr>
            <w:tcW w:w="140" w:type="dxa"/>
            <w:vAlign w:val="bottom"/>
          </w:tcPr>
          <w:p>
            <w:pPr>
              <w:spacing w:after="0"/>
              <w:rPr>
                <w:sz w:val="10"/>
                <w:szCs w:val="10"/>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18.9</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4.96</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1,379.9</w:t>
            </w:r>
          </w:p>
        </w:tc>
        <w:tc>
          <w:tcPr>
            <w:tcW w:w="12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14.8</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4.25</w:t>
            </w:r>
          </w:p>
        </w:tc>
        <w:tc>
          <w:tcPr>
            <w:tcW w:w="200" w:type="dxa"/>
            <w:vAlign w:val="bottom"/>
          </w:tcPr>
          <w:p>
            <w:pPr>
              <w:spacing w:after="0"/>
              <w:rPr>
                <w:sz w:val="10"/>
                <w:szCs w:val="10"/>
                <w:color w:val="auto"/>
              </w:rPr>
            </w:pPr>
          </w:p>
        </w:tc>
      </w:tr>
      <w:tr>
        <w:trPr>
          <w:trHeight w:val="134"/>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Paycheck Protection Program</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11.9</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1.36</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13.1</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1.32</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21.3</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0.1</w:t>
            </w:r>
          </w:p>
        </w:tc>
        <w:tc>
          <w:tcPr>
            <w:tcW w:w="5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2.30</w:t>
            </w:r>
          </w:p>
        </w:tc>
        <w:tc>
          <w:tcPr>
            <w:tcW w:w="200" w:type="dxa"/>
            <w:vAlign w:val="bottom"/>
            <w:shd w:val="clear" w:color="auto" w:fill="CFF0FC"/>
          </w:tcPr>
          <w:p>
            <w:pPr>
              <w:spacing w:after="0"/>
              <w:rPr>
                <w:sz w:val="11"/>
                <w:szCs w:val="11"/>
                <w:color w:val="auto"/>
              </w:rPr>
            </w:pPr>
          </w:p>
        </w:tc>
      </w:tr>
      <w:tr>
        <w:trPr>
          <w:trHeight w:val="126"/>
        </w:trPr>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Commercial Mortgage</w:t>
            </w:r>
          </w:p>
        </w:tc>
        <w:tc>
          <w:tcPr>
            <w:tcW w:w="18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3,760.1</w:t>
            </w:r>
          </w:p>
        </w:tc>
        <w:tc>
          <w:tcPr>
            <w:tcW w:w="620" w:type="dxa"/>
            <w:vAlign w:val="bottom"/>
          </w:tcPr>
          <w:p>
            <w:pPr>
              <w:spacing w:after="0"/>
              <w:rPr>
                <w:sz w:val="10"/>
                <w:szCs w:val="10"/>
                <w:color w:val="auto"/>
              </w:rPr>
            </w:pP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51.5</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5.42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3,792.6</w:t>
            </w:r>
          </w:p>
        </w:tc>
        <w:tc>
          <w:tcPr>
            <w:tcW w:w="140" w:type="dxa"/>
            <w:vAlign w:val="bottom"/>
          </w:tcPr>
          <w:p>
            <w:pPr>
              <w:spacing w:after="0"/>
              <w:rPr>
                <w:sz w:val="10"/>
                <w:szCs w:val="10"/>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51.1</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5.35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3,627.4</w:t>
            </w:r>
          </w:p>
        </w:tc>
        <w:tc>
          <w:tcPr>
            <w:tcW w:w="12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40.6</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4.44</w:t>
            </w:r>
          </w:p>
        </w:tc>
        <w:tc>
          <w:tcPr>
            <w:tcW w:w="200" w:type="dxa"/>
            <w:vAlign w:val="bottom"/>
          </w:tcPr>
          <w:p>
            <w:pPr>
              <w:spacing w:after="0"/>
              <w:rPr>
                <w:sz w:val="10"/>
                <w:szCs w:val="10"/>
                <w:color w:val="auto"/>
              </w:rPr>
            </w:pPr>
          </w:p>
        </w:tc>
      </w:tr>
      <w:tr>
        <w:trPr>
          <w:trHeight w:val="134"/>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Construction</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279.5</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4.8</w:t>
            </w:r>
          </w:p>
        </w:tc>
        <w:tc>
          <w:tcPr>
            <w:tcW w:w="6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6.84</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241.9</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3.7</w:t>
            </w:r>
          </w:p>
        </w:tc>
        <w:tc>
          <w:tcPr>
            <w:tcW w:w="5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6.09</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246.9</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3.3</w:t>
            </w:r>
          </w:p>
        </w:tc>
        <w:tc>
          <w:tcPr>
            <w:tcW w:w="5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5.29</w:t>
            </w:r>
          </w:p>
        </w:tc>
        <w:tc>
          <w:tcPr>
            <w:tcW w:w="200" w:type="dxa"/>
            <w:vAlign w:val="bottom"/>
            <w:shd w:val="clear" w:color="auto" w:fill="CFF0FC"/>
          </w:tcPr>
          <w:p>
            <w:pPr>
              <w:spacing w:after="0"/>
              <w:rPr>
                <w:sz w:val="11"/>
                <w:szCs w:val="11"/>
                <w:color w:val="auto"/>
              </w:rPr>
            </w:pPr>
          </w:p>
        </w:tc>
      </w:tr>
      <w:tr>
        <w:trPr>
          <w:trHeight w:val="126"/>
        </w:trPr>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Commercial Lease Financing</w:t>
            </w:r>
          </w:p>
        </w:tc>
        <w:tc>
          <w:tcPr>
            <w:tcW w:w="18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60.1</w:t>
            </w:r>
          </w:p>
        </w:tc>
        <w:tc>
          <w:tcPr>
            <w:tcW w:w="620" w:type="dxa"/>
            <w:vAlign w:val="bottom"/>
          </w:tcPr>
          <w:p>
            <w:pPr>
              <w:spacing w:after="0"/>
              <w:rPr>
                <w:sz w:val="10"/>
                <w:szCs w:val="10"/>
                <w:color w:val="auto"/>
              </w:rPr>
            </w:pP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0.3</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1.95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62.6</w:t>
            </w:r>
          </w:p>
        </w:tc>
        <w:tc>
          <w:tcPr>
            <w:tcW w:w="140" w:type="dxa"/>
            <w:vAlign w:val="bottom"/>
          </w:tcPr>
          <w:p>
            <w:pPr>
              <w:spacing w:after="0"/>
              <w:rPr>
                <w:sz w:val="10"/>
                <w:szCs w:val="10"/>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0.3</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1.84</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72.0</w:t>
            </w:r>
          </w:p>
        </w:tc>
        <w:tc>
          <w:tcPr>
            <w:tcW w:w="12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0.3</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1.49</w:t>
            </w:r>
          </w:p>
        </w:tc>
        <w:tc>
          <w:tcPr>
            <w:tcW w:w="200" w:type="dxa"/>
            <w:vAlign w:val="bottom"/>
          </w:tcPr>
          <w:p>
            <w:pPr>
              <w:spacing w:after="0"/>
              <w:rPr>
                <w:sz w:val="10"/>
                <w:szCs w:val="10"/>
                <w:color w:val="auto"/>
              </w:rPr>
            </w:pPr>
          </w:p>
        </w:tc>
      </w:tr>
      <w:tr>
        <w:trPr>
          <w:trHeight w:val="134"/>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Residential Mortgage</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4,676.0</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45.1</w:t>
            </w:r>
          </w:p>
        </w:tc>
        <w:tc>
          <w:tcPr>
            <w:tcW w:w="6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3.86</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4,715.3</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42.8</w:t>
            </w:r>
          </w:p>
        </w:tc>
        <w:tc>
          <w:tcPr>
            <w:tcW w:w="5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3.62</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4,617.9</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38.9</w:t>
            </w:r>
          </w:p>
        </w:tc>
        <w:tc>
          <w:tcPr>
            <w:tcW w:w="5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3.37</w:t>
            </w:r>
          </w:p>
        </w:tc>
        <w:tc>
          <w:tcPr>
            <w:tcW w:w="200" w:type="dxa"/>
            <w:vAlign w:val="bottom"/>
            <w:shd w:val="clear" w:color="auto" w:fill="CFF0FC"/>
          </w:tcPr>
          <w:p>
            <w:pPr>
              <w:spacing w:after="0"/>
              <w:rPr>
                <w:sz w:val="11"/>
                <w:szCs w:val="11"/>
                <w:color w:val="auto"/>
              </w:rPr>
            </w:pPr>
          </w:p>
        </w:tc>
      </w:tr>
      <w:tr>
        <w:trPr>
          <w:trHeight w:val="126"/>
        </w:trPr>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Home Equity</w:t>
            </w:r>
          </w:p>
        </w:tc>
        <w:tc>
          <w:tcPr>
            <w:tcW w:w="18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2,276.2</w:t>
            </w:r>
          </w:p>
        </w:tc>
        <w:tc>
          <w:tcPr>
            <w:tcW w:w="620" w:type="dxa"/>
            <w:vAlign w:val="bottom"/>
          </w:tcPr>
          <w:p>
            <w:pPr>
              <w:spacing w:after="0"/>
              <w:rPr>
                <w:sz w:val="10"/>
                <w:szCs w:val="10"/>
                <w:color w:val="auto"/>
              </w:rPr>
            </w:pP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20.9</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3.65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2,283.5</w:t>
            </w:r>
          </w:p>
        </w:tc>
        <w:tc>
          <w:tcPr>
            <w:tcW w:w="140" w:type="dxa"/>
            <w:vAlign w:val="bottom"/>
          </w:tcPr>
          <w:p>
            <w:pPr>
              <w:spacing w:after="0"/>
              <w:rPr>
                <w:sz w:val="10"/>
                <w:szCs w:val="10"/>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20.1</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3.49</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2,207.7</w:t>
            </w:r>
          </w:p>
        </w:tc>
        <w:tc>
          <w:tcPr>
            <w:tcW w:w="12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17.9</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3.23</w:t>
            </w:r>
          </w:p>
        </w:tc>
        <w:tc>
          <w:tcPr>
            <w:tcW w:w="200" w:type="dxa"/>
            <w:vAlign w:val="bottom"/>
          </w:tcPr>
          <w:p>
            <w:pPr>
              <w:spacing w:after="0"/>
              <w:rPr>
                <w:sz w:val="10"/>
                <w:szCs w:val="10"/>
                <w:color w:val="auto"/>
              </w:rPr>
            </w:pPr>
          </w:p>
        </w:tc>
      </w:tr>
      <w:tr>
        <w:trPr>
          <w:trHeight w:val="134"/>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Automobile</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845.7</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8.6</w:t>
            </w:r>
          </w:p>
        </w:tc>
        <w:tc>
          <w:tcPr>
            <w:tcW w:w="6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4.02</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868.0</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8.2</w:t>
            </w:r>
          </w:p>
        </w:tc>
        <w:tc>
          <w:tcPr>
            <w:tcW w:w="5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3.75</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851.1</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7.0</w:t>
            </w:r>
          </w:p>
        </w:tc>
        <w:tc>
          <w:tcPr>
            <w:tcW w:w="5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3.29</w:t>
            </w:r>
          </w:p>
        </w:tc>
        <w:tc>
          <w:tcPr>
            <w:tcW w:w="200" w:type="dxa"/>
            <w:vAlign w:val="bottom"/>
            <w:shd w:val="clear" w:color="auto" w:fill="CFF0FC"/>
          </w:tcPr>
          <w:p>
            <w:pPr>
              <w:spacing w:after="0"/>
              <w:rPr>
                <w:sz w:val="11"/>
                <w:szCs w:val="11"/>
                <w:color w:val="auto"/>
              </w:rPr>
            </w:pPr>
          </w:p>
        </w:tc>
      </w:tr>
      <w:tr>
        <w:trPr>
          <w:trHeight w:val="130"/>
        </w:trPr>
        <w:tc>
          <w:tcPr>
            <w:tcW w:w="3180" w:type="dxa"/>
            <w:vAlign w:val="bottom"/>
            <w:tcBorders>
              <w:bottom w:val="single" w:sz="8" w:color="auto"/>
            </w:tcBorders>
          </w:tcPr>
          <w:p>
            <w:pPr>
              <w:ind w:left="60"/>
              <w:spacing w:after="0" w:line="130" w:lineRule="exact"/>
              <w:rPr>
                <w:sz w:val="20"/>
                <w:szCs w:val="20"/>
                <w:color w:val="auto"/>
              </w:rPr>
            </w:pPr>
            <w:r>
              <w:rPr>
                <w:rFonts w:ascii="Times New Roman" w:cs="Times New Roman" w:eastAsia="Times New Roman" w:hAnsi="Times New Roman"/>
                <w:sz w:val="9"/>
                <w:szCs w:val="9"/>
                <w:color w:val="auto"/>
              </w:rPr>
              <w:t xml:space="preserve">Other </w:t>
            </w:r>
            <w:r>
              <w:rPr>
                <w:rFonts w:ascii="Times New Roman" w:cs="Times New Roman" w:eastAsia="Times New Roman" w:hAnsi="Times New Roman"/>
                <w:sz w:val="12"/>
                <w:szCs w:val="12"/>
                <w:color w:val="auto"/>
                <w:vertAlign w:val="superscript"/>
              </w:rPr>
              <w:t>4</w:t>
            </w: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393.1</w:t>
            </w: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6.3</w:t>
            </w:r>
          </w:p>
        </w:tc>
        <w:tc>
          <w:tcPr>
            <w:tcW w:w="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6.40</w:t>
            </w: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411.2</w:t>
            </w: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6.5</w:t>
            </w:r>
          </w:p>
        </w:tc>
        <w:tc>
          <w:tcPr>
            <w:tcW w:w="5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6.24</w:t>
            </w: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428.6</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6.1</w:t>
            </w:r>
          </w:p>
        </w:tc>
        <w:tc>
          <w:tcPr>
            <w:tcW w:w="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5.64</w:t>
            </w:r>
          </w:p>
        </w:tc>
        <w:tc>
          <w:tcPr>
            <w:tcW w:w="200" w:type="dxa"/>
            <w:vAlign w:val="bottom"/>
            <w:tcBorders>
              <w:bottom w:val="single" w:sz="8" w:color="auto"/>
            </w:tcBorders>
          </w:tcPr>
          <w:p>
            <w:pPr>
              <w:spacing w:after="0"/>
              <w:rPr>
                <w:sz w:val="11"/>
                <w:szCs w:val="11"/>
                <w:color w:val="auto"/>
              </w:rPr>
            </w:pPr>
          </w:p>
        </w:tc>
      </w:tr>
      <w:tr>
        <w:trPr>
          <w:trHeight w:val="118"/>
        </w:trPr>
        <w:tc>
          <w:tcPr>
            <w:tcW w:w="3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Loans and Leases</w:t>
            </w:r>
          </w:p>
        </w:tc>
        <w:tc>
          <w:tcPr>
            <w:tcW w:w="18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13,906.1</w:t>
            </w:r>
          </w:p>
        </w:tc>
        <w:tc>
          <w:tcPr>
            <w:tcW w:w="62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w w:val="88"/>
              </w:rPr>
              <w:t>158.8</w:t>
            </w:r>
          </w:p>
        </w:tc>
        <w:tc>
          <w:tcPr>
            <w:tcW w:w="6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4.54</w:t>
            </w:r>
          </w:p>
        </w:tc>
        <w:tc>
          <w:tcPr>
            <w:tcW w:w="18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13,903.2</w:t>
            </w:r>
          </w:p>
        </w:tc>
        <w:tc>
          <w:tcPr>
            <w:tcW w:w="14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151.6</w:t>
            </w:r>
          </w:p>
        </w:tc>
        <w:tc>
          <w:tcPr>
            <w:tcW w:w="5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4.34</w:t>
            </w:r>
          </w:p>
        </w:tc>
        <w:tc>
          <w:tcPr>
            <w:tcW w:w="18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13,452.8</w:t>
            </w:r>
          </w:p>
        </w:tc>
        <w:tc>
          <w:tcPr>
            <w:tcW w:w="12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129.0</w:t>
            </w:r>
          </w:p>
        </w:tc>
        <w:tc>
          <w:tcPr>
            <w:tcW w:w="5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3.81</w:t>
            </w:r>
          </w:p>
        </w:tc>
        <w:tc>
          <w:tcPr>
            <w:tcW w:w="200" w:type="dxa"/>
            <w:vAlign w:val="bottom"/>
            <w:tcBorders>
              <w:bottom w:val="single" w:sz="8" w:color="auto"/>
            </w:tcBorders>
            <w:shd w:val="clear" w:color="auto" w:fill="CFF0FC"/>
          </w:tcPr>
          <w:p>
            <w:pPr>
              <w:spacing w:after="0"/>
              <w:rPr>
                <w:sz w:val="10"/>
                <w:szCs w:val="10"/>
                <w:color w:val="auto"/>
              </w:rPr>
            </w:pPr>
          </w:p>
        </w:tc>
      </w:tr>
      <w:tr>
        <w:trPr>
          <w:trHeight w:val="122"/>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Other</w:t>
            </w: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60.0</w:t>
            </w: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1.0</w:t>
            </w:r>
          </w:p>
        </w:tc>
        <w:tc>
          <w:tcPr>
            <w:tcW w:w="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6.16</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91.6</w:t>
            </w: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1.5</w:t>
            </w:r>
          </w:p>
        </w:tc>
        <w:tc>
          <w:tcPr>
            <w:tcW w:w="5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6.40</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50.1</w:t>
            </w: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0.4</w:t>
            </w:r>
          </w:p>
        </w:tc>
        <w:tc>
          <w:tcPr>
            <w:tcW w:w="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2.72</w:t>
            </w:r>
          </w:p>
        </w:tc>
        <w:tc>
          <w:tcPr>
            <w:tcW w:w="200" w:type="dxa"/>
            <w:vAlign w:val="bottom"/>
            <w:tcBorders>
              <w:bottom w:val="single" w:sz="8" w:color="auto"/>
            </w:tcBorders>
          </w:tcPr>
          <w:p>
            <w:pPr>
              <w:spacing w:after="0"/>
              <w:rPr>
                <w:sz w:val="10"/>
                <w:szCs w:val="10"/>
                <w:color w:val="auto"/>
              </w:rPr>
            </w:pPr>
          </w:p>
        </w:tc>
      </w:tr>
      <w:tr>
        <w:trPr>
          <w:trHeight w:val="123"/>
        </w:trPr>
        <w:tc>
          <w:tcPr>
            <w:tcW w:w="3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Earning Assets</w:t>
            </w:r>
          </w:p>
        </w:tc>
        <w:tc>
          <w:tcPr>
            <w:tcW w:w="18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21,801.9</w:t>
            </w:r>
          </w:p>
        </w:tc>
        <w:tc>
          <w:tcPr>
            <w:tcW w:w="62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w w:val="88"/>
              </w:rPr>
              <w:t>211.0</w:t>
            </w:r>
          </w:p>
        </w:tc>
        <w:tc>
          <w:tcPr>
            <w:tcW w:w="6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3.85</w:t>
            </w:r>
          </w:p>
        </w:tc>
        <w:tc>
          <w:tcPr>
            <w:tcW w:w="18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22,708.8</w:t>
            </w:r>
          </w:p>
        </w:tc>
        <w:tc>
          <w:tcPr>
            <w:tcW w:w="14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212.4</w:t>
            </w:r>
          </w:p>
        </w:tc>
        <w:tc>
          <w:tcPr>
            <w:tcW w:w="5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3.72</w:t>
            </w:r>
          </w:p>
        </w:tc>
        <w:tc>
          <w:tcPr>
            <w:tcW w:w="18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21,664.8</w:t>
            </w:r>
          </w:p>
        </w:tc>
        <w:tc>
          <w:tcPr>
            <w:tcW w:w="12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172.8</w:t>
            </w:r>
          </w:p>
        </w:tc>
        <w:tc>
          <w:tcPr>
            <w:tcW w:w="5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3.17</w:t>
            </w:r>
          </w:p>
        </w:tc>
        <w:tc>
          <w:tcPr>
            <w:tcW w:w="200" w:type="dxa"/>
            <w:vAlign w:val="bottom"/>
            <w:tcBorders>
              <w:bottom w:val="single" w:sz="8" w:color="auto"/>
            </w:tcBorders>
            <w:shd w:val="clear" w:color="auto" w:fill="CFF0FC"/>
          </w:tcPr>
          <w:p>
            <w:pPr>
              <w:spacing w:after="0"/>
              <w:rPr>
                <w:sz w:val="10"/>
                <w:szCs w:val="10"/>
                <w:color w:val="auto"/>
              </w:rPr>
            </w:pPr>
          </w:p>
        </w:tc>
      </w:tr>
      <w:tr>
        <w:trPr>
          <w:trHeight w:val="121"/>
        </w:trPr>
        <w:tc>
          <w:tcPr>
            <w:tcW w:w="3180" w:type="dxa"/>
            <w:vAlign w:val="bottom"/>
          </w:tcPr>
          <w:p>
            <w:pPr>
              <w:spacing w:after="0"/>
              <w:rPr>
                <w:sz w:val="20"/>
                <w:szCs w:val="20"/>
                <w:color w:val="auto"/>
              </w:rPr>
            </w:pPr>
            <w:r>
              <w:rPr>
                <w:rFonts w:ascii="Times New Roman" w:cs="Times New Roman" w:eastAsia="Times New Roman" w:hAnsi="Times New Roman"/>
                <w:sz w:val="9"/>
                <w:szCs w:val="9"/>
                <w:color w:val="auto"/>
              </w:rPr>
              <w:t>Cash and Due from Banks</w:t>
            </w:r>
          </w:p>
        </w:tc>
        <w:tc>
          <w:tcPr>
            <w:tcW w:w="18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243.8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289.8</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244.3</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34"/>
        </w:trPr>
        <w:tc>
          <w:tcPr>
            <w:tcW w:w="3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Other Assets</w:t>
            </w:r>
          </w:p>
        </w:tc>
        <w:tc>
          <w:tcPr>
            <w:tcW w:w="1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1,403.5</w:t>
            </w:r>
          </w:p>
        </w:tc>
        <w:tc>
          <w:tcPr>
            <w:tcW w:w="62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1,388.8</w:t>
            </w:r>
          </w:p>
        </w:tc>
        <w:tc>
          <w:tcPr>
            <w:tcW w:w="14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1,238.3</w:t>
            </w:r>
          </w:p>
        </w:tc>
        <w:tc>
          <w:tcPr>
            <w:tcW w:w="12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r>
      <w:tr>
        <w:trPr>
          <w:trHeight w:val="122"/>
        </w:trPr>
        <w:tc>
          <w:tcPr>
            <w:tcW w:w="318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Total Assets</w:t>
            </w:r>
          </w:p>
        </w:tc>
        <w:tc>
          <w:tcPr>
            <w:tcW w:w="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23,449.2</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24,387.4</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23,147.4</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20"/>
        </w:trPr>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6"/>
        </w:trPr>
        <w:tc>
          <w:tcPr>
            <w:tcW w:w="3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r>
      <w:tr>
        <w:trPr>
          <w:trHeight w:val="127"/>
        </w:trPr>
        <w:tc>
          <w:tcPr>
            <w:tcW w:w="318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Interest-Bearing Liabilities</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3"/>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Interest-Bearing Deposits</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r>
      <w:tr>
        <w:trPr>
          <w:trHeight w:val="126"/>
        </w:trPr>
        <w:tc>
          <w:tcPr>
            <w:tcW w:w="3180" w:type="dxa"/>
            <w:vAlign w:val="bottom"/>
          </w:tcPr>
          <w:p>
            <w:pPr>
              <w:ind w:left="60"/>
              <w:spacing w:after="0"/>
              <w:rPr>
                <w:sz w:val="20"/>
                <w:szCs w:val="20"/>
                <w:color w:val="auto"/>
              </w:rPr>
            </w:pPr>
            <w:r>
              <w:rPr>
                <w:rFonts w:ascii="Times New Roman" w:cs="Times New Roman" w:eastAsia="Times New Roman" w:hAnsi="Times New Roman"/>
                <w:sz w:val="9"/>
                <w:szCs w:val="9"/>
                <w:color w:val="auto"/>
              </w:rPr>
              <w:t>Demand</w:t>
            </w:r>
          </w:p>
        </w:tc>
        <w:tc>
          <w:tcPr>
            <w:tcW w:w="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3,737.3</w:t>
            </w:r>
          </w:p>
        </w:tc>
        <w:tc>
          <w:tcPr>
            <w:tcW w:w="620" w:type="dxa"/>
            <w:vAlign w:val="bottom"/>
          </w:tcPr>
          <w:p>
            <w:pPr>
              <w:spacing w:after="0"/>
              <w:rPr>
                <w:sz w:val="10"/>
                <w:szCs w:val="10"/>
                <w:color w:val="auto"/>
              </w:rPr>
            </w:pP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7.7</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0.82</w:t>
            </w:r>
          </w:p>
        </w:tc>
        <w:tc>
          <w:tcPr>
            <w:tcW w:w="180" w:type="dxa"/>
            <w:vAlign w:val="bottom"/>
          </w:tcPr>
          <w:p>
            <w:pPr>
              <w:spacing w:after="0"/>
              <w:rPr>
                <w:sz w:val="10"/>
                <w:szCs w:val="10"/>
                <w:color w:val="auto"/>
              </w:rPr>
            </w:pPr>
          </w:p>
        </w:tc>
        <w:tc>
          <w:tcPr>
            <w:tcW w:w="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3,929.7</w:t>
            </w:r>
          </w:p>
        </w:tc>
        <w:tc>
          <w:tcPr>
            <w:tcW w:w="140" w:type="dxa"/>
            <w:vAlign w:val="bottom"/>
          </w:tcPr>
          <w:p>
            <w:pPr>
              <w:spacing w:after="0"/>
              <w:rPr>
                <w:sz w:val="10"/>
                <w:szCs w:val="10"/>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6.6</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0.67</w:t>
            </w:r>
          </w:p>
        </w:tc>
        <w:tc>
          <w:tcPr>
            <w:tcW w:w="180" w:type="dxa"/>
            <w:vAlign w:val="bottom"/>
          </w:tcPr>
          <w:p>
            <w:pPr>
              <w:spacing w:after="0"/>
              <w:rPr>
                <w:sz w:val="10"/>
                <w:szCs w:val="10"/>
                <w:color w:val="auto"/>
              </w:rPr>
            </w:pPr>
          </w:p>
        </w:tc>
        <w:tc>
          <w:tcPr>
            <w:tcW w:w="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4,131.4</w:t>
            </w:r>
          </w:p>
        </w:tc>
        <w:tc>
          <w:tcPr>
            <w:tcW w:w="12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3.5</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0.33</w:t>
            </w:r>
          </w:p>
        </w:tc>
        <w:tc>
          <w:tcPr>
            <w:tcW w:w="200" w:type="dxa"/>
            <w:vAlign w:val="bottom"/>
          </w:tcPr>
          <w:p>
            <w:pPr>
              <w:spacing w:after="0"/>
              <w:rPr>
                <w:sz w:val="10"/>
                <w:szCs w:val="10"/>
                <w:color w:val="auto"/>
              </w:rPr>
            </w:pPr>
          </w:p>
        </w:tc>
      </w:tr>
      <w:tr>
        <w:trPr>
          <w:trHeight w:val="134"/>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Savings</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8,441.0</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51.1</w:t>
            </w:r>
          </w:p>
        </w:tc>
        <w:tc>
          <w:tcPr>
            <w:tcW w:w="6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2.40</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7,952.6</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39.1</w:t>
            </w:r>
          </w:p>
        </w:tc>
        <w:tc>
          <w:tcPr>
            <w:tcW w:w="5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1.95</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7,869.9</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13.4</w:t>
            </w:r>
          </w:p>
        </w:tc>
        <w:tc>
          <w:tcPr>
            <w:tcW w:w="5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0.68</w:t>
            </w:r>
          </w:p>
        </w:tc>
        <w:tc>
          <w:tcPr>
            <w:tcW w:w="200" w:type="dxa"/>
            <w:vAlign w:val="bottom"/>
            <w:shd w:val="clear" w:color="auto" w:fill="CFF0FC"/>
          </w:tcPr>
          <w:p>
            <w:pPr>
              <w:spacing w:after="0"/>
              <w:rPr>
                <w:sz w:val="11"/>
                <w:szCs w:val="11"/>
                <w:color w:val="auto"/>
              </w:rPr>
            </w:pPr>
          </w:p>
        </w:tc>
      </w:tr>
      <w:tr>
        <w:trPr>
          <w:trHeight w:val="126"/>
        </w:trPr>
        <w:tc>
          <w:tcPr>
            <w:tcW w:w="3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Time</w:t>
            </w: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2,830.0</w:t>
            </w: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28.3</w:t>
            </w:r>
          </w:p>
        </w:tc>
        <w:tc>
          <w:tcPr>
            <w:tcW w:w="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3.97</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2,767.8</w:t>
            </w: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26.5</w:t>
            </w:r>
          </w:p>
        </w:tc>
        <w:tc>
          <w:tcPr>
            <w:tcW w:w="5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3.79</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1,467.7</w:t>
            </w: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6.6</w:t>
            </w:r>
          </w:p>
        </w:tc>
        <w:tc>
          <w:tcPr>
            <w:tcW w:w="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1.78</w:t>
            </w:r>
          </w:p>
        </w:tc>
        <w:tc>
          <w:tcPr>
            <w:tcW w:w="200" w:type="dxa"/>
            <w:vAlign w:val="bottom"/>
            <w:tcBorders>
              <w:bottom w:val="single" w:sz="8" w:color="auto"/>
            </w:tcBorders>
          </w:tcPr>
          <w:p>
            <w:pPr>
              <w:spacing w:after="0"/>
              <w:rPr>
                <w:sz w:val="10"/>
                <w:szCs w:val="10"/>
                <w:color w:val="auto"/>
              </w:rPr>
            </w:pPr>
          </w:p>
        </w:tc>
      </w:tr>
      <w:tr>
        <w:trPr>
          <w:trHeight w:val="122"/>
        </w:trPr>
        <w:tc>
          <w:tcPr>
            <w:tcW w:w="3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Interest-Bearing Deposits</w:t>
            </w:r>
          </w:p>
        </w:tc>
        <w:tc>
          <w:tcPr>
            <w:tcW w:w="18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15,008.3</w:t>
            </w:r>
          </w:p>
        </w:tc>
        <w:tc>
          <w:tcPr>
            <w:tcW w:w="620" w:type="dxa"/>
            <w:vAlign w:val="bottom"/>
            <w:tcBorders>
              <w:bottom w:val="single" w:sz="8" w:color="auto"/>
            </w:tcBorders>
            <w:shd w:val="clear" w:color="auto" w:fill="CFF0FC"/>
          </w:tcPr>
          <w:p>
            <w:pPr>
              <w:spacing w:after="0"/>
              <w:rPr>
                <w:sz w:val="10"/>
                <w:szCs w:val="10"/>
                <w:color w:val="auto"/>
              </w:rPr>
            </w:pPr>
          </w:p>
        </w:tc>
        <w:tc>
          <w:tcPr>
            <w:tcW w:w="3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87.1</w:t>
            </w:r>
          </w:p>
        </w:tc>
        <w:tc>
          <w:tcPr>
            <w:tcW w:w="6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2.30</w:t>
            </w:r>
          </w:p>
        </w:tc>
        <w:tc>
          <w:tcPr>
            <w:tcW w:w="18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14,650.1</w:t>
            </w:r>
          </w:p>
        </w:tc>
        <w:tc>
          <w:tcPr>
            <w:tcW w:w="140" w:type="dxa"/>
            <w:vAlign w:val="bottom"/>
            <w:tcBorders>
              <w:bottom w:val="single" w:sz="8" w:color="auto"/>
            </w:tcBorders>
            <w:shd w:val="clear" w:color="auto" w:fill="CFF0FC"/>
          </w:tcPr>
          <w:p>
            <w:pPr>
              <w:spacing w:after="0"/>
              <w:rPr>
                <w:sz w:val="10"/>
                <w:szCs w:val="10"/>
                <w:color w:val="auto"/>
              </w:rPr>
            </w:pPr>
          </w:p>
        </w:tc>
        <w:tc>
          <w:tcPr>
            <w:tcW w:w="7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72.2</w:t>
            </w:r>
          </w:p>
        </w:tc>
        <w:tc>
          <w:tcPr>
            <w:tcW w:w="5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1.95</w:t>
            </w:r>
          </w:p>
        </w:tc>
        <w:tc>
          <w:tcPr>
            <w:tcW w:w="180" w:type="dxa"/>
            <w:vAlign w:val="bottom"/>
            <w:tcBorders>
              <w:bottom w:val="single" w:sz="8" w:color="auto"/>
            </w:tcBorders>
            <w:shd w:val="clear" w:color="auto" w:fill="CFF0FC"/>
          </w:tcPr>
          <w:p>
            <w:pPr>
              <w:spacing w:after="0"/>
              <w:rPr>
                <w:sz w:val="10"/>
                <w:szCs w:val="10"/>
                <w:color w:val="auto"/>
              </w:rPr>
            </w:pPr>
          </w:p>
        </w:tc>
        <w:tc>
          <w:tcPr>
            <w:tcW w:w="16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13,469.0</w:t>
            </w:r>
          </w:p>
        </w:tc>
        <w:tc>
          <w:tcPr>
            <w:tcW w:w="120" w:type="dxa"/>
            <w:vAlign w:val="bottom"/>
            <w:tcBorders>
              <w:bottom w:val="single" w:sz="8" w:color="auto"/>
            </w:tcBorders>
            <w:shd w:val="clear" w:color="auto" w:fill="CFF0FC"/>
          </w:tcPr>
          <w:p>
            <w:pPr>
              <w:spacing w:after="0"/>
              <w:rPr>
                <w:sz w:val="10"/>
                <w:szCs w:val="10"/>
                <w:color w:val="auto"/>
              </w:rPr>
            </w:pP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23.5</w:t>
            </w:r>
          </w:p>
        </w:tc>
        <w:tc>
          <w:tcPr>
            <w:tcW w:w="5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0.69</w:t>
            </w:r>
          </w:p>
        </w:tc>
        <w:tc>
          <w:tcPr>
            <w:tcW w:w="200" w:type="dxa"/>
            <w:vAlign w:val="bottom"/>
            <w:tcBorders>
              <w:bottom w:val="single" w:sz="8" w:color="auto"/>
            </w:tcBorders>
            <w:shd w:val="clear" w:color="auto" w:fill="CFF0FC"/>
          </w:tcPr>
          <w:p>
            <w:pPr>
              <w:spacing w:after="0"/>
              <w:rPr>
                <w:sz w:val="10"/>
                <w:szCs w:val="10"/>
                <w:color w:val="auto"/>
              </w:rPr>
            </w:pPr>
          </w:p>
        </w:tc>
      </w:tr>
      <w:tr>
        <w:trPr>
          <w:trHeight w:val="122"/>
        </w:trPr>
        <w:tc>
          <w:tcPr>
            <w:tcW w:w="3180" w:type="dxa"/>
            <w:vAlign w:val="bottom"/>
          </w:tcPr>
          <w:p>
            <w:pPr>
              <w:spacing w:after="0"/>
              <w:rPr>
                <w:sz w:val="20"/>
                <w:szCs w:val="20"/>
                <w:color w:val="auto"/>
              </w:rPr>
            </w:pPr>
            <w:r>
              <w:rPr>
                <w:rFonts w:ascii="Times New Roman" w:cs="Times New Roman" w:eastAsia="Times New Roman" w:hAnsi="Times New Roman"/>
                <w:sz w:val="9"/>
                <w:szCs w:val="9"/>
                <w:color w:val="auto"/>
              </w:rPr>
              <w:t>Funds Purchased</w:t>
            </w:r>
          </w:p>
        </w:tc>
        <w:tc>
          <w:tcPr>
            <w:tcW w:w="18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spacing w:after="0"/>
              <w:rPr>
                <w:sz w:val="10"/>
                <w:szCs w:val="10"/>
                <w:color w:val="auto"/>
              </w:rPr>
            </w:pP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0"/>
                <w:szCs w:val="10"/>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36.6</w:t>
            </w:r>
          </w:p>
        </w:tc>
        <w:tc>
          <w:tcPr>
            <w:tcW w:w="12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0.3</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3.40</w:t>
            </w:r>
          </w:p>
        </w:tc>
        <w:tc>
          <w:tcPr>
            <w:tcW w:w="200" w:type="dxa"/>
            <w:vAlign w:val="bottom"/>
          </w:tcPr>
          <w:p>
            <w:pPr>
              <w:spacing w:after="0"/>
              <w:rPr>
                <w:sz w:val="10"/>
                <w:szCs w:val="10"/>
                <w:color w:val="auto"/>
              </w:rPr>
            </w:pPr>
          </w:p>
        </w:tc>
      </w:tr>
      <w:tr>
        <w:trPr>
          <w:trHeight w:val="134"/>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Short-Term Borrowings</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198.3</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2.0</w:t>
            </w:r>
          </w:p>
        </w:tc>
        <w:tc>
          <w:tcPr>
            <w:tcW w:w="5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3.90</w:t>
            </w:r>
          </w:p>
        </w:tc>
        <w:tc>
          <w:tcPr>
            <w:tcW w:w="200" w:type="dxa"/>
            <w:vAlign w:val="bottom"/>
            <w:shd w:val="clear" w:color="auto" w:fill="CFF0FC"/>
          </w:tcPr>
          <w:p>
            <w:pPr>
              <w:spacing w:after="0"/>
              <w:rPr>
                <w:sz w:val="11"/>
                <w:szCs w:val="11"/>
                <w:color w:val="auto"/>
              </w:rPr>
            </w:pPr>
          </w:p>
        </w:tc>
      </w:tr>
      <w:tr>
        <w:trPr>
          <w:trHeight w:val="126"/>
        </w:trPr>
        <w:tc>
          <w:tcPr>
            <w:tcW w:w="3180" w:type="dxa"/>
            <w:vAlign w:val="bottom"/>
          </w:tcPr>
          <w:p>
            <w:pPr>
              <w:spacing w:after="0"/>
              <w:rPr>
                <w:sz w:val="20"/>
                <w:szCs w:val="20"/>
                <w:color w:val="auto"/>
              </w:rPr>
            </w:pPr>
            <w:r>
              <w:rPr>
                <w:rFonts w:ascii="Times New Roman" w:cs="Times New Roman" w:eastAsia="Times New Roman" w:hAnsi="Times New Roman"/>
                <w:sz w:val="9"/>
                <w:szCs w:val="9"/>
                <w:color w:val="auto"/>
              </w:rPr>
              <w:t>Securities Sold Under Agreements to Repurchase</w:t>
            </w:r>
          </w:p>
        </w:tc>
        <w:tc>
          <w:tcPr>
            <w:tcW w:w="18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150.5</w:t>
            </w:r>
          </w:p>
        </w:tc>
        <w:tc>
          <w:tcPr>
            <w:tcW w:w="620" w:type="dxa"/>
            <w:vAlign w:val="bottom"/>
          </w:tcPr>
          <w:p>
            <w:pPr>
              <w:spacing w:after="0"/>
              <w:rPr>
                <w:sz w:val="10"/>
                <w:szCs w:val="10"/>
                <w:color w:val="auto"/>
              </w:rPr>
            </w:pP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1.5</w:t>
            </w: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3.79</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528.5</w:t>
            </w:r>
          </w:p>
        </w:tc>
        <w:tc>
          <w:tcPr>
            <w:tcW w:w="140" w:type="dxa"/>
            <w:vAlign w:val="bottom"/>
          </w:tcPr>
          <w:p>
            <w:pPr>
              <w:spacing w:after="0"/>
              <w:rPr>
                <w:sz w:val="10"/>
                <w:szCs w:val="10"/>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4.0</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2.99</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594.5</w:t>
            </w:r>
          </w:p>
        </w:tc>
        <w:tc>
          <w:tcPr>
            <w:tcW w:w="12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4.3</w:t>
            </w:r>
          </w:p>
        </w:tc>
        <w:tc>
          <w:tcPr>
            <w:tcW w:w="5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2.82</w:t>
            </w:r>
          </w:p>
        </w:tc>
        <w:tc>
          <w:tcPr>
            <w:tcW w:w="200" w:type="dxa"/>
            <w:vAlign w:val="bottom"/>
          </w:tcPr>
          <w:p>
            <w:pPr>
              <w:spacing w:after="0"/>
              <w:rPr>
                <w:sz w:val="10"/>
                <w:szCs w:val="10"/>
                <w:color w:val="auto"/>
              </w:rPr>
            </w:pPr>
          </w:p>
        </w:tc>
      </w:tr>
      <w:tr>
        <w:trPr>
          <w:trHeight w:val="130"/>
        </w:trPr>
        <w:tc>
          <w:tcPr>
            <w:tcW w:w="3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Other Debt</w:t>
            </w:r>
          </w:p>
        </w:tc>
        <w:tc>
          <w:tcPr>
            <w:tcW w:w="18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560.2</w:t>
            </w:r>
          </w:p>
        </w:tc>
        <w:tc>
          <w:tcPr>
            <w:tcW w:w="62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6.0</w:t>
            </w:r>
          </w:p>
        </w:tc>
        <w:tc>
          <w:tcPr>
            <w:tcW w:w="6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4.24</w:t>
            </w:r>
          </w:p>
        </w:tc>
        <w:tc>
          <w:tcPr>
            <w:tcW w:w="18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1,365.7</w:t>
            </w:r>
          </w:p>
        </w:tc>
        <w:tc>
          <w:tcPr>
            <w:tcW w:w="14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14.8</w:t>
            </w:r>
          </w:p>
        </w:tc>
        <w:tc>
          <w:tcPr>
            <w:tcW w:w="5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4.31</w:t>
            </w:r>
          </w:p>
        </w:tc>
        <w:tc>
          <w:tcPr>
            <w:tcW w:w="18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137.5</w:t>
            </w:r>
          </w:p>
        </w:tc>
        <w:tc>
          <w:tcPr>
            <w:tcW w:w="12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1.5</w:t>
            </w:r>
          </w:p>
        </w:tc>
        <w:tc>
          <w:tcPr>
            <w:tcW w:w="5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4.32</w:t>
            </w:r>
          </w:p>
        </w:tc>
        <w:tc>
          <w:tcPr>
            <w:tcW w:w="200" w:type="dxa"/>
            <w:vAlign w:val="bottom"/>
            <w:tcBorders>
              <w:bottom w:val="single" w:sz="8" w:color="auto"/>
            </w:tcBorders>
            <w:shd w:val="clear" w:color="auto" w:fill="CFF0FC"/>
          </w:tcPr>
          <w:p>
            <w:pPr>
              <w:spacing w:after="0"/>
              <w:rPr>
                <w:sz w:val="11"/>
                <w:szCs w:val="11"/>
                <w:color w:val="auto"/>
              </w:rPr>
            </w:pPr>
          </w:p>
        </w:tc>
      </w:tr>
      <w:tr>
        <w:trPr>
          <w:trHeight w:val="12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Total Interest-Bearing Liabilities</w:t>
            </w: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15,719.0</w:t>
            </w: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94.6</w:t>
            </w:r>
          </w:p>
        </w:tc>
        <w:tc>
          <w:tcPr>
            <w:tcW w:w="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2.39</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16,544.3</w:t>
            </w: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91.0</w:t>
            </w:r>
          </w:p>
        </w:tc>
        <w:tc>
          <w:tcPr>
            <w:tcW w:w="5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2.18</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14,435.9</w:t>
            </w: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31.6</w:t>
            </w:r>
          </w:p>
        </w:tc>
        <w:tc>
          <w:tcPr>
            <w:tcW w:w="5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0.87</w:t>
            </w:r>
          </w:p>
        </w:tc>
        <w:tc>
          <w:tcPr>
            <w:tcW w:w="200" w:type="dxa"/>
            <w:vAlign w:val="bottom"/>
            <w:tcBorders>
              <w:bottom w:val="single" w:sz="8" w:color="auto"/>
            </w:tcBorders>
          </w:tcPr>
          <w:p>
            <w:pPr>
              <w:spacing w:after="0"/>
              <w:rPr>
                <w:sz w:val="10"/>
                <w:szCs w:val="10"/>
                <w:color w:val="auto"/>
              </w:rPr>
            </w:pPr>
          </w:p>
        </w:tc>
      </w:tr>
      <w:tr>
        <w:trPr>
          <w:trHeight w:val="165"/>
        </w:trPr>
        <w:tc>
          <w:tcPr>
            <w:tcW w:w="3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Net Interest Income</w:t>
            </w:r>
          </w:p>
        </w:tc>
        <w:tc>
          <w:tcPr>
            <w:tcW w:w="18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513"/>
              <w:spacing w:after="0"/>
              <w:rPr>
                <w:sz w:val="20"/>
                <w:szCs w:val="20"/>
                <w:color w:val="auto"/>
              </w:rPr>
            </w:pPr>
            <w:r>
              <w:rPr>
                <w:rFonts w:ascii="Times New Roman" w:cs="Times New Roman" w:eastAsia="Times New Roman" w:hAnsi="Times New Roman"/>
                <w:sz w:val="9"/>
                <w:szCs w:val="9"/>
                <w:color w:val="auto"/>
                <w:w w:val="87"/>
              </w:rPr>
              <w:t>$</w:t>
            </w:r>
          </w:p>
        </w:tc>
        <w:tc>
          <w:tcPr>
            <w:tcW w:w="34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w w:val="88"/>
              </w:rPr>
              <w:t>116.4</w:t>
            </w:r>
          </w:p>
        </w:tc>
        <w:tc>
          <w:tcPr>
            <w:tcW w:w="6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w w:val="87"/>
              </w:rPr>
              <w:t>$</w:t>
            </w:r>
          </w:p>
        </w:tc>
        <w:tc>
          <w:tcPr>
            <w:tcW w:w="7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121.4</w:t>
            </w:r>
          </w:p>
        </w:tc>
        <w:tc>
          <w:tcPr>
            <w:tcW w:w="5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141.2</w:t>
            </w:r>
          </w:p>
        </w:tc>
        <w:tc>
          <w:tcPr>
            <w:tcW w:w="5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r>
      <w:tr>
        <w:trPr>
          <w:trHeight w:val="102"/>
        </w:trPr>
        <w:tc>
          <w:tcPr>
            <w:tcW w:w="3180" w:type="dxa"/>
            <w:vAlign w:val="bottom"/>
          </w:tcPr>
          <w:p>
            <w:pPr>
              <w:ind w:left="60"/>
              <w:spacing w:after="0" w:line="102" w:lineRule="exact"/>
              <w:rPr>
                <w:sz w:val="20"/>
                <w:szCs w:val="20"/>
                <w:color w:val="auto"/>
              </w:rPr>
            </w:pPr>
            <w:r>
              <w:rPr>
                <w:rFonts w:ascii="Times New Roman" w:cs="Times New Roman" w:eastAsia="Times New Roman" w:hAnsi="Times New Roman"/>
                <w:sz w:val="9"/>
                <w:szCs w:val="9"/>
                <w:color w:val="auto"/>
              </w:rPr>
              <w:t>Interest Rate Spread</w:t>
            </w: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jc w:val="right"/>
              <w:ind w:right="93"/>
              <w:spacing w:after="0" w:line="102" w:lineRule="exact"/>
              <w:rPr>
                <w:sz w:val="20"/>
                <w:szCs w:val="20"/>
                <w:color w:val="auto"/>
              </w:rPr>
            </w:pPr>
            <w:r>
              <w:rPr>
                <w:rFonts w:ascii="Times New Roman" w:cs="Times New Roman" w:eastAsia="Times New Roman" w:hAnsi="Times New Roman"/>
                <w:sz w:val="9"/>
                <w:szCs w:val="9"/>
                <w:color w:val="auto"/>
              </w:rPr>
              <w:t>1.46</w:t>
            </w:r>
          </w:p>
        </w:tc>
        <w:tc>
          <w:tcPr>
            <w:tcW w:w="180" w:type="dxa"/>
            <w:vAlign w:val="bottom"/>
          </w:tcPr>
          <w:p>
            <w:pPr>
              <w:jc w:val="right"/>
              <w:ind w:right="33"/>
              <w:spacing w:after="0" w:line="102"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jc w:val="right"/>
              <w:ind w:right="73"/>
              <w:spacing w:after="0" w:line="102" w:lineRule="exact"/>
              <w:rPr>
                <w:sz w:val="20"/>
                <w:szCs w:val="20"/>
                <w:color w:val="auto"/>
              </w:rPr>
            </w:pPr>
            <w:r>
              <w:rPr>
                <w:rFonts w:ascii="Times New Roman" w:cs="Times New Roman" w:eastAsia="Times New Roman" w:hAnsi="Times New Roman"/>
                <w:sz w:val="9"/>
                <w:szCs w:val="9"/>
                <w:color w:val="auto"/>
              </w:rPr>
              <w:t>1.54</w:t>
            </w:r>
          </w:p>
        </w:tc>
        <w:tc>
          <w:tcPr>
            <w:tcW w:w="180" w:type="dxa"/>
            <w:vAlign w:val="bottom"/>
          </w:tcPr>
          <w:p>
            <w:pPr>
              <w:jc w:val="right"/>
              <w:ind w:right="13"/>
              <w:spacing w:after="0" w:line="102" w:lineRule="exact"/>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jc w:val="right"/>
              <w:ind w:right="72"/>
              <w:spacing w:after="0" w:line="102" w:lineRule="exact"/>
              <w:rPr>
                <w:sz w:val="20"/>
                <w:szCs w:val="20"/>
                <w:color w:val="auto"/>
              </w:rPr>
            </w:pPr>
            <w:r>
              <w:rPr>
                <w:rFonts w:ascii="Times New Roman" w:cs="Times New Roman" w:eastAsia="Times New Roman" w:hAnsi="Times New Roman"/>
                <w:sz w:val="9"/>
                <w:szCs w:val="9"/>
                <w:color w:val="auto"/>
              </w:rPr>
              <w:t>2.30</w:t>
            </w:r>
          </w:p>
        </w:tc>
        <w:tc>
          <w:tcPr>
            <w:tcW w:w="200" w:type="dxa"/>
            <w:vAlign w:val="bottom"/>
          </w:tcPr>
          <w:p>
            <w:pPr>
              <w:jc w:val="right"/>
              <w:ind w:right="53"/>
              <w:spacing w:after="0" w:line="102" w:lineRule="exact"/>
              <w:rPr>
                <w:sz w:val="20"/>
                <w:szCs w:val="20"/>
                <w:color w:val="auto"/>
              </w:rPr>
            </w:pPr>
            <w:r>
              <w:rPr>
                <w:rFonts w:ascii="Times New Roman" w:cs="Times New Roman" w:eastAsia="Times New Roman" w:hAnsi="Times New Roman"/>
                <w:sz w:val="9"/>
                <w:szCs w:val="9"/>
                <w:color w:val="auto"/>
              </w:rPr>
              <w:t>%</w:t>
            </w:r>
          </w:p>
        </w:tc>
      </w:tr>
      <w:tr>
        <w:trPr>
          <w:trHeight w:val="134"/>
        </w:trPr>
        <w:tc>
          <w:tcPr>
            <w:tcW w:w="31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Net Interest Margin</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2.13</w:t>
            </w: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2.13</w:t>
            </w: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2.60</w:t>
            </w:r>
          </w:p>
        </w:tc>
        <w:tc>
          <w:tcPr>
            <w:tcW w:w="2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r>
      <w:tr>
        <w:trPr>
          <w:trHeight w:val="126"/>
        </w:trPr>
        <w:tc>
          <w:tcPr>
            <w:tcW w:w="3180" w:type="dxa"/>
            <w:vAlign w:val="bottom"/>
          </w:tcPr>
          <w:p>
            <w:pPr>
              <w:spacing w:after="0"/>
              <w:rPr>
                <w:sz w:val="20"/>
                <w:szCs w:val="20"/>
                <w:color w:val="auto"/>
              </w:rPr>
            </w:pPr>
            <w:r>
              <w:rPr>
                <w:rFonts w:ascii="Times New Roman" w:cs="Times New Roman" w:eastAsia="Times New Roman" w:hAnsi="Times New Roman"/>
                <w:sz w:val="9"/>
                <w:szCs w:val="9"/>
                <w:color w:val="auto"/>
              </w:rPr>
              <w:t>Noninterest-Bearing Demand Deposits</w:t>
            </w:r>
          </w:p>
        </w:tc>
        <w:tc>
          <w:tcPr>
            <w:tcW w:w="18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5,695.8</w:t>
            </w: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5,842.0</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6,872.3</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34"/>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Other Liabilities</w:t>
            </w: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673.8</w:t>
            </w:r>
          </w:p>
        </w:tc>
        <w:tc>
          <w:tcPr>
            <w:tcW w:w="6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636.0</w:t>
            </w: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552.9</w:t>
            </w: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r>
      <w:tr>
        <w:trPr>
          <w:trHeight w:val="130"/>
        </w:trPr>
        <w:tc>
          <w:tcPr>
            <w:tcW w:w="3180" w:type="dxa"/>
            <w:vAlign w:val="bottom"/>
          </w:tcPr>
          <w:p>
            <w:pPr>
              <w:spacing w:after="0"/>
              <w:rPr>
                <w:sz w:val="20"/>
                <w:szCs w:val="20"/>
                <w:color w:val="auto"/>
              </w:rPr>
            </w:pPr>
            <w:r>
              <w:rPr>
                <w:rFonts w:ascii="Times New Roman" w:cs="Times New Roman" w:eastAsia="Times New Roman" w:hAnsi="Times New Roman"/>
                <w:sz w:val="9"/>
                <w:szCs w:val="9"/>
                <w:color w:val="auto"/>
              </w:rPr>
              <w:t>Shareholders' Equity</w:t>
            </w: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1,360.6</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1,365.1</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1,286.3</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62"/>
        </w:trPr>
        <w:tc>
          <w:tcPr>
            <w:tcW w:w="3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Liabilities and Shareholders' Equity</w:t>
            </w:r>
          </w:p>
        </w:tc>
        <w:tc>
          <w:tcPr>
            <w:tcW w:w="1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23,449.2</w:t>
            </w:r>
          </w:p>
        </w:tc>
        <w:tc>
          <w:tcPr>
            <w:tcW w:w="6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24,387.4</w:t>
            </w: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8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23,147.4</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-1764030</wp:posOffset>
            </wp:positionV>
            <wp:extent cx="5334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3400" cy="762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-1764030</wp:posOffset>
            </wp:positionV>
            <wp:extent cx="5181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816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-1764030</wp:posOffset>
            </wp:positionV>
            <wp:extent cx="5181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8160" cy="7620"/>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-547370</wp:posOffset>
            </wp:positionV>
            <wp:extent cx="3155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5595" cy="7620"/>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-532765</wp:posOffset>
            </wp:positionV>
            <wp:extent cx="31559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5595" cy="7620"/>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-547370</wp:posOffset>
            </wp:positionV>
            <wp:extent cx="3003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0355" cy="7620"/>
                    </a:xfrm>
                    <a:prstGeom prst="rect">
                      <a:avLst/>
                    </a:prstGeom>
                    <a:noFill/>
                  </pic:spPr>
                </pic:pic>
              </a:graphicData>
            </a:graphic>
          </wp:anchor>
        </w:drawing>
        <w:drawing>
          <wp:anchor simplePos="0" relativeHeight="251657728" behindDoc="1" locked="0" layoutInCell="0" allowOverlap="1">
            <wp:simplePos x="0" y="0"/>
            <wp:positionH relativeFrom="column">
              <wp:posOffset>4982845</wp:posOffset>
            </wp:positionH>
            <wp:positionV relativeFrom="paragraph">
              <wp:posOffset>-532765</wp:posOffset>
            </wp:positionV>
            <wp:extent cx="30035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0355" cy="7620"/>
                    </a:xfrm>
                    <a:prstGeom prst="rect">
                      <a:avLst/>
                    </a:prstGeom>
                    <a:noFill/>
                  </pic:spPr>
                </pic:pic>
              </a:graphicData>
            </a:graphic>
          </wp:anchor>
        </w:drawing>
        <w:drawing>
          <wp:anchor simplePos="0" relativeHeight="251657728" behindDoc="1" locked="0" layoutInCell="0" allowOverlap="1">
            <wp:simplePos x="0" y="0"/>
            <wp:positionH relativeFrom="column">
              <wp:posOffset>6650355</wp:posOffset>
            </wp:positionH>
            <wp:positionV relativeFrom="paragraph">
              <wp:posOffset>-547370</wp:posOffset>
            </wp:positionV>
            <wp:extent cx="3003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0355" cy="7620"/>
                    </a:xfrm>
                    <a:prstGeom prst="rect">
                      <a:avLst/>
                    </a:prstGeom>
                    <a:noFill/>
                  </pic:spPr>
                </pic:pic>
              </a:graphicData>
            </a:graphic>
          </wp:anchor>
        </w:drawing>
        <w:drawing>
          <wp:anchor simplePos="0" relativeHeight="251657728" behindDoc="1" locked="0" layoutInCell="0" allowOverlap="1">
            <wp:simplePos x="0" y="0"/>
            <wp:positionH relativeFrom="column">
              <wp:posOffset>6650355</wp:posOffset>
            </wp:positionH>
            <wp:positionV relativeFrom="paragraph">
              <wp:posOffset>-532765</wp:posOffset>
            </wp:positionV>
            <wp:extent cx="3003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0355" cy="762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-21590</wp:posOffset>
            </wp:positionV>
            <wp:extent cx="5334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3400" cy="762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-6985</wp:posOffset>
            </wp:positionV>
            <wp:extent cx="5334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3400" cy="762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-21590</wp:posOffset>
            </wp:positionV>
            <wp:extent cx="5181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8160" cy="762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-6985</wp:posOffset>
            </wp:positionV>
            <wp:extent cx="5181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816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-21590</wp:posOffset>
            </wp:positionV>
            <wp:extent cx="5181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8160" cy="7620"/>
                    </a:xfrm>
                    <a:prstGeom prst="rect">
                      <a:avLst/>
                    </a:prstGeom>
                    <a:noFill/>
                  </pic:spPr>
                </pic:pic>
              </a:graphicData>
            </a:graphic>
          </wp:anchor>
        </w:drawing>
        <w:drawing>
          <wp:anchor simplePos="0" relativeHeight="251657728" behindDoc="1" locked="0" layoutInCell="0" allowOverlap="1">
            <wp:simplePos x="0" y="0"/>
            <wp:positionH relativeFrom="column">
              <wp:posOffset>6064250</wp:posOffset>
            </wp:positionH>
            <wp:positionV relativeFrom="paragraph">
              <wp:posOffset>-6985</wp:posOffset>
            </wp:positionV>
            <wp:extent cx="51816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8160" cy="7620"/>
                    </a:xfrm>
                    <a:prstGeom prst="rect">
                      <a:avLst/>
                    </a:prstGeom>
                    <a:noFill/>
                  </pic:spPr>
                </pic:pic>
              </a:graphicData>
            </a:graphic>
          </wp:anchor>
        </w:drawing>
      </w:r>
    </w:p>
    <w:p>
      <w:pPr>
        <w:spacing w:after="0" w:line="82" w:lineRule="exact"/>
        <w:rPr>
          <w:sz w:val="20"/>
          <w:szCs w:val="20"/>
          <w:color w:val="auto"/>
        </w:rPr>
      </w:pPr>
    </w:p>
    <w:p>
      <w:pPr>
        <w:ind w:left="80" w:hanging="74"/>
        <w:spacing w:after="0"/>
        <w:tabs>
          <w:tab w:leader="none" w:pos="80" w:val="left"/>
        </w:tabs>
        <w:numPr>
          <w:ilvl w:val="0"/>
          <w:numId w:val="6"/>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Due to rounding, the amounts presented in this table may not tie to other amounts presented elsewhere in this report.</w:t>
      </w:r>
    </w:p>
    <w:p>
      <w:pPr>
        <w:spacing w:after="0" w:line="9" w:lineRule="exact"/>
        <w:rPr>
          <w:sz w:val="20"/>
          <w:szCs w:val="20"/>
          <w:color w:val="auto"/>
        </w:rPr>
      </w:pPr>
    </w:p>
    <w:p>
      <w:pPr>
        <w:ind w:left="100" w:right="5580" w:hanging="94"/>
        <w:spacing w:after="0" w:line="237" w:lineRule="auto"/>
        <w:tabs>
          <w:tab w:leader="none" w:pos="84" w:val="left"/>
        </w:tabs>
        <w:numPr>
          <w:ilvl w:val="0"/>
          <w:numId w:val="7"/>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Interest income includes taxable-equivalent basis adjustments, based upon a federal statutory tax rate of 21%, of $605,000, $437,000, and $433,000 for the three months ended December 31, 2023, September 30, 2023, and December 31, 2022, respectively.</w:t>
      </w:r>
    </w:p>
    <w:p>
      <w:pPr>
        <w:ind w:left="80" w:hanging="74"/>
        <w:spacing w:after="0" w:line="213" w:lineRule="auto"/>
        <w:tabs>
          <w:tab w:leader="none" w:pos="80" w:val="left"/>
        </w:tabs>
        <w:numPr>
          <w:ilvl w:val="0"/>
          <w:numId w:val="8"/>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Non-performing loans and leases are included in the respective average loan and lease balances. Income, if any, on such loans and leases is recognized on a cash basis.</w:t>
      </w:r>
    </w:p>
    <w:p>
      <w:pPr>
        <w:spacing w:after="0" w:line="17" w:lineRule="exact"/>
        <w:rPr>
          <w:rFonts w:ascii="Times New Roman" w:cs="Times New Roman" w:eastAsia="Times New Roman" w:hAnsi="Times New Roman"/>
          <w:sz w:val="13"/>
          <w:szCs w:val="13"/>
          <w:color w:val="auto"/>
          <w:vertAlign w:val="superscript"/>
        </w:rPr>
      </w:pPr>
    </w:p>
    <w:p>
      <w:pPr>
        <w:spacing w:after="0"/>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2"/>
          <w:szCs w:val="12"/>
          <w:color w:val="auto"/>
          <w:vertAlign w:val="superscript"/>
        </w:rPr>
        <w:t>4</w:t>
      </w:r>
      <w:r>
        <w:rPr>
          <w:rFonts w:ascii="Times New Roman" w:cs="Times New Roman" w:eastAsia="Times New Roman" w:hAnsi="Times New Roman"/>
          <w:sz w:val="9"/>
          <w:szCs w:val="9"/>
          <w:color w:val="auto"/>
        </w:rPr>
        <w:t xml:space="preserve">  Comprised of other consumer revolving credit, installment, and consumer lease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591820</wp:posOffset>
            </wp:positionV>
            <wp:extent cx="717486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8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9"/>
                <w:szCs w:val="19"/>
                <w:b w:val="1"/>
                <w:bCs w:val="1"/>
                <w:color w:val="auto"/>
              </w:rPr>
              <w:t xml:space="preserve">Average Balances and Interest Rates - Taxable-Equivalent Basis </w:t>
            </w:r>
            <w:r>
              <w:rPr>
                <w:rFonts w:ascii="Times New Roman" w:cs="Times New Roman" w:eastAsia="Times New Roman" w:hAnsi="Times New Roman"/>
                <w:sz w:val="21"/>
                <w:szCs w:val="21"/>
                <w:b w:val="1"/>
                <w:bCs w:val="1"/>
                <w:color w:val="auto"/>
                <w:vertAlign w:val="superscript"/>
              </w:rPr>
              <w:t>1</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Table 7b</w:t>
            </w:r>
          </w:p>
        </w:tc>
      </w:tr>
      <w:tr>
        <w:trPr>
          <w:trHeight w:val="124"/>
        </w:trPr>
        <w:tc>
          <w:tcPr>
            <w:tcW w:w="3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jc w:val="right"/>
              <w:ind w:right="173"/>
              <w:spacing w:after="0"/>
              <w:rPr>
                <w:sz w:val="20"/>
                <w:szCs w:val="20"/>
                <w:color w:val="auto"/>
              </w:rPr>
            </w:pPr>
            <w:r>
              <w:rPr>
                <w:rFonts w:ascii="Times New Roman" w:cs="Times New Roman" w:eastAsia="Times New Roman" w:hAnsi="Times New Roman"/>
                <w:sz w:val="9"/>
                <w:szCs w:val="9"/>
                <w:b w:val="1"/>
                <w:bCs w:val="1"/>
                <w:color w:val="auto"/>
              </w:rPr>
              <w:t>Year Ended</w:t>
            </w: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Year Ended</w:t>
            </w: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32"/>
        </w:trPr>
        <w:tc>
          <w:tcPr>
            <w:tcW w:w="36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December 31, 2023</w:t>
            </w:r>
          </w:p>
        </w:tc>
        <w:tc>
          <w:tcPr>
            <w:tcW w:w="4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December 31, 2022</w:t>
            </w: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108"/>
        </w:trPr>
        <w:tc>
          <w:tcPr>
            <w:tcW w:w="3640" w:type="dxa"/>
            <w:vAlign w:val="bottom"/>
          </w:tcPr>
          <w:p>
            <w:pPr>
              <w:spacing w:after="0"/>
              <w:rPr>
                <w:sz w:val="9"/>
                <w:szCs w:val="9"/>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Average</w:t>
            </w:r>
          </w:p>
        </w:tc>
        <w:tc>
          <w:tcPr>
            <w:tcW w:w="500" w:type="dxa"/>
            <w:vAlign w:val="bottom"/>
          </w:tcPr>
          <w:p>
            <w:pPr>
              <w:spacing w:after="0"/>
              <w:rPr>
                <w:sz w:val="9"/>
                <w:szCs w:val="9"/>
                <w:color w:val="auto"/>
              </w:rPr>
            </w:pPr>
          </w:p>
        </w:tc>
        <w:tc>
          <w:tcPr>
            <w:tcW w:w="88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Income /</w:t>
            </w:r>
          </w:p>
        </w:tc>
        <w:tc>
          <w:tcPr>
            <w:tcW w:w="420" w:type="dxa"/>
            <w:vAlign w:val="bottom"/>
          </w:tcPr>
          <w:p>
            <w:pPr>
              <w:spacing w:after="0"/>
              <w:rPr>
                <w:sz w:val="9"/>
                <w:szCs w:val="9"/>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9"/>
                <w:szCs w:val="9"/>
                <w:b w:val="1"/>
                <w:bCs w:val="1"/>
                <w:color w:val="auto"/>
              </w:rPr>
              <w:t>Yield /</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jc w:val="right"/>
              <w:ind w:right="493"/>
              <w:spacing w:after="0"/>
              <w:rPr>
                <w:sz w:val="20"/>
                <w:szCs w:val="20"/>
                <w:color w:val="auto"/>
              </w:rPr>
            </w:pPr>
            <w:r>
              <w:rPr>
                <w:rFonts w:ascii="Times New Roman" w:cs="Times New Roman" w:eastAsia="Times New Roman" w:hAnsi="Times New Roman"/>
                <w:sz w:val="9"/>
                <w:szCs w:val="9"/>
                <w:b w:val="1"/>
                <w:bCs w:val="1"/>
                <w:color w:val="auto"/>
              </w:rPr>
              <w:t>Average</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Income /</w:t>
            </w:r>
          </w:p>
        </w:tc>
        <w:tc>
          <w:tcPr>
            <w:tcW w:w="400" w:type="dxa"/>
            <w:vAlign w:val="bottom"/>
          </w:tcPr>
          <w:p>
            <w:pPr>
              <w:spacing w:after="0"/>
              <w:rPr>
                <w:sz w:val="9"/>
                <w:szCs w:val="9"/>
                <w:color w:val="auto"/>
              </w:rPr>
            </w:pP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9"/>
                <w:szCs w:val="9"/>
                <w:b w:val="1"/>
                <w:bCs w:val="1"/>
                <w:color w:val="auto"/>
              </w:rPr>
              <w:t>Yield /</w:t>
            </w:r>
          </w:p>
        </w:tc>
        <w:tc>
          <w:tcPr>
            <w:tcW w:w="240" w:type="dxa"/>
            <w:vAlign w:val="bottom"/>
          </w:tcPr>
          <w:p>
            <w:pPr>
              <w:spacing w:after="0"/>
              <w:rPr>
                <w:sz w:val="9"/>
                <w:szCs w:val="9"/>
                <w:color w:val="auto"/>
              </w:rPr>
            </w:pPr>
          </w:p>
        </w:tc>
      </w:tr>
      <w:tr>
        <w:trPr>
          <w:trHeight w:val="163"/>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(dollars in millions)</w:t>
            </w: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Balance</w:t>
            </w: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b w:val="1"/>
                <w:bCs w:val="1"/>
                <w:color w:val="auto"/>
              </w:rPr>
              <w:t xml:space="preserve">Expense </w:t>
            </w:r>
            <w:r>
              <w:rPr>
                <w:rFonts w:ascii="Times New Roman" w:cs="Times New Roman" w:eastAsia="Times New Roman" w:hAnsi="Times New Roman"/>
                <w:sz w:val="12"/>
                <w:szCs w:val="12"/>
                <w:b w:val="1"/>
                <w:bCs w:val="1"/>
                <w:color w:val="auto"/>
                <w:vertAlign w:val="superscript"/>
              </w:rPr>
              <w:t>2</w:t>
            </w: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9"/>
                <w:szCs w:val="9"/>
                <w:b w:val="1"/>
                <w:bCs w:val="1"/>
                <w:color w:val="auto"/>
              </w:rPr>
              <w:t>Rate</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9"/>
                <w:szCs w:val="9"/>
                <w:b w:val="1"/>
                <w:bCs w:val="1"/>
                <w:color w:val="auto"/>
              </w:rPr>
              <w:t>Balance</w:t>
            </w: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9"/>
                <w:szCs w:val="9"/>
                <w:b w:val="1"/>
                <w:bCs w:val="1"/>
                <w:color w:val="auto"/>
              </w:rPr>
              <w:t xml:space="preserve">Expense </w:t>
            </w:r>
            <w:r>
              <w:rPr>
                <w:rFonts w:ascii="Times New Roman" w:cs="Times New Roman" w:eastAsia="Times New Roman" w:hAnsi="Times New Roman"/>
                <w:sz w:val="12"/>
                <w:szCs w:val="12"/>
                <w:b w:val="1"/>
                <w:bCs w:val="1"/>
                <w:color w:val="auto"/>
                <w:vertAlign w:val="superscript"/>
              </w:rPr>
              <w:t>2</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9"/>
                <w:szCs w:val="9"/>
                <w:b w:val="1"/>
                <w:bCs w:val="1"/>
                <w:color w:val="auto"/>
              </w:rPr>
              <w:t>Rate</w:t>
            </w:r>
          </w:p>
        </w:tc>
        <w:tc>
          <w:tcPr>
            <w:tcW w:w="240" w:type="dxa"/>
            <w:vAlign w:val="bottom"/>
            <w:tcBorders>
              <w:bottom w:val="single" w:sz="8" w:color="auto"/>
            </w:tcBorders>
          </w:tcPr>
          <w:p>
            <w:pPr>
              <w:spacing w:after="0"/>
              <w:rPr>
                <w:sz w:val="14"/>
                <w:szCs w:val="14"/>
                <w:color w:val="auto"/>
              </w:rPr>
            </w:pPr>
          </w:p>
        </w:tc>
      </w:tr>
      <w:tr>
        <w:trPr>
          <w:trHeight w:val="1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Earning Assets</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r>
      <w:tr>
        <w:trPr>
          <w:trHeight w:val="126"/>
        </w:trPr>
        <w:tc>
          <w:tcPr>
            <w:tcW w:w="3640" w:type="dxa"/>
            <w:vAlign w:val="bottom"/>
          </w:tcPr>
          <w:p>
            <w:pPr>
              <w:spacing w:after="0"/>
              <w:rPr>
                <w:sz w:val="20"/>
                <w:szCs w:val="20"/>
                <w:color w:val="auto"/>
              </w:rPr>
            </w:pPr>
            <w:r>
              <w:rPr>
                <w:rFonts w:ascii="Times New Roman" w:cs="Times New Roman" w:eastAsia="Times New Roman" w:hAnsi="Times New Roman"/>
                <w:sz w:val="9"/>
                <w:szCs w:val="9"/>
                <w:color w:val="auto"/>
              </w:rPr>
              <w:t>Interest-Bearing Deposits in Other Banks</w:t>
            </w:r>
          </w:p>
        </w:tc>
        <w:tc>
          <w:tcPr>
            <w:tcW w:w="840" w:type="dxa"/>
            <w:vAlign w:val="bottom"/>
          </w:tcPr>
          <w:p>
            <w:pPr>
              <w:jc w:val="right"/>
              <w:ind w:right="733"/>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3.5</w:t>
            </w:r>
          </w:p>
        </w:tc>
        <w:tc>
          <w:tcPr>
            <w:tcW w:w="880" w:type="dxa"/>
            <w:vAlign w:val="bottom"/>
          </w:tcPr>
          <w:p>
            <w:pPr>
              <w:jc w:val="right"/>
              <w:ind w:right="773"/>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0.1</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2.44</w:t>
            </w:r>
          </w:p>
        </w:tc>
        <w:tc>
          <w:tcPr>
            <w:tcW w:w="420" w:type="dxa"/>
            <w:vAlign w:val="bottom"/>
            <w:gridSpan w:val="2"/>
          </w:tcPr>
          <w:p>
            <w:pPr>
              <w:jc w:val="right"/>
              <w:ind w:right="133"/>
              <w:spacing w:after="0"/>
              <w:rPr>
                <w:sz w:val="20"/>
                <w:szCs w:val="20"/>
                <w:color w:val="auto"/>
              </w:rPr>
            </w:pPr>
            <w:r>
              <w:rPr>
                <w:rFonts w:ascii="Times New Roman" w:cs="Times New Roman" w:eastAsia="Times New Roman" w:hAnsi="Times New Roman"/>
                <w:sz w:val="9"/>
                <w:szCs w:val="9"/>
                <w:color w:val="auto"/>
              </w:rPr>
              <w:t>%  $</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3.0</w:t>
            </w:r>
          </w:p>
        </w:tc>
        <w:tc>
          <w:tcPr>
            <w:tcW w:w="860" w:type="dxa"/>
            <w:vAlign w:val="bottom"/>
          </w:tcPr>
          <w:p>
            <w:pPr>
              <w:jc w:val="right"/>
              <w:ind w:right="753"/>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1.05</w:t>
            </w:r>
          </w:p>
        </w:tc>
        <w:tc>
          <w:tcPr>
            <w:tcW w:w="240" w:type="dxa"/>
            <w:vAlign w:val="bottom"/>
          </w:tcPr>
          <w:p>
            <w:pPr>
              <w:jc w:val="right"/>
              <w:ind w:right="113"/>
              <w:spacing w:after="0"/>
              <w:rPr>
                <w:sz w:val="20"/>
                <w:szCs w:val="20"/>
                <w:color w:val="auto"/>
              </w:rPr>
            </w:pPr>
            <w:r>
              <w:rPr>
                <w:rFonts w:ascii="Times New Roman" w:cs="Times New Roman" w:eastAsia="Times New Roman" w:hAnsi="Times New Roman"/>
                <w:sz w:val="9"/>
                <w:szCs w:val="9"/>
                <w:color w:val="auto"/>
                <w:w w:val="79"/>
              </w:rPr>
              <w:t>%</w:t>
            </w:r>
          </w:p>
        </w:tc>
      </w:tr>
      <w:tr>
        <w:trPr>
          <w:trHeight w:val="134"/>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Funds Sold</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540.4</w:t>
            </w: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28.3</w:t>
            </w:r>
          </w:p>
        </w:tc>
        <w:tc>
          <w:tcPr>
            <w:tcW w:w="10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5.24</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260.5</w:t>
            </w: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4.3</w:t>
            </w: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1.64</w:t>
            </w:r>
          </w:p>
        </w:tc>
        <w:tc>
          <w:tcPr>
            <w:tcW w:w="240" w:type="dxa"/>
            <w:vAlign w:val="bottom"/>
            <w:shd w:val="clear" w:color="auto" w:fill="CFF0FC"/>
          </w:tcPr>
          <w:p>
            <w:pPr>
              <w:spacing w:after="0"/>
              <w:rPr>
                <w:sz w:val="11"/>
                <w:szCs w:val="11"/>
                <w:color w:val="auto"/>
              </w:rPr>
            </w:pPr>
          </w:p>
        </w:tc>
      </w:tr>
      <w:tr>
        <w:trPr>
          <w:trHeight w:val="126"/>
        </w:trPr>
        <w:tc>
          <w:tcPr>
            <w:tcW w:w="3640" w:type="dxa"/>
            <w:vAlign w:val="bottom"/>
          </w:tcPr>
          <w:p>
            <w:pPr>
              <w:spacing w:after="0"/>
              <w:rPr>
                <w:sz w:val="20"/>
                <w:szCs w:val="20"/>
                <w:color w:val="auto"/>
              </w:rPr>
            </w:pPr>
            <w:r>
              <w:rPr>
                <w:rFonts w:ascii="Times New Roman" w:cs="Times New Roman" w:eastAsia="Times New Roman" w:hAnsi="Times New Roman"/>
                <w:sz w:val="9"/>
                <w:szCs w:val="9"/>
                <w:color w:val="auto"/>
              </w:rPr>
              <w:t>Investment Securities</w:t>
            </w: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34"/>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Available-for-Sale</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r>
      <w:tr>
        <w:trPr>
          <w:trHeight w:val="126"/>
        </w:trPr>
        <w:tc>
          <w:tcPr>
            <w:tcW w:w="3640" w:type="dxa"/>
            <w:vAlign w:val="bottom"/>
          </w:tcPr>
          <w:p>
            <w:pPr>
              <w:ind w:left="180"/>
              <w:spacing w:after="0"/>
              <w:rPr>
                <w:sz w:val="20"/>
                <w:szCs w:val="20"/>
                <w:color w:val="auto"/>
              </w:rPr>
            </w:pPr>
            <w:r>
              <w:rPr>
                <w:rFonts w:ascii="Times New Roman" w:cs="Times New Roman" w:eastAsia="Times New Roman" w:hAnsi="Times New Roman"/>
                <w:sz w:val="9"/>
                <w:szCs w:val="9"/>
                <w:color w:val="auto"/>
              </w:rPr>
              <w:t>Taxable</w:t>
            </w:r>
          </w:p>
        </w:tc>
        <w:tc>
          <w:tcPr>
            <w:tcW w:w="840" w:type="dxa"/>
            <w:vAlign w:val="bottom"/>
          </w:tcPr>
          <w:p>
            <w:pPr>
              <w:spacing w:after="0"/>
              <w:rPr>
                <w:sz w:val="10"/>
                <w:szCs w:val="10"/>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2,631.0</w:t>
            </w:r>
          </w:p>
        </w:tc>
        <w:tc>
          <w:tcPr>
            <w:tcW w:w="880" w:type="dxa"/>
            <w:vAlign w:val="bottom"/>
          </w:tcPr>
          <w:p>
            <w:pPr>
              <w:spacing w:after="0"/>
              <w:rPr>
                <w:sz w:val="10"/>
                <w:szCs w:val="10"/>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93.4</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3.55</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3,644.2</w:t>
            </w:r>
          </w:p>
        </w:tc>
        <w:tc>
          <w:tcPr>
            <w:tcW w:w="860" w:type="dxa"/>
            <w:vAlign w:val="bottom"/>
          </w:tcPr>
          <w:p>
            <w:pPr>
              <w:spacing w:after="0"/>
              <w:rPr>
                <w:sz w:val="10"/>
                <w:szCs w:val="10"/>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70.5</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1.93</w:t>
            </w:r>
          </w:p>
        </w:tc>
        <w:tc>
          <w:tcPr>
            <w:tcW w:w="240" w:type="dxa"/>
            <w:vAlign w:val="bottom"/>
          </w:tcPr>
          <w:p>
            <w:pPr>
              <w:spacing w:after="0"/>
              <w:rPr>
                <w:sz w:val="10"/>
                <w:szCs w:val="10"/>
                <w:color w:val="auto"/>
              </w:rPr>
            </w:pPr>
          </w:p>
        </w:tc>
      </w:tr>
      <w:tr>
        <w:trPr>
          <w:trHeight w:val="134"/>
        </w:trPr>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Non-Taxable</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6.1</w:t>
            </w: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0.2</w:t>
            </w:r>
          </w:p>
        </w:tc>
        <w:tc>
          <w:tcPr>
            <w:tcW w:w="10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4.06</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4.0</w:t>
            </w: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0.1</w:t>
            </w: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2.92</w:t>
            </w:r>
          </w:p>
        </w:tc>
        <w:tc>
          <w:tcPr>
            <w:tcW w:w="240" w:type="dxa"/>
            <w:vAlign w:val="bottom"/>
            <w:shd w:val="clear" w:color="auto" w:fill="CFF0FC"/>
          </w:tcPr>
          <w:p>
            <w:pPr>
              <w:spacing w:after="0"/>
              <w:rPr>
                <w:sz w:val="11"/>
                <w:szCs w:val="11"/>
                <w:color w:val="auto"/>
              </w:rPr>
            </w:pPr>
          </w:p>
        </w:tc>
      </w:tr>
      <w:tr>
        <w:trPr>
          <w:trHeight w:val="126"/>
        </w:trPr>
        <w:tc>
          <w:tcPr>
            <w:tcW w:w="3640" w:type="dxa"/>
            <w:vAlign w:val="bottom"/>
          </w:tcPr>
          <w:p>
            <w:pPr>
              <w:ind w:left="60"/>
              <w:spacing w:after="0"/>
              <w:rPr>
                <w:sz w:val="20"/>
                <w:szCs w:val="20"/>
                <w:color w:val="auto"/>
              </w:rPr>
            </w:pPr>
            <w:r>
              <w:rPr>
                <w:rFonts w:ascii="Times New Roman" w:cs="Times New Roman" w:eastAsia="Times New Roman" w:hAnsi="Times New Roman"/>
                <w:sz w:val="9"/>
                <w:szCs w:val="9"/>
                <w:color w:val="auto"/>
              </w:rPr>
              <w:t>Held-to-Maturity</w:t>
            </w: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34"/>
        </w:trPr>
        <w:tc>
          <w:tcPr>
            <w:tcW w:w="3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9"/>
                <w:szCs w:val="9"/>
                <w:color w:val="auto"/>
              </w:rPr>
              <w:t>Taxable</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5,173.9</w:t>
            </w: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92.2</w:t>
            </w:r>
          </w:p>
        </w:tc>
        <w:tc>
          <w:tcPr>
            <w:tcW w:w="10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1.78</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4,750.0</w:t>
            </w: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80.9</w:t>
            </w: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1.70</w:t>
            </w:r>
          </w:p>
        </w:tc>
        <w:tc>
          <w:tcPr>
            <w:tcW w:w="240" w:type="dxa"/>
            <w:vAlign w:val="bottom"/>
            <w:shd w:val="clear" w:color="auto" w:fill="CFF0FC"/>
          </w:tcPr>
          <w:p>
            <w:pPr>
              <w:spacing w:after="0"/>
              <w:rPr>
                <w:sz w:val="11"/>
                <w:szCs w:val="11"/>
                <w:color w:val="auto"/>
              </w:rPr>
            </w:pPr>
          </w:p>
        </w:tc>
      </w:tr>
      <w:tr>
        <w:trPr>
          <w:trHeight w:val="126"/>
        </w:trPr>
        <w:tc>
          <w:tcPr>
            <w:tcW w:w="3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9"/>
                <w:szCs w:val="9"/>
                <w:color w:val="auto"/>
              </w:rPr>
              <w:t>Non-Taxable</w:t>
            </w:r>
          </w:p>
        </w:tc>
        <w:tc>
          <w:tcPr>
            <w:tcW w:w="8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35.1</w:t>
            </w:r>
          </w:p>
        </w:tc>
        <w:tc>
          <w:tcPr>
            <w:tcW w:w="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0.7</w:t>
            </w: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2.10</w:t>
            </w: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35.6</w:t>
            </w:r>
          </w:p>
        </w:tc>
        <w:tc>
          <w:tcPr>
            <w:tcW w:w="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0.7</w:t>
            </w: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2.10</w:t>
            </w:r>
          </w:p>
        </w:tc>
        <w:tc>
          <w:tcPr>
            <w:tcW w:w="240" w:type="dxa"/>
            <w:vAlign w:val="bottom"/>
            <w:tcBorders>
              <w:bottom w:val="single" w:sz="8" w:color="auto"/>
            </w:tcBorders>
          </w:tcPr>
          <w:p>
            <w:pPr>
              <w:spacing w:after="0"/>
              <w:rPr>
                <w:sz w:val="10"/>
                <w:szCs w:val="10"/>
                <w:color w:val="auto"/>
              </w:rPr>
            </w:pPr>
          </w:p>
        </w:tc>
      </w:tr>
      <w:tr>
        <w:trPr>
          <w:trHeight w:val="122"/>
        </w:trPr>
        <w:tc>
          <w:tcPr>
            <w:tcW w:w="3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Investment Securities</w:t>
            </w:r>
          </w:p>
        </w:tc>
        <w:tc>
          <w:tcPr>
            <w:tcW w:w="84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7,846.1</w:t>
            </w:r>
          </w:p>
        </w:tc>
        <w:tc>
          <w:tcPr>
            <w:tcW w:w="8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186.5</w:t>
            </w:r>
          </w:p>
        </w:tc>
        <w:tc>
          <w:tcPr>
            <w:tcW w:w="10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2.38</w:t>
            </w:r>
          </w:p>
        </w:tc>
        <w:tc>
          <w:tcPr>
            <w:tcW w:w="180" w:type="dxa"/>
            <w:vAlign w:val="bottom"/>
            <w:tcBorders>
              <w:bottom w:val="single" w:sz="8" w:color="auto"/>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106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8,433.8</w:t>
            </w:r>
          </w:p>
        </w:tc>
        <w:tc>
          <w:tcPr>
            <w:tcW w:w="86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152.2</w:t>
            </w:r>
          </w:p>
        </w:tc>
        <w:tc>
          <w:tcPr>
            <w:tcW w:w="9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1.80</w:t>
            </w:r>
          </w:p>
        </w:tc>
        <w:tc>
          <w:tcPr>
            <w:tcW w:w="240" w:type="dxa"/>
            <w:vAlign w:val="bottom"/>
            <w:tcBorders>
              <w:bottom w:val="single" w:sz="8" w:color="auto"/>
            </w:tcBorders>
            <w:shd w:val="clear" w:color="auto" w:fill="CFF0FC"/>
          </w:tcPr>
          <w:p>
            <w:pPr>
              <w:spacing w:after="0"/>
              <w:rPr>
                <w:sz w:val="10"/>
                <w:szCs w:val="10"/>
                <w:color w:val="auto"/>
              </w:rPr>
            </w:pPr>
          </w:p>
        </w:tc>
      </w:tr>
      <w:tr>
        <w:trPr>
          <w:trHeight w:val="122"/>
        </w:trPr>
        <w:tc>
          <w:tcPr>
            <w:tcW w:w="3640" w:type="dxa"/>
            <w:vAlign w:val="bottom"/>
          </w:tcPr>
          <w:p>
            <w:pPr>
              <w:spacing w:after="0"/>
              <w:rPr>
                <w:sz w:val="20"/>
                <w:szCs w:val="20"/>
                <w:color w:val="auto"/>
              </w:rPr>
            </w:pPr>
            <w:r>
              <w:rPr>
                <w:rFonts w:ascii="Times New Roman" w:cs="Times New Roman" w:eastAsia="Times New Roman" w:hAnsi="Times New Roman"/>
                <w:sz w:val="9"/>
                <w:szCs w:val="9"/>
                <w:color w:val="auto"/>
              </w:rPr>
              <w:t>Loans Held for Sale</w:t>
            </w:r>
          </w:p>
        </w:tc>
        <w:tc>
          <w:tcPr>
            <w:tcW w:w="840" w:type="dxa"/>
            <w:vAlign w:val="bottom"/>
          </w:tcPr>
          <w:p>
            <w:pPr>
              <w:spacing w:after="0"/>
              <w:rPr>
                <w:sz w:val="10"/>
                <w:szCs w:val="10"/>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3.0</w:t>
            </w:r>
          </w:p>
        </w:tc>
        <w:tc>
          <w:tcPr>
            <w:tcW w:w="880" w:type="dxa"/>
            <w:vAlign w:val="bottom"/>
          </w:tcPr>
          <w:p>
            <w:pPr>
              <w:spacing w:after="0"/>
              <w:rPr>
                <w:sz w:val="10"/>
                <w:szCs w:val="10"/>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0.2</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6.16</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6.9</w:t>
            </w:r>
          </w:p>
        </w:tc>
        <w:tc>
          <w:tcPr>
            <w:tcW w:w="860" w:type="dxa"/>
            <w:vAlign w:val="bottom"/>
          </w:tcPr>
          <w:p>
            <w:pPr>
              <w:spacing w:after="0"/>
              <w:rPr>
                <w:sz w:val="10"/>
                <w:szCs w:val="10"/>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0.3</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3.70</w:t>
            </w:r>
          </w:p>
        </w:tc>
        <w:tc>
          <w:tcPr>
            <w:tcW w:w="240" w:type="dxa"/>
            <w:vAlign w:val="bottom"/>
          </w:tcPr>
          <w:p>
            <w:pPr>
              <w:spacing w:after="0"/>
              <w:rPr>
                <w:sz w:val="10"/>
                <w:szCs w:val="10"/>
                <w:color w:val="auto"/>
              </w:rPr>
            </w:pPr>
          </w:p>
        </w:tc>
      </w:tr>
      <w:tr>
        <w:trPr>
          <w:trHeight w:val="134"/>
        </w:trPr>
        <w:tc>
          <w:tcPr>
            <w:tcW w:w="364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9"/>
                <w:szCs w:val="9"/>
                <w:color w:val="auto"/>
              </w:rPr>
              <w:t xml:space="preserve">Loans and Leases </w:t>
            </w:r>
            <w:r>
              <w:rPr>
                <w:rFonts w:ascii="Times New Roman" w:cs="Times New Roman" w:eastAsia="Times New Roman" w:hAnsi="Times New Roman"/>
                <w:sz w:val="12"/>
                <w:szCs w:val="12"/>
                <w:color w:val="auto"/>
                <w:vertAlign w:val="superscript"/>
              </w:rPr>
              <w:t>3</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r>
      <w:tr>
        <w:trPr>
          <w:trHeight w:val="126"/>
        </w:trPr>
        <w:tc>
          <w:tcPr>
            <w:tcW w:w="3640" w:type="dxa"/>
            <w:vAlign w:val="bottom"/>
          </w:tcPr>
          <w:p>
            <w:pPr>
              <w:ind w:left="60"/>
              <w:spacing w:after="0"/>
              <w:rPr>
                <w:sz w:val="20"/>
                <w:szCs w:val="20"/>
                <w:color w:val="auto"/>
              </w:rPr>
            </w:pPr>
            <w:r>
              <w:rPr>
                <w:rFonts w:ascii="Times New Roman" w:cs="Times New Roman" w:eastAsia="Times New Roman" w:hAnsi="Times New Roman"/>
                <w:sz w:val="9"/>
                <w:szCs w:val="9"/>
                <w:color w:val="auto"/>
              </w:rPr>
              <w:t>Commercial and Industrial</w:t>
            </w:r>
          </w:p>
        </w:tc>
        <w:tc>
          <w:tcPr>
            <w:tcW w:w="840" w:type="dxa"/>
            <w:vAlign w:val="bottom"/>
          </w:tcPr>
          <w:p>
            <w:pPr>
              <w:spacing w:after="0"/>
              <w:rPr>
                <w:sz w:val="10"/>
                <w:szCs w:val="10"/>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1,497.1</w:t>
            </w:r>
          </w:p>
        </w:tc>
        <w:tc>
          <w:tcPr>
            <w:tcW w:w="880" w:type="dxa"/>
            <w:vAlign w:val="bottom"/>
          </w:tcPr>
          <w:p>
            <w:pPr>
              <w:spacing w:after="0"/>
              <w:rPr>
                <w:sz w:val="10"/>
                <w:szCs w:val="10"/>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74.0</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4.94</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1,349.3</w:t>
            </w:r>
          </w:p>
        </w:tc>
        <w:tc>
          <w:tcPr>
            <w:tcW w:w="860" w:type="dxa"/>
            <w:vAlign w:val="bottom"/>
          </w:tcPr>
          <w:p>
            <w:pPr>
              <w:spacing w:after="0"/>
              <w:rPr>
                <w:sz w:val="10"/>
                <w:szCs w:val="10"/>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46.2</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3.42</w:t>
            </w:r>
          </w:p>
        </w:tc>
        <w:tc>
          <w:tcPr>
            <w:tcW w:w="240" w:type="dxa"/>
            <w:vAlign w:val="bottom"/>
          </w:tcPr>
          <w:p>
            <w:pPr>
              <w:spacing w:after="0"/>
              <w:rPr>
                <w:sz w:val="10"/>
                <w:szCs w:val="10"/>
                <w:color w:val="auto"/>
              </w:rPr>
            </w:pPr>
          </w:p>
        </w:tc>
      </w:tr>
      <w:tr>
        <w:trPr>
          <w:trHeight w:val="134"/>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Paycheck Protection Program</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14.1</w:t>
            </w: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0.2</w:t>
            </w:r>
          </w:p>
        </w:tc>
        <w:tc>
          <w:tcPr>
            <w:tcW w:w="10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1.63</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44.0</w:t>
            </w: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2.7</w:t>
            </w: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6.07</w:t>
            </w:r>
          </w:p>
        </w:tc>
        <w:tc>
          <w:tcPr>
            <w:tcW w:w="240" w:type="dxa"/>
            <w:vAlign w:val="bottom"/>
            <w:shd w:val="clear" w:color="auto" w:fill="CFF0FC"/>
          </w:tcPr>
          <w:p>
            <w:pPr>
              <w:spacing w:after="0"/>
              <w:rPr>
                <w:sz w:val="11"/>
                <w:szCs w:val="11"/>
                <w:color w:val="auto"/>
              </w:rPr>
            </w:pPr>
          </w:p>
        </w:tc>
      </w:tr>
      <w:tr>
        <w:trPr>
          <w:trHeight w:val="126"/>
        </w:trPr>
        <w:tc>
          <w:tcPr>
            <w:tcW w:w="3640" w:type="dxa"/>
            <w:vAlign w:val="bottom"/>
          </w:tcPr>
          <w:p>
            <w:pPr>
              <w:ind w:left="60"/>
              <w:spacing w:after="0"/>
              <w:rPr>
                <w:sz w:val="20"/>
                <w:szCs w:val="20"/>
                <w:color w:val="auto"/>
              </w:rPr>
            </w:pPr>
            <w:r>
              <w:rPr>
                <w:rFonts w:ascii="Times New Roman" w:cs="Times New Roman" w:eastAsia="Times New Roman" w:hAnsi="Times New Roman"/>
                <w:sz w:val="9"/>
                <w:szCs w:val="9"/>
                <w:color w:val="auto"/>
              </w:rPr>
              <w:t>Commercial Mortgage</w:t>
            </w:r>
          </w:p>
        </w:tc>
        <w:tc>
          <w:tcPr>
            <w:tcW w:w="840" w:type="dxa"/>
            <w:vAlign w:val="bottom"/>
          </w:tcPr>
          <w:p>
            <w:pPr>
              <w:spacing w:after="0"/>
              <w:rPr>
                <w:sz w:val="10"/>
                <w:szCs w:val="10"/>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3,776.2</w:t>
            </w:r>
          </w:p>
        </w:tc>
        <w:tc>
          <w:tcPr>
            <w:tcW w:w="880" w:type="dxa"/>
            <w:vAlign w:val="bottom"/>
          </w:tcPr>
          <w:p>
            <w:pPr>
              <w:spacing w:after="0"/>
              <w:rPr>
                <w:sz w:val="10"/>
                <w:szCs w:val="10"/>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197.0</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5.22</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3,420.1</w:t>
            </w:r>
          </w:p>
        </w:tc>
        <w:tc>
          <w:tcPr>
            <w:tcW w:w="860" w:type="dxa"/>
            <w:vAlign w:val="bottom"/>
          </w:tcPr>
          <w:p>
            <w:pPr>
              <w:spacing w:after="0"/>
              <w:rPr>
                <w:sz w:val="10"/>
                <w:szCs w:val="10"/>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121.9</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3.56</w:t>
            </w:r>
          </w:p>
        </w:tc>
        <w:tc>
          <w:tcPr>
            <w:tcW w:w="240" w:type="dxa"/>
            <w:vAlign w:val="bottom"/>
          </w:tcPr>
          <w:p>
            <w:pPr>
              <w:spacing w:after="0"/>
              <w:rPr>
                <w:sz w:val="10"/>
                <w:szCs w:val="10"/>
                <w:color w:val="auto"/>
              </w:rPr>
            </w:pPr>
          </w:p>
        </w:tc>
      </w:tr>
      <w:tr>
        <w:trPr>
          <w:trHeight w:val="134"/>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Construction</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262.1</w:t>
            </w: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16.0</w:t>
            </w:r>
          </w:p>
        </w:tc>
        <w:tc>
          <w:tcPr>
            <w:tcW w:w="10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6.09</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232.6</w:t>
            </w: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10.6</w:t>
            </w: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4.56</w:t>
            </w:r>
          </w:p>
        </w:tc>
        <w:tc>
          <w:tcPr>
            <w:tcW w:w="240" w:type="dxa"/>
            <w:vAlign w:val="bottom"/>
            <w:shd w:val="clear" w:color="auto" w:fill="CFF0FC"/>
          </w:tcPr>
          <w:p>
            <w:pPr>
              <w:spacing w:after="0"/>
              <w:rPr>
                <w:sz w:val="11"/>
                <w:szCs w:val="11"/>
                <w:color w:val="auto"/>
              </w:rPr>
            </w:pPr>
          </w:p>
        </w:tc>
      </w:tr>
      <w:tr>
        <w:trPr>
          <w:trHeight w:val="126"/>
        </w:trPr>
        <w:tc>
          <w:tcPr>
            <w:tcW w:w="3640" w:type="dxa"/>
            <w:vAlign w:val="bottom"/>
          </w:tcPr>
          <w:p>
            <w:pPr>
              <w:ind w:left="60"/>
              <w:spacing w:after="0"/>
              <w:rPr>
                <w:sz w:val="20"/>
                <w:szCs w:val="20"/>
                <w:color w:val="auto"/>
              </w:rPr>
            </w:pPr>
            <w:r>
              <w:rPr>
                <w:rFonts w:ascii="Times New Roman" w:cs="Times New Roman" w:eastAsia="Times New Roman" w:hAnsi="Times New Roman"/>
                <w:sz w:val="9"/>
                <w:szCs w:val="9"/>
                <w:color w:val="auto"/>
              </w:rPr>
              <w:t>Commercial Lease Financing</w:t>
            </w:r>
          </w:p>
        </w:tc>
        <w:tc>
          <w:tcPr>
            <w:tcW w:w="840" w:type="dxa"/>
            <w:vAlign w:val="bottom"/>
          </w:tcPr>
          <w:p>
            <w:pPr>
              <w:spacing w:after="0"/>
              <w:rPr>
                <w:sz w:val="10"/>
                <w:szCs w:val="10"/>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63.7</w:t>
            </w:r>
          </w:p>
        </w:tc>
        <w:tc>
          <w:tcPr>
            <w:tcW w:w="880" w:type="dxa"/>
            <w:vAlign w:val="bottom"/>
          </w:tcPr>
          <w:p>
            <w:pPr>
              <w:spacing w:after="0"/>
              <w:rPr>
                <w:sz w:val="10"/>
                <w:szCs w:val="10"/>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0.8</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1.30</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88.5</w:t>
            </w:r>
          </w:p>
        </w:tc>
        <w:tc>
          <w:tcPr>
            <w:tcW w:w="860" w:type="dxa"/>
            <w:vAlign w:val="bottom"/>
          </w:tcPr>
          <w:p>
            <w:pPr>
              <w:spacing w:after="0"/>
              <w:rPr>
                <w:sz w:val="10"/>
                <w:szCs w:val="10"/>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1.3</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1.49</w:t>
            </w:r>
          </w:p>
        </w:tc>
        <w:tc>
          <w:tcPr>
            <w:tcW w:w="240" w:type="dxa"/>
            <w:vAlign w:val="bottom"/>
          </w:tcPr>
          <w:p>
            <w:pPr>
              <w:spacing w:after="0"/>
              <w:rPr>
                <w:sz w:val="10"/>
                <w:szCs w:val="10"/>
                <w:color w:val="auto"/>
              </w:rPr>
            </w:pPr>
          </w:p>
        </w:tc>
      </w:tr>
      <w:tr>
        <w:trPr>
          <w:trHeight w:val="134"/>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Residential Mortgage</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4,690.5</w:t>
            </w: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168.9</w:t>
            </w:r>
          </w:p>
        </w:tc>
        <w:tc>
          <w:tcPr>
            <w:tcW w:w="10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3.60</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4,484.2</w:t>
            </w: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147.4</w:t>
            </w: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3.29</w:t>
            </w:r>
          </w:p>
        </w:tc>
        <w:tc>
          <w:tcPr>
            <w:tcW w:w="240" w:type="dxa"/>
            <w:vAlign w:val="bottom"/>
            <w:shd w:val="clear" w:color="auto" w:fill="CFF0FC"/>
          </w:tcPr>
          <w:p>
            <w:pPr>
              <w:spacing w:after="0"/>
              <w:rPr>
                <w:sz w:val="11"/>
                <w:szCs w:val="11"/>
                <w:color w:val="auto"/>
              </w:rPr>
            </w:pPr>
          </w:p>
        </w:tc>
      </w:tr>
      <w:tr>
        <w:trPr>
          <w:trHeight w:val="126"/>
        </w:trPr>
        <w:tc>
          <w:tcPr>
            <w:tcW w:w="3640" w:type="dxa"/>
            <w:vAlign w:val="bottom"/>
          </w:tcPr>
          <w:p>
            <w:pPr>
              <w:ind w:left="60"/>
              <w:spacing w:after="0"/>
              <w:rPr>
                <w:sz w:val="20"/>
                <w:szCs w:val="20"/>
                <w:color w:val="auto"/>
              </w:rPr>
            </w:pPr>
            <w:r>
              <w:rPr>
                <w:rFonts w:ascii="Times New Roman" w:cs="Times New Roman" w:eastAsia="Times New Roman" w:hAnsi="Times New Roman"/>
                <w:sz w:val="9"/>
                <w:szCs w:val="9"/>
                <w:color w:val="auto"/>
              </w:rPr>
              <w:t>Home Equity</w:t>
            </w:r>
          </w:p>
        </w:tc>
        <w:tc>
          <w:tcPr>
            <w:tcW w:w="840" w:type="dxa"/>
            <w:vAlign w:val="bottom"/>
          </w:tcPr>
          <w:p>
            <w:pPr>
              <w:spacing w:after="0"/>
              <w:rPr>
                <w:sz w:val="10"/>
                <w:szCs w:val="10"/>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2,268.0</w:t>
            </w:r>
          </w:p>
        </w:tc>
        <w:tc>
          <w:tcPr>
            <w:tcW w:w="880" w:type="dxa"/>
            <w:vAlign w:val="bottom"/>
          </w:tcPr>
          <w:p>
            <w:pPr>
              <w:spacing w:after="0"/>
              <w:rPr>
                <w:sz w:val="10"/>
                <w:szCs w:val="10"/>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78.2</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3.45</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2,072.2</w:t>
            </w:r>
          </w:p>
        </w:tc>
        <w:tc>
          <w:tcPr>
            <w:tcW w:w="860" w:type="dxa"/>
            <w:vAlign w:val="bottom"/>
          </w:tcPr>
          <w:p>
            <w:pPr>
              <w:spacing w:after="0"/>
              <w:rPr>
                <w:sz w:val="10"/>
                <w:szCs w:val="10"/>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62.1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3.00</w:t>
            </w:r>
          </w:p>
        </w:tc>
        <w:tc>
          <w:tcPr>
            <w:tcW w:w="240" w:type="dxa"/>
            <w:vAlign w:val="bottom"/>
          </w:tcPr>
          <w:p>
            <w:pPr>
              <w:spacing w:after="0"/>
              <w:rPr>
                <w:sz w:val="10"/>
                <w:szCs w:val="10"/>
                <w:color w:val="auto"/>
              </w:rPr>
            </w:pPr>
          </w:p>
        </w:tc>
      </w:tr>
      <w:tr>
        <w:trPr>
          <w:trHeight w:val="134"/>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Automobile</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866.1</w:t>
            </w: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31.8</w:t>
            </w:r>
          </w:p>
        </w:tc>
        <w:tc>
          <w:tcPr>
            <w:tcW w:w="10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3.67</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786.1</w:t>
            </w: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25.4</w:t>
            </w: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3.23</w:t>
            </w:r>
          </w:p>
        </w:tc>
        <w:tc>
          <w:tcPr>
            <w:tcW w:w="240" w:type="dxa"/>
            <w:vAlign w:val="bottom"/>
            <w:shd w:val="clear" w:color="auto" w:fill="CFF0FC"/>
          </w:tcPr>
          <w:p>
            <w:pPr>
              <w:spacing w:after="0"/>
              <w:rPr>
                <w:sz w:val="11"/>
                <w:szCs w:val="11"/>
                <w:color w:val="auto"/>
              </w:rPr>
            </w:pPr>
          </w:p>
        </w:tc>
      </w:tr>
      <w:tr>
        <w:trPr>
          <w:trHeight w:val="130"/>
        </w:trPr>
        <w:tc>
          <w:tcPr>
            <w:tcW w:w="3640" w:type="dxa"/>
            <w:vAlign w:val="bottom"/>
            <w:tcBorders>
              <w:bottom w:val="single" w:sz="8" w:color="auto"/>
            </w:tcBorders>
          </w:tcPr>
          <w:p>
            <w:pPr>
              <w:ind w:left="60"/>
              <w:spacing w:after="0" w:line="130" w:lineRule="exact"/>
              <w:rPr>
                <w:sz w:val="20"/>
                <w:szCs w:val="20"/>
                <w:color w:val="auto"/>
              </w:rPr>
            </w:pPr>
            <w:r>
              <w:rPr>
                <w:rFonts w:ascii="Times New Roman" w:cs="Times New Roman" w:eastAsia="Times New Roman" w:hAnsi="Times New Roman"/>
                <w:sz w:val="9"/>
                <w:szCs w:val="9"/>
                <w:color w:val="auto"/>
              </w:rPr>
              <w:t xml:space="preserve">Other </w:t>
            </w:r>
            <w:r>
              <w:rPr>
                <w:rFonts w:ascii="Times New Roman" w:cs="Times New Roman" w:eastAsia="Times New Roman" w:hAnsi="Times New Roman"/>
                <w:sz w:val="12"/>
                <w:szCs w:val="12"/>
                <w:color w:val="auto"/>
                <w:vertAlign w:val="superscript"/>
              </w:rPr>
              <w:t>4</w:t>
            </w:r>
          </w:p>
        </w:tc>
        <w:tc>
          <w:tcPr>
            <w:tcW w:w="8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413.8</w:t>
            </w:r>
          </w:p>
        </w:tc>
        <w:tc>
          <w:tcPr>
            <w:tcW w:w="8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25.3</w:t>
            </w: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6.12</w:t>
            </w: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419.5</w:t>
            </w:r>
          </w:p>
        </w:tc>
        <w:tc>
          <w:tcPr>
            <w:tcW w:w="8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23.0</w:t>
            </w: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5.49</w:t>
            </w:r>
          </w:p>
        </w:tc>
        <w:tc>
          <w:tcPr>
            <w:tcW w:w="240" w:type="dxa"/>
            <w:vAlign w:val="bottom"/>
            <w:tcBorders>
              <w:bottom w:val="single" w:sz="8" w:color="auto"/>
            </w:tcBorders>
          </w:tcPr>
          <w:p>
            <w:pPr>
              <w:spacing w:after="0"/>
              <w:rPr>
                <w:sz w:val="11"/>
                <w:szCs w:val="11"/>
                <w:color w:val="auto"/>
              </w:rPr>
            </w:pPr>
          </w:p>
        </w:tc>
      </w:tr>
      <w:tr>
        <w:trPr>
          <w:trHeight w:val="118"/>
        </w:trPr>
        <w:tc>
          <w:tcPr>
            <w:tcW w:w="3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Loans and Leases</w:t>
            </w:r>
          </w:p>
        </w:tc>
        <w:tc>
          <w:tcPr>
            <w:tcW w:w="84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13,851.6</w:t>
            </w:r>
          </w:p>
        </w:tc>
        <w:tc>
          <w:tcPr>
            <w:tcW w:w="8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592.2</w:t>
            </w:r>
          </w:p>
        </w:tc>
        <w:tc>
          <w:tcPr>
            <w:tcW w:w="10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4.28</w:t>
            </w:r>
          </w:p>
        </w:tc>
        <w:tc>
          <w:tcPr>
            <w:tcW w:w="180" w:type="dxa"/>
            <w:vAlign w:val="bottom"/>
            <w:tcBorders>
              <w:bottom w:val="single" w:sz="8" w:color="auto"/>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106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12,896.5</w:t>
            </w:r>
          </w:p>
        </w:tc>
        <w:tc>
          <w:tcPr>
            <w:tcW w:w="86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440.6</w:t>
            </w:r>
          </w:p>
        </w:tc>
        <w:tc>
          <w:tcPr>
            <w:tcW w:w="9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3.42</w:t>
            </w:r>
          </w:p>
        </w:tc>
        <w:tc>
          <w:tcPr>
            <w:tcW w:w="240" w:type="dxa"/>
            <w:vAlign w:val="bottom"/>
            <w:tcBorders>
              <w:bottom w:val="single" w:sz="8" w:color="auto"/>
            </w:tcBorders>
            <w:shd w:val="clear" w:color="auto" w:fill="CFF0FC"/>
          </w:tcPr>
          <w:p>
            <w:pPr>
              <w:spacing w:after="0"/>
              <w:rPr>
                <w:sz w:val="10"/>
                <w:szCs w:val="10"/>
                <w:color w:val="auto"/>
              </w:rPr>
            </w:pPr>
          </w:p>
        </w:tc>
      </w:tr>
      <w:tr>
        <w:trPr>
          <w:trHeight w:val="122"/>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Other</w:t>
            </w:r>
          </w:p>
        </w:tc>
        <w:tc>
          <w:tcPr>
            <w:tcW w:w="8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78.3</w:t>
            </w:r>
          </w:p>
        </w:tc>
        <w:tc>
          <w:tcPr>
            <w:tcW w:w="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5.1</w:t>
            </w: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6.51</w:t>
            </w: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40.5</w:t>
            </w:r>
          </w:p>
        </w:tc>
        <w:tc>
          <w:tcPr>
            <w:tcW w:w="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1.2</w:t>
            </w: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3.01</w:t>
            </w:r>
          </w:p>
        </w:tc>
        <w:tc>
          <w:tcPr>
            <w:tcW w:w="240" w:type="dxa"/>
            <w:vAlign w:val="bottom"/>
            <w:tcBorders>
              <w:bottom w:val="single" w:sz="8" w:color="auto"/>
            </w:tcBorders>
          </w:tcPr>
          <w:p>
            <w:pPr>
              <w:spacing w:after="0"/>
              <w:rPr>
                <w:sz w:val="10"/>
                <w:szCs w:val="10"/>
                <w:color w:val="auto"/>
              </w:rPr>
            </w:pPr>
          </w:p>
        </w:tc>
      </w:tr>
      <w:tr>
        <w:trPr>
          <w:trHeight w:val="123"/>
        </w:trPr>
        <w:tc>
          <w:tcPr>
            <w:tcW w:w="3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Earning Assets</w:t>
            </w:r>
          </w:p>
        </w:tc>
        <w:tc>
          <w:tcPr>
            <w:tcW w:w="84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22,322.9</w:t>
            </w:r>
          </w:p>
        </w:tc>
        <w:tc>
          <w:tcPr>
            <w:tcW w:w="8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812.4</w:t>
            </w:r>
          </w:p>
        </w:tc>
        <w:tc>
          <w:tcPr>
            <w:tcW w:w="10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3.64</w:t>
            </w:r>
          </w:p>
        </w:tc>
        <w:tc>
          <w:tcPr>
            <w:tcW w:w="180" w:type="dxa"/>
            <w:vAlign w:val="bottom"/>
            <w:tcBorders>
              <w:bottom w:val="single" w:sz="8" w:color="auto"/>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106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21,641.2</w:t>
            </w:r>
          </w:p>
        </w:tc>
        <w:tc>
          <w:tcPr>
            <w:tcW w:w="86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598.6</w:t>
            </w:r>
          </w:p>
        </w:tc>
        <w:tc>
          <w:tcPr>
            <w:tcW w:w="9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2.77</w:t>
            </w:r>
          </w:p>
        </w:tc>
        <w:tc>
          <w:tcPr>
            <w:tcW w:w="240" w:type="dxa"/>
            <w:vAlign w:val="bottom"/>
            <w:tcBorders>
              <w:bottom w:val="single" w:sz="8" w:color="auto"/>
            </w:tcBorders>
            <w:shd w:val="clear" w:color="auto" w:fill="CFF0FC"/>
          </w:tcPr>
          <w:p>
            <w:pPr>
              <w:spacing w:after="0"/>
              <w:rPr>
                <w:sz w:val="10"/>
                <w:szCs w:val="10"/>
                <w:color w:val="auto"/>
              </w:rPr>
            </w:pPr>
          </w:p>
        </w:tc>
      </w:tr>
      <w:tr>
        <w:trPr>
          <w:trHeight w:val="121"/>
        </w:trPr>
        <w:tc>
          <w:tcPr>
            <w:tcW w:w="3640" w:type="dxa"/>
            <w:vAlign w:val="bottom"/>
          </w:tcPr>
          <w:p>
            <w:pPr>
              <w:spacing w:after="0"/>
              <w:rPr>
                <w:sz w:val="20"/>
                <w:szCs w:val="20"/>
                <w:color w:val="auto"/>
              </w:rPr>
            </w:pPr>
            <w:r>
              <w:rPr>
                <w:rFonts w:ascii="Times New Roman" w:cs="Times New Roman" w:eastAsia="Times New Roman" w:hAnsi="Times New Roman"/>
                <w:sz w:val="9"/>
                <w:szCs w:val="9"/>
                <w:color w:val="auto"/>
              </w:rPr>
              <w:t>Cash and Due from Banks</w:t>
            </w:r>
          </w:p>
        </w:tc>
        <w:tc>
          <w:tcPr>
            <w:tcW w:w="840" w:type="dxa"/>
            <w:vAlign w:val="bottom"/>
          </w:tcPr>
          <w:p>
            <w:pPr>
              <w:spacing w:after="0"/>
              <w:rPr>
                <w:sz w:val="10"/>
                <w:szCs w:val="10"/>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292.1</w:t>
            </w: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237.4</w:t>
            </w: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34"/>
        </w:trPr>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Other Assets</w:t>
            </w:r>
          </w:p>
        </w:tc>
        <w:tc>
          <w:tcPr>
            <w:tcW w:w="84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1,339.2</w:t>
            </w:r>
          </w:p>
        </w:tc>
        <w:tc>
          <w:tcPr>
            <w:tcW w:w="88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1,128.1</w:t>
            </w:r>
          </w:p>
        </w:tc>
        <w:tc>
          <w:tcPr>
            <w:tcW w:w="86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r>
      <w:tr>
        <w:trPr>
          <w:trHeight w:val="122"/>
        </w:trPr>
        <w:tc>
          <w:tcPr>
            <w:tcW w:w="36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Total Assets</w:t>
            </w:r>
          </w:p>
        </w:tc>
        <w:tc>
          <w:tcPr>
            <w:tcW w:w="840" w:type="dxa"/>
            <w:vAlign w:val="bottom"/>
          </w:tcPr>
          <w:p>
            <w:pPr>
              <w:jc w:val="right"/>
              <w:ind w:right="733"/>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23,954.2</w:t>
            </w: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gridSpan w:val="2"/>
          </w:tcPr>
          <w:p>
            <w:pPr>
              <w:jc w:val="right"/>
              <w:ind w:right="133"/>
              <w:spacing w:after="0"/>
              <w:rPr>
                <w:sz w:val="20"/>
                <w:szCs w:val="20"/>
                <w:color w:val="auto"/>
              </w:rPr>
            </w:pPr>
            <w:r>
              <w:rPr>
                <w:rFonts w:ascii="Times New Roman" w:cs="Times New Roman" w:eastAsia="Times New Roman" w:hAnsi="Times New Roman"/>
                <w:sz w:val="9"/>
                <w:szCs w:val="9"/>
                <w:color w:val="auto"/>
              </w:rPr>
              <w:t>$</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23,006.7</w:t>
            </w: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20"/>
        </w:trPr>
        <w:tc>
          <w:tcPr>
            <w:tcW w:w="3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06"/>
        </w:trPr>
        <w:tc>
          <w:tcPr>
            <w:tcW w:w="364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r>
      <w:tr>
        <w:trPr>
          <w:trHeight w:val="127"/>
        </w:trPr>
        <w:tc>
          <w:tcPr>
            <w:tcW w:w="36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Interest-Bearing Liabilities</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33"/>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Interest-Bearing Deposits</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r>
      <w:tr>
        <w:trPr>
          <w:trHeight w:val="126"/>
        </w:trPr>
        <w:tc>
          <w:tcPr>
            <w:tcW w:w="3640" w:type="dxa"/>
            <w:vAlign w:val="bottom"/>
          </w:tcPr>
          <w:p>
            <w:pPr>
              <w:ind w:left="60"/>
              <w:spacing w:after="0"/>
              <w:rPr>
                <w:sz w:val="20"/>
                <w:szCs w:val="20"/>
                <w:color w:val="auto"/>
              </w:rPr>
            </w:pPr>
            <w:r>
              <w:rPr>
                <w:rFonts w:ascii="Times New Roman" w:cs="Times New Roman" w:eastAsia="Times New Roman" w:hAnsi="Times New Roman"/>
                <w:sz w:val="9"/>
                <w:szCs w:val="9"/>
                <w:color w:val="auto"/>
              </w:rPr>
              <w:t>Demand</w:t>
            </w:r>
          </w:p>
        </w:tc>
        <w:tc>
          <w:tcPr>
            <w:tcW w:w="840" w:type="dxa"/>
            <w:vAlign w:val="bottom"/>
          </w:tcPr>
          <w:p>
            <w:pPr>
              <w:jc w:val="right"/>
              <w:ind w:right="733"/>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3,978.7</w:t>
            </w:r>
          </w:p>
        </w:tc>
        <w:tc>
          <w:tcPr>
            <w:tcW w:w="880" w:type="dxa"/>
            <w:vAlign w:val="bottom"/>
          </w:tcPr>
          <w:p>
            <w:pPr>
              <w:spacing w:after="0"/>
              <w:rPr>
                <w:sz w:val="10"/>
                <w:szCs w:val="10"/>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27.0</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0.68</w:t>
            </w:r>
          </w:p>
        </w:tc>
        <w:tc>
          <w:tcPr>
            <w:tcW w:w="420" w:type="dxa"/>
            <w:vAlign w:val="bottom"/>
            <w:gridSpan w:val="2"/>
          </w:tcPr>
          <w:p>
            <w:pPr>
              <w:jc w:val="right"/>
              <w:ind w:right="133"/>
              <w:spacing w:after="0"/>
              <w:rPr>
                <w:sz w:val="20"/>
                <w:szCs w:val="20"/>
                <w:color w:val="auto"/>
              </w:rPr>
            </w:pPr>
            <w:r>
              <w:rPr>
                <w:rFonts w:ascii="Times New Roman" w:cs="Times New Roman" w:eastAsia="Times New Roman" w:hAnsi="Times New Roman"/>
                <w:sz w:val="9"/>
                <w:szCs w:val="9"/>
                <w:color w:val="auto"/>
              </w:rPr>
              <w:t>$</w:t>
            </w: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4,377.1</w:t>
            </w:r>
          </w:p>
        </w:tc>
        <w:tc>
          <w:tcPr>
            <w:tcW w:w="860" w:type="dxa"/>
            <w:vAlign w:val="bottom"/>
          </w:tcPr>
          <w:p>
            <w:pPr>
              <w:spacing w:after="0"/>
              <w:rPr>
                <w:sz w:val="10"/>
                <w:szCs w:val="10"/>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6.1</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0.14</w:t>
            </w:r>
          </w:p>
        </w:tc>
        <w:tc>
          <w:tcPr>
            <w:tcW w:w="240" w:type="dxa"/>
            <w:vAlign w:val="bottom"/>
          </w:tcPr>
          <w:p>
            <w:pPr>
              <w:spacing w:after="0"/>
              <w:rPr>
                <w:sz w:val="10"/>
                <w:szCs w:val="10"/>
                <w:color w:val="auto"/>
              </w:rPr>
            </w:pPr>
          </w:p>
        </w:tc>
      </w:tr>
      <w:tr>
        <w:trPr>
          <w:trHeight w:val="134"/>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Savings</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8,018.4</w:t>
            </w: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137.4</w:t>
            </w:r>
          </w:p>
        </w:tc>
        <w:tc>
          <w:tcPr>
            <w:tcW w:w="10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1.71</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7,767.7</w:t>
            </w: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22.9</w:t>
            </w: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0.30</w:t>
            </w:r>
          </w:p>
        </w:tc>
        <w:tc>
          <w:tcPr>
            <w:tcW w:w="240" w:type="dxa"/>
            <w:vAlign w:val="bottom"/>
            <w:shd w:val="clear" w:color="auto" w:fill="CFF0FC"/>
          </w:tcPr>
          <w:p>
            <w:pPr>
              <w:spacing w:after="0"/>
              <w:rPr>
                <w:sz w:val="11"/>
                <w:szCs w:val="11"/>
                <w:color w:val="auto"/>
              </w:rPr>
            </w:pPr>
          </w:p>
        </w:tc>
      </w:tr>
      <w:tr>
        <w:trPr>
          <w:trHeight w:val="126"/>
        </w:trPr>
        <w:tc>
          <w:tcPr>
            <w:tcW w:w="3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Time</w:t>
            </w:r>
          </w:p>
        </w:tc>
        <w:tc>
          <w:tcPr>
            <w:tcW w:w="8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2,424.8</w:t>
            </w:r>
          </w:p>
        </w:tc>
        <w:tc>
          <w:tcPr>
            <w:tcW w:w="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86.4</w:t>
            </w: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3.56</w:t>
            </w: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1,135.5</w:t>
            </w:r>
          </w:p>
        </w:tc>
        <w:tc>
          <w:tcPr>
            <w:tcW w:w="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10.7</w:t>
            </w: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0.94</w:t>
            </w:r>
          </w:p>
        </w:tc>
        <w:tc>
          <w:tcPr>
            <w:tcW w:w="240" w:type="dxa"/>
            <w:vAlign w:val="bottom"/>
            <w:tcBorders>
              <w:bottom w:val="single" w:sz="8" w:color="auto"/>
            </w:tcBorders>
          </w:tcPr>
          <w:p>
            <w:pPr>
              <w:spacing w:after="0"/>
              <w:rPr>
                <w:sz w:val="10"/>
                <w:szCs w:val="10"/>
                <w:color w:val="auto"/>
              </w:rPr>
            </w:pPr>
          </w:p>
        </w:tc>
      </w:tr>
      <w:tr>
        <w:trPr>
          <w:trHeight w:val="122"/>
        </w:trPr>
        <w:tc>
          <w:tcPr>
            <w:tcW w:w="3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Interest-Bearing Deposits</w:t>
            </w:r>
          </w:p>
        </w:tc>
        <w:tc>
          <w:tcPr>
            <w:tcW w:w="840" w:type="dxa"/>
            <w:vAlign w:val="bottom"/>
            <w:tcBorders>
              <w:bottom w:val="single" w:sz="8" w:color="auto"/>
            </w:tcBorders>
            <w:shd w:val="clear" w:color="auto" w:fill="CFF0FC"/>
          </w:tcPr>
          <w:p>
            <w:pPr>
              <w:spacing w:after="0"/>
              <w:rPr>
                <w:sz w:val="10"/>
                <w:szCs w:val="10"/>
                <w:color w:val="auto"/>
              </w:rPr>
            </w:pPr>
          </w:p>
        </w:tc>
        <w:tc>
          <w:tcPr>
            <w:tcW w:w="5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14,421.9</w:t>
            </w:r>
          </w:p>
        </w:tc>
        <w:tc>
          <w:tcPr>
            <w:tcW w:w="880" w:type="dxa"/>
            <w:vAlign w:val="bottom"/>
            <w:tcBorders>
              <w:bottom w:val="single" w:sz="8" w:color="auto"/>
            </w:tcBorders>
            <w:shd w:val="clear" w:color="auto" w:fill="CFF0FC"/>
          </w:tcPr>
          <w:p>
            <w:pPr>
              <w:spacing w:after="0"/>
              <w:rPr>
                <w:sz w:val="10"/>
                <w:szCs w:val="10"/>
                <w:color w:val="auto"/>
              </w:rPr>
            </w:pPr>
          </w:p>
        </w:tc>
        <w:tc>
          <w:tcPr>
            <w:tcW w:w="4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250.8</w:t>
            </w:r>
          </w:p>
        </w:tc>
        <w:tc>
          <w:tcPr>
            <w:tcW w:w="10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1.74</w:t>
            </w:r>
          </w:p>
        </w:tc>
        <w:tc>
          <w:tcPr>
            <w:tcW w:w="180" w:type="dxa"/>
            <w:vAlign w:val="bottom"/>
            <w:tcBorders>
              <w:bottom w:val="single" w:sz="8" w:color="auto"/>
            </w:tcBorders>
            <w:shd w:val="clear" w:color="auto" w:fill="CFF0FC"/>
          </w:tcPr>
          <w:p>
            <w:pPr>
              <w:spacing w:after="0"/>
              <w:rPr>
                <w:sz w:val="10"/>
                <w:szCs w:val="10"/>
                <w:color w:val="auto"/>
              </w:rPr>
            </w:pPr>
          </w:p>
        </w:tc>
        <w:tc>
          <w:tcPr>
            <w:tcW w:w="240" w:type="dxa"/>
            <w:vAlign w:val="bottom"/>
            <w:tcBorders>
              <w:bottom w:val="single" w:sz="8" w:color="auto"/>
            </w:tcBorders>
            <w:shd w:val="clear" w:color="auto" w:fill="CFF0FC"/>
          </w:tcPr>
          <w:p>
            <w:pPr>
              <w:spacing w:after="0"/>
              <w:rPr>
                <w:sz w:val="10"/>
                <w:szCs w:val="10"/>
                <w:color w:val="auto"/>
              </w:rPr>
            </w:pPr>
          </w:p>
        </w:tc>
        <w:tc>
          <w:tcPr>
            <w:tcW w:w="106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13,280.3</w:t>
            </w:r>
          </w:p>
        </w:tc>
        <w:tc>
          <w:tcPr>
            <w:tcW w:w="860" w:type="dxa"/>
            <w:vAlign w:val="bottom"/>
            <w:tcBorders>
              <w:bottom w:val="single" w:sz="8" w:color="auto"/>
            </w:tcBorders>
            <w:shd w:val="clear" w:color="auto" w:fill="CFF0FC"/>
          </w:tcPr>
          <w:p>
            <w:pPr>
              <w:spacing w:after="0"/>
              <w:rPr>
                <w:sz w:val="10"/>
                <w:szCs w:val="10"/>
                <w:color w:val="auto"/>
              </w:rPr>
            </w:pPr>
          </w:p>
        </w:tc>
        <w:tc>
          <w:tcPr>
            <w:tcW w:w="4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39.7</w:t>
            </w:r>
          </w:p>
        </w:tc>
        <w:tc>
          <w:tcPr>
            <w:tcW w:w="9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0.30</w:t>
            </w:r>
          </w:p>
        </w:tc>
        <w:tc>
          <w:tcPr>
            <w:tcW w:w="240" w:type="dxa"/>
            <w:vAlign w:val="bottom"/>
            <w:tcBorders>
              <w:bottom w:val="single" w:sz="8" w:color="auto"/>
            </w:tcBorders>
            <w:shd w:val="clear" w:color="auto" w:fill="CFF0FC"/>
          </w:tcPr>
          <w:p>
            <w:pPr>
              <w:spacing w:after="0"/>
              <w:rPr>
                <w:sz w:val="10"/>
                <w:szCs w:val="10"/>
                <w:color w:val="auto"/>
              </w:rPr>
            </w:pPr>
          </w:p>
        </w:tc>
      </w:tr>
      <w:tr>
        <w:trPr>
          <w:trHeight w:val="122"/>
        </w:trPr>
        <w:tc>
          <w:tcPr>
            <w:tcW w:w="3640" w:type="dxa"/>
            <w:vAlign w:val="bottom"/>
          </w:tcPr>
          <w:p>
            <w:pPr>
              <w:spacing w:after="0"/>
              <w:rPr>
                <w:sz w:val="20"/>
                <w:szCs w:val="20"/>
                <w:color w:val="auto"/>
              </w:rPr>
            </w:pPr>
            <w:r>
              <w:rPr>
                <w:rFonts w:ascii="Times New Roman" w:cs="Times New Roman" w:eastAsia="Times New Roman" w:hAnsi="Times New Roman"/>
                <w:sz w:val="9"/>
                <w:szCs w:val="9"/>
                <w:color w:val="auto"/>
              </w:rPr>
              <w:t>Funds Purchased</w:t>
            </w:r>
          </w:p>
        </w:tc>
        <w:tc>
          <w:tcPr>
            <w:tcW w:w="840" w:type="dxa"/>
            <w:vAlign w:val="bottom"/>
          </w:tcPr>
          <w:p>
            <w:pPr>
              <w:spacing w:after="0"/>
              <w:rPr>
                <w:sz w:val="10"/>
                <w:szCs w:val="10"/>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18.5</w:t>
            </w:r>
          </w:p>
        </w:tc>
        <w:tc>
          <w:tcPr>
            <w:tcW w:w="880" w:type="dxa"/>
            <w:vAlign w:val="bottom"/>
          </w:tcPr>
          <w:p>
            <w:pPr>
              <w:spacing w:after="0"/>
              <w:rPr>
                <w:sz w:val="10"/>
                <w:szCs w:val="10"/>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0.9</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4.79</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18.5</w:t>
            </w:r>
          </w:p>
        </w:tc>
        <w:tc>
          <w:tcPr>
            <w:tcW w:w="860" w:type="dxa"/>
            <w:vAlign w:val="bottom"/>
          </w:tcPr>
          <w:p>
            <w:pPr>
              <w:spacing w:after="0"/>
              <w:rPr>
                <w:sz w:val="10"/>
                <w:szCs w:val="10"/>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0.4</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2.26</w:t>
            </w:r>
          </w:p>
        </w:tc>
        <w:tc>
          <w:tcPr>
            <w:tcW w:w="240" w:type="dxa"/>
            <w:vAlign w:val="bottom"/>
          </w:tcPr>
          <w:p>
            <w:pPr>
              <w:spacing w:after="0"/>
              <w:rPr>
                <w:sz w:val="10"/>
                <w:szCs w:val="10"/>
                <w:color w:val="auto"/>
              </w:rPr>
            </w:pPr>
          </w:p>
        </w:tc>
      </w:tr>
      <w:tr>
        <w:trPr>
          <w:trHeight w:val="134"/>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Short-Term Borrowings</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114.0</w:t>
            </w: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5.7</w:t>
            </w:r>
          </w:p>
        </w:tc>
        <w:tc>
          <w:tcPr>
            <w:tcW w:w="10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5.01</w:t>
            </w: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58.6</w:t>
            </w: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2.1</w:t>
            </w: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3.53</w:t>
            </w:r>
          </w:p>
        </w:tc>
        <w:tc>
          <w:tcPr>
            <w:tcW w:w="240" w:type="dxa"/>
            <w:vAlign w:val="bottom"/>
            <w:shd w:val="clear" w:color="auto" w:fill="CFF0FC"/>
          </w:tcPr>
          <w:p>
            <w:pPr>
              <w:spacing w:after="0"/>
              <w:rPr>
                <w:sz w:val="11"/>
                <w:szCs w:val="11"/>
                <w:color w:val="auto"/>
              </w:rPr>
            </w:pPr>
          </w:p>
        </w:tc>
      </w:tr>
      <w:tr>
        <w:trPr>
          <w:trHeight w:val="126"/>
        </w:trPr>
        <w:tc>
          <w:tcPr>
            <w:tcW w:w="3640" w:type="dxa"/>
            <w:vAlign w:val="bottom"/>
          </w:tcPr>
          <w:p>
            <w:pPr>
              <w:spacing w:after="0"/>
              <w:rPr>
                <w:sz w:val="20"/>
                <w:szCs w:val="20"/>
                <w:color w:val="auto"/>
              </w:rPr>
            </w:pPr>
            <w:r>
              <w:rPr>
                <w:rFonts w:ascii="Times New Roman" w:cs="Times New Roman" w:eastAsia="Times New Roman" w:hAnsi="Times New Roman"/>
                <w:sz w:val="9"/>
                <w:szCs w:val="9"/>
                <w:color w:val="auto"/>
              </w:rPr>
              <w:t>Securities Sold Under Agreements to Repurchase</w:t>
            </w:r>
          </w:p>
        </w:tc>
        <w:tc>
          <w:tcPr>
            <w:tcW w:w="840" w:type="dxa"/>
            <w:vAlign w:val="bottom"/>
          </w:tcPr>
          <w:p>
            <w:pPr>
              <w:spacing w:after="0"/>
              <w:rPr>
                <w:sz w:val="10"/>
                <w:szCs w:val="10"/>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530.9</w:t>
            </w:r>
          </w:p>
        </w:tc>
        <w:tc>
          <w:tcPr>
            <w:tcW w:w="880" w:type="dxa"/>
            <w:vAlign w:val="bottom"/>
          </w:tcPr>
          <w:p>
            <w:pPr>
              <w:spacing w:after="0"/>
              <w:rPr>
                <w:sz w:val="10"/>
                <w:szCs w:val="10"/>
                <w:color w:val="auto"/>
              </w:rPr>
            </w:pPr>
          </w:p>
        </w:tc>
        <w:tc>
          <w:tcPr>
            <w:tcW w:w="42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16.3</w:t>
            </w: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3.07</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479.8</w:t>
            </w:r>
          </w:p>
        </w:tc>
        <w:tc>
          <w:tcPr>
            <w:tcW w:w="860" w:type="dxa"/>
            <w:vAlign w:val="bottom"/>
          </w:tcPr>
          <w:p>
            <w:pPr>
              <w:spacing w:after="0"/>
              <w:rPr>
                <w:sz w:val="10"/>
                <w:szCs w:val="10"/>
                <w:color w:val="auto"/>
              </w:rPr>
            </w:pPr>
          </w:p>
        </w:tc>
        <w:tc>
          <w:tcPr>
            <w:tcW w:w="4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12.6</w:t>
            </w: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2.63</w:t>
            </w:r>
          </w:p>
        </w:tc>
        <w:tc>
          <w:tcPr>
            <w:tcW w:w="240" w:type="dxa"/>
            <w:vAlign w:val="bottom"/>
          </w:tcPr>
          <w:p>
            <w:pPr>
              <w:spacing w:after="0"/>
              <w:rPr>
                <w:sz w:val="10"/>
                <w:szCs w:val="10"/>
                <w:color w:val="auto"/>
              </w:rPr>
            </w:pPr>
          </w:p>
        </w:tc>
      </w:tr>
      <w:tr>
        <w:trPr>
          <w:trHeight w:val="130"/>
        </w:trPr>
        <w:tc>
          <w:tcPr>
            <w:tcW w:w="36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Other Debt</w:t>
            </w:r>
          </w:p>
        </w:tc>
        <w:tc>
          <w:tcPr>
            <w:tcW w:w="84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921.8</w:t>
            </w:r>
          </w:p>
        </w:tc>
        <w:tc>
          <w:tcPr>
            <w:tcW w:w="88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39.7</w:t>
            </w:r>
          </w:p>
        </w:tc>
        <w:tc>
          <w:tcPr>
            <w:tcW w:w="102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4.30</w:t>
            </w:r>
          </w:p>
        </w:tc>
        <w:tc>
          <w:tcPr>
            <w:tcW w:w="180" w:type="dxa"/>
            <w:vAlign w:val="bottom"/>
            <w:tcBorders>
              <w:bottom w:val="single" w:sz="8" w:color="auto"/>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42.4</w:t>
            </w:r>
          </w:p>
        </w:tc>
        <w:tc>
          <w:tcPr>
            <w:tcW w:w="860" w:type="dxa"/>
            <w:vAlign w:val="bottom"/>
            <w:tcBorders>
              <w:bottom w:val="single" w:sz="8" w:color="auto"/>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2.0</w:t>
            </w:r>
          </w:p>
        </w:tc>
        <w:tc>
          <w:tcPr>
            <w:tcW w:w="9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4.82</w:t>
            </w:r>
          </w:p>
        </w:tc>
        <w:tc>
          <w:tcPr>
            <w:tcW w:w="240" w:type="dxa"/>
            <w:vAlign w:val="bottom"/>
            <w:tcBorders>
              <w:bottom w:val="single" w:sz="8" w:color="auto"/>
            </w:tcBorders>
            <w:shd w:val="clear" w:color="auto" w:fill="CFF0FC"/>
          </w:tcPr>
          <w:p>
            <w:pPr>
              <w:spacing w:after="0"/>
              <w:rPr>
                <w:sz w:val="11"/>
                <w:szCs w:val="11"/>
                <w:color w:val="auto"/>
              </w:rPr>
            </w:pPr>
          </w:p>
        </w:tc>
      </w:tr>
      <w:tr>
        <w:trPr>
          <w:trHeight w:val="123"/>
        </w:trPr>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Total Interest-Bearing Liabilities</w:t>
            </w:r>
          </w:p>
        </w:tc>
        <w:tc>
          <w:tcPr>
            <w:tcW w:w="8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16,007.1</w:t>
            </w:r>
          </w:p>
        </w:tc>
        <w:tc>
          <w:tcPr>
            <w:tcW w:w="8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313.4</w:t>
            </w: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1.96</w:t>
            </w: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13,879.6</w:t>
            </w:r>
          </w:p>
        </w:tc>
        <w:tc>
          <w:tcPr>
            <w:tcW w:w="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56.8</w:t>
            </w: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0.41</w:t>
            </w:r>
          </w:p>
        </w:tc>
        <w:tc>
          <w:tcPr>
            <w:tcW w:w="240" w:type="dxa"/>
            <w:vAlign w:val="bottom"/>
            <w:tcBorders>
              <w:bottom w:val="single" w:sz="8" w:color="auto"/>
            </w:tcBorders>
          </w:tcPr>
          <w:p>
            <w:pPr>
              <w:spacing w:after="0"/>
              <w:rPr>
                <w:sz w:val="10"/>
                <w:szCs w:val="10"/>
                <w:color w:val="auto"/>
              </w:rPr>
            </w:pPr>
          </w:p>
        </w:tc>
      </w:tr>
      <w:tr>
        <w:trPr>
          <w:trHeight w:val="165"/>
        </w:trPr>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Net Interest Income</w:t>
            </w:r>
          </w:p>
        </w:tc>
        <w:tc>
          <w:tcPr>
            <w:tcW w:w="8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9"/>
                <w:szCs w:val="9"/>
                <w:color w:val="auto"/>
                <w:w w:val="87"/>
              </w:rPr>
              <w:t>$</w:t>
            </w:r>
          </w:p>
        </w:tc>
        <w:tc>
          <w:tcPr>
            <w:tcW w:w="42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499.0</w:t>
            </w:r>
          </w:p>
        </w:tc>
        <w:tc>
          <w:tcPr>
            <w:tcW w:w="10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753"/>
              <w:spacing w:after="0"/>
              <w:rPr>
                <w:sz w:val="20"/>
                <w:szCs w:val="20"/>
                <w:color w:val="auto"/>
              </w:rPr>
            </w:pPr>
            <w:r>
              <w:rPr>
                <w:rFonts w:ascii="Times New Roman" w:cs="Times New Roman" w:eastAsia="Times New Roman" w:hAnsi="Times New Roman"/>
                <w:sz w:val="9"/>
                <w:szCs w:val="9"/>
                <w:color w:val="auto"/>
                <w:w w:val="87"/>
              </w:rPr>
              <w:t>$</w:t>
            </w:r>
          </w:p>
        </w:tc>
        <w:tc>
          <w:tcPr>
            <w:tcW w:w="4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541.8</w:t>
            </w:r>
          </w:p>
        </w:tc>
        <w:tc>
          <w:tcPr>
            <w:tcW w:w="9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r>
      <w:tr>
        <w:trPr>
          <w:trHeight w:val="102"/>
        </w:trPr>
        <w:tc>
          <w:tcPr>
            <w:tcW w:w="3640" w:type="dxa"/>
            <w:vAlign w:val="bottom"/>
          </w:tcPr>
          <w:p>
            <w:pPr>
              <w:ind w:left="60"/>
              <w:spacing w:after="0" w:line="102" w:lineRule="exact"/>
              <w:rPr>
                <w:sz w:val="20"/>
                <w:szCs w:val="20"/>
                <w:color w:val="auto"/>
              </w:rPr>
            </w:pPr>
            <w:r>
              <w:rPr>
                <w:rFonts w:ascii="Times New Roman" w:cs="Times New Roman" w:eastAsia="Times New Roman" w:hAnsi="Times New Roman"/>
                <w:sz w:val="9"/>
                <w:szCs w:val="9"/>
                <w:color w:val="auto"/>
              </w:rPr>
              <w:t>Interest Rate Spread</w:t>
            </w: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tcPr>
          <w:p>
            <w:pPr>
              <w:jc w:val="right"/>
              <w:ind w:right="93"/>
              <w:spacing w:after="0" w:line="102" w:lineRule="exact"/>
              <w:rPr>
                <w:sz w:val="20"/>
                <w:szCs w:val="20"/>
                <w:color w:val="auto"/>
              </w:rPr>
            </w:pPr>
            <w:r>
              <w:rPr>
                <w:rFonts w:ascii="Times New Roman" w:cs="Times New Roman" w:eastAsia="Times New Roman" w:hAnsi="Times New Roman"/>
                <w:sz w:val="9"/>
                <w:szCs w:val="9"/>
                <w:color w:val="auto"/>
              </w:rPr>
              <w:t>1.68</w:t>
            </w:r>
          </w:p>
        </w:tc>
        <w:tc>
          <w:tcPr>
            <w:tcW w:w="180" w:type="dxa"/>
            <w:vAlign w:val="bottom"/>
          </w:tcPr>
          <w:p>
            <w:pPr>
              <w:jc w:val="right"/>
              <w:ind w:right="33"/>
              <w:spacing w:after="0" w:line="102"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jc w:val="right"/>
              <w:ind w:right="72"/>
              <w:spacing w:after="0" w:line="102" w:lineRule="exact"/>
              <w:rPr>
                <w:sz w:val="20"/>
                <w:szCs w:val="20"/>
                <w:color w:val="auto"/>
              </w:rPr>
            </w:pPr>
            <w:r>
              <w:rPr>
                <w:rFonts w:ascii="Times New Roman" w:cs="Times New Roman" w:eastAsia="Times New Roman" w:hAnsi="Times New Roman"/>
                <w:sz w:val="9"/>
                <w:szCs w:val="9"/>
                <w:color w:val="auto"/>
              </w:rPr>
              <w:t>2.36</w:t>
            </w:r>
          </w:p>
        </w:tc>
        <w:tc>
          <w:tcPr>
            <w:tcW w:w="240" w:type="dxa"/>
            <w:vAlign w:val="bottom"/>
          </w:tcPr>
          <w:p>
            <w:pPr>
              <w:jc w:val="right"/>
              <w:ind w:right="73"/>
              <w:spacing w:after="0" w:line="102" w:lineRule="exact"/>
              <w:rPr>
                <w:sz w:val="20"/>
                <w:szCs w:val="20"/>
                <w:color w:val="auto"/>
              </w:rPr>
            </w:pPr>
            <w:r>
              <w:rPr>
                <w:rFonts w:ascii="Times New Roman" w:cs="Times New Roman" w:eastAsia="Times New Roman" w:hAnsi="Times New Roman"/>
                <w:sz w:val="9"/>
                <w:szCs w:val="9"/>
                <w:color w:val="auto"/>
              </w:rPr>
              <w:t>%</w:t>
            </w:r>
          </w:p>
        </w:tc>
      </w:tr>
      <w:tr>
        <w:trPr>
          <w:trHeight w:val="134"/>
        </w:trPr>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Net Interest Margin</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2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2.24</w:t>
            </w: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2.50</w:t>
            </w:r>
          </w:p>
        </w:tc>
        <w:tc>
          <w:tcPr>
            <w:tcW w:w="24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w:t>
            </w:r>
          </w:p>
        </w:tc>
      </w:tr>
      <w:tr>
        <w:trPr>
          <w:trHeight w:val="126"/>
        </w:trPr>
        <w:tc>
          <w:tcPr>
            <w:tcW w:w="3640" w:type="dxa"/>
            <w:vAlign w:val="bottom"/>
          </w:tcPr>
          <w:p>
            <w:pPr>
              <w:spacing w:after="0"/>
              <w:rPr>
                <w:sz w:val="20"/>
                <w:szCs w:val="20"/>
                <w:color w:val="auto"/>
              </w:rPr>
            </w:pPr>
            <w:r>
              <w:rPr>
                <w:rFonts w:ascii="Times New Roman" w:cs="Times New Roman" w:eastAsia="Times New Roman" w:hAnsi="Times New Roman"/>
                <w:sz w:val="9"/>
                <w:szCs w:val="9"/>
                <w:color w:val="auto"/>
              </w:rPr>
              <w:t>Noninterest-Bearing Demand Deposits</w:t>
            </w:r>
          </w:p>
        </w:tc>
        <w:tc>
          <w:tcPr>
            <w:tcW w:w="840" w:type="dxa"/>
            <w:vAlign w:val="bottom"/>
          </w:tcPr>
          <w:p>
            <w:pPr>
              <w:spacing w:after="0"/>
              <w:rPr>
                <w:sz w:val="10"/>
                <w:szCs w:val="10"/>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5,990.5</w:t>
            </w: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7,270.4</w:t>
            </w: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34"/>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Other Liabilities</w:t>
            </w:r>
          </w:p>
        </w:tc>
        <w:tc>
          <w:tcPr>
            <w:tcW w:w="84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601.1</w:t>
            </w:r>
          </w:p>
        </w:tc>
        <w:tc>
          <w:tcPr>
            <w:tcW w:w="8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454.2</w:t>
            </w:r>
          </w:p>
        </w:tc>
        <w:tc>
          <w:tcPr>
            <w:tcW w:w="8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r>
      <w:tr>
        <w:trPr>
          <w:trHeight w:val="130"/>
        </w:trPr>
        <w:tc>
          <w:tcPr>
            <w:tcW w:w="3640" w:type="dxa"/>
            <w:vAlign w:val="bottom"/>
          </w:tcPr>
          <w:p>
            <w:pPr>
              <w:spacing w:after="0"/>
              <w:rPr>
                <w:sz w:val="20"/>
                <w:szCs w:val="20"/>
                <w:color w:val="auto"/>
              </w:rPr>
            </w:pPr>
            <w:r>
              <w:rPr>
                <w:rFonts w:ascii="Times New Roman" w:cs="Times New Roman" w:eastAsia="Times New Roman" w:hAnsi="Times New Roman"/>
                <w:sz w:val="9"/>
                <w:szCs w:val="9"/>
                <w:color w:val="auto"/>
              </w:rPr>
              <w:t>Shareholders' Equity</w:t>
            </w:r>
          </w:p>
        </w:tc>
        <w:tc>
          <w:tcPr>
            <w:tcW w:w="8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1,355.5</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rPr>
              <w:t>1,402.5</w:t>
            </w: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62"/>
        </w:trPr>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Liabilities and Shareholders' Equity</w:t>
            </w:r>
          </w:p>
        </w:tc>
        <w:tc>
          <w:tcPr>
            <w:tcW w:w="840" w:type="dxa"/>
            <w:vAlign w:val="bottom"/>
            <w:tcBorders>
              <w:bottom w:val="single" w:sz="8" w:color="auto"/>
            </w:tcBorders>
            <w:shd w:val="clear" w:color="auto" w:fill="CFF0FC"/>
          </w:tcPr>
          <w:p>
            <w:pPr>
              <w:jc w:val="right"/>
              <w:ind w:right="733"/>
              <w:spacing w:after="0"/>
              <w:rPr>
                <w:sz w:val="20"/>
                <w:szCs w:val="20"/>
                <w:color w:val="auto"/>
              </w:rPr>
            </w:pPr>
            <w:r>
              <w:rPr>
                <w:rFonts w:ascii="Times New Roman" w:cs="Times New Roman" w:eastAsia="Times New Roman" w:hAnsi="Times New Roman"/>
                <w:sz w:val="9"/>
                <w:szCs w:val="9"/>
                <w:color w:val="auto"/>
                <w:w w:val="87"/>
              </w:rPr>
              <w:t>$</w:t>
            </w:r>
          </w:p>
        </w:tc>
        <w:tc>
          <w:tcPr>
            <w:tcW w:w="50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23,954.2</w:t>
            </w:r>
          </w:p>
        </w:tc>
        <w:tc>
          <w:tcPr>
            <w:tcW w:w="88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9"/>
                <w:szCs w:val="9"/>
                <w:color w:val="auto"/>
                <w:w w:val="87"/>
              </w:rPr>
              <w:t>$</w:t>
            </w:r>
          </w:p>
        </w:tc>
        <w:tc>
          <w:tcPr>
            <w:tcW w:w="106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rPr>
              <w:t>23,006.7</w:t>
            </w:r>
          </w:p>
        </w:tc>
        <w:tc>
          <w:tcPr>
            <w:tcW w:w="86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3165475</wp:posOffset>
            </wp:positionH>
            <wp:positionV relativeFrom="paragraph">
              <wp:posOffset>-1764030</wp:posOffset>
            </wp:positionV>
            <wp:extent cx="75120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1205"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-1764030</wp:posOffset>
            </wp:positionV>
            <wp:extent cx="73596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5965" cy="762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-547370</wp:posOffset>
            </wp:positionV>
            <wp:extent cx="56324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3245" cy="762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-532765</wp:posOffset>
            </wp:positionV>
            <wp:extent cx="56324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3245" cy="7620"/>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-547370</wp:posOffset>
            </wp:positionV>
            <wp:extent cx="5480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8005" cy="7620"/>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-532765</wp:posOffset>
            </wp:positionV>
            <wp:extent cx="5480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800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-21590</wp:posOffset>
            </wp:positionV>
            <wp:extent cx="75120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51205" cy="7620"/>
                    </a:xfrm>
                    <a:prstGeom prst="rect">
                      <a:avLst/>
                    </a:prstGeom>
                    <a:noFill/>
                  </pic:spPr>
                </pic:pic>
              </a:graphicData>
            </a:graphic>
          </wp:anchor>
        </w:drawing>
        <w:drawing>
          <wp:anchor simplePos="0" relativeHeight="251657728" behindDoc="1" locked="0" layoutInCell="0" allowOverlap="1">
            <wp:simplePos x="0" y="0"/>
            <wp:positionH relativeFrom="column">
              <wp:posOffset>3165475</wp:posOffset>
            </wp:positionH>
            <wp:positionV relativeFrom="paragraph">
              <wp:posOffset>-6985</wp:posOffset>
            </wp:positionV>
            <wp:extent cx="7512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51205"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-21590</wp:posOffset>
            </wp:positionV>
            <wp:extent cx="73596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5965"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-6985</wp:posOffset>
            </wp:positionV>
            <wp:extent cx="73596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5965" cy="7620"/>
                    </a:xfrm>
                    <a:prstGeom prst="rect">
                      <a:avLst/>
                    </a:prstGeom>
                    <a:noFill/>
                  </pic:spPr>
                </pic:pic>
              </a:graphicData>
            </a:graphic>
          </wp:anchor>
        </w:drawing>
      </w:r>
    </w:p>
    <w:p>
      <w:pPr>
        <w:spacing w:after="0" w:line="82" w:lineRule="exact"/>
        <w:rPr>
          <w:sz w:val="20"/>
          <w:szCs w:val="20"/>
          <w:color w:val="auto"/>
        </w:rPr>
      </w:pPr>
    </w:p>
    <w:p>
      <w:pPr>
        <w:ind w:left="80" w:hanging="74"/>
        <w:spacing w:after="0"/>
        <w:tabs>
          <w:tab w:leader="none" w:pos="80" w:val="left"/>
        </w:tabs>
        <w:numPr>
          <w:ilvl w:val="0"/>
          <w:numId w:val="9"/>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Due to rounding, the amounts presented in this table may not tie to other amounts presented elsewhere in this report.</w:t>
      </w:r>
    </w:p>
    <w:p>
      <w:pPr>
        <w:spacing w:after="0" w:line="9" w:lineRule="exact"/>
        <w:rPr>
          <w:sz w:val="20"/>
          <w:szCs w:val="20"/>
          <w:color w:val="auto"/>
        </w:rPr>
      </w:pPr>
    </w:p>
    <w:p>
      <w:pPr>
        <w:ind w:left="80" w:right="5860" w:hanging="74"/>
        <w:spacing w:after="0" w:line="237" w:lineRule="auto"/>
        <w:tabs>
          <w:tab w:leader="none" w:pos="88" w:val="left"/>
        </w:tabs>
        <w:numPr>
          <w:ilvl w:val="0"/>
          <w:numId w:val="10"/>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Interest income includes taxable-equivalent basis adjustments, based upon a federal statutory tax rate of 21%, of $2,008,000 and $1,251,000 for the year ended December 31, 2023 and December 31, 2022, respectively.</w:t>
      </w:r>
    </w:p>
    <w:p>
      <w:pPr>
        <w:ind w:left="80" w:hanging="74"/>
        <w:spacing w:after="0" w:line="213" w:lineRule="auto"/>
        <w:tabs>
          <w:tab w:leader="none" w:pos="80" w:val="left"/>
        </w:tabs>
        <w:numPr>
          <w:ilvl w:val="0"/>
          <w:numId w:val="11"/>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Non-performing loans and leases are included in the respective average loan and lease balances. Income, if any, on such loans and leases is recognized on a cash basis.</w:t>
      </w:r>
    </w:p>
    <w:p>
      <w:pPr>
        <w:spacing w:after="0" w:line="17" w:lineRule="exact"/>
        <w:rPr>
          <w:rFonts w:ascii="Times New Roman" w:cs="Times New Roman" w:eastAsia="Times New Roman" w:hAnsi="Times New Roman"/>
          <w:sz w:val="13"/>
          <w:szCs w:val="13"/>
          <w:color w:val="auto"/>
          <w:vertAlign w:val="superscript"/>
        </w:rPr>
      </w:pPr>
    </w:p>
    <w:p>
      <w:pPr>
        <w:spacing w:after="0"/>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2"/>
          <w:szCs w:val="12"/>
          <w:color w:val="auto"/>
          <w:vertAlign w:val="superscript"/>
        </w:rPr>
        <w:t>4</w:t>
      </w:r>
      <w:r>
        <w:rPr>
          <w:rFonts w:ascii="Times New Roman" w:cs="Times New Roman" w:eastAsia="Times New Roman" w:hAnsi="Times New Roman"/>
          <w:sz w:val="9"/>
          <w:szCs w:val="9"/>
          <w:color w:val="auto"/>
        </w:rPr>
        <w:t xml:space="preserve">  Comprised of other consumer revolving credit, installment, and consumer lease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591820</wp:posOffset>
            </wp:positionV>
            <wp:extent cx="717486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Analysis of Change in Net Interest Income - Taxable-Equivalent Basis</w:t>
            </w: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Table 8a</w:t>
            </w:r>
          </w:p>
        </w:tc>
      </w:tr>
      <w:tr>
        <w:trPr>
          <w:trHeight w:val="136"/>
        </w:trPr>
        <w:tc>
          <w:tcPr>
            <w:tcW w:w="6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540" w:type="dxa"/>
            <w:vAlign w:val="bottom"/>
            <w:gridSpan w:val="4"/>
          </w:tcPr>
          <w:p>
            <w:pPr>
              <w:jc w:val="center"/>
              <w:ind w:left="804"/>
              <w:spacing w:after="0" w:line="136" w:lineRule="exact"/>
              <w:rPr>
                <w:sz w:val="20"/>
                <w:szCs w:val="20"/>
                <w:color w:val="auto"/>
              </w:rPr>
            </w:pPr>
            <w:r>
              <w:rPr>
                <w:rFonts w:ascii="Times New Roman" w:cs="Times New Roman" w:eastAsia="Times New Roman" w:hAnsi="Times New Roman"/>
                <w:sz w:val="13"/>
                <w:szCs w:val="13"/>
                <w:b w:val="1"/>
                <w:bCs w:val="1"/>
                <w:color w:val="auto"/>
                <w:w w:val="96"/>
              </w:rPr>
              <w:t>Three Months Ended December 31, 2023</w:t>
            </w:r>
          </w:p>
        </w:tc>
        <w:tc>
          <w:tcPr>
            <w:tcW w:w="1300" w:type="dxa"/>
            <w:vAlign w:val="bottom"/>
          </w:tcPr>
          <w:p>
            <w:pPr>
              <w:spacing w:after="0"/>
              <w:rPr>
                <w:sz w:val="11"/>
                <w:szCs w:val="11"/>
                <w:color w:val="auto"/>
              </w:rPr>
            </w:pPr>
          </w:p>
        </w:tc>
      </w:tr>
      <w:tr>
        <w:trPr>
          <w:trHeight w:val="164"/>
        </w:trPr>
        <w:tc>
          <w:tcPr>
            <w:tcW w:w="6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4"/>
          </w:tcPr>
          <w:p>
            <w:pPr>
              <w:jc w:val="center"/>
              <w:ind w:left="804"/>
              <w:spacing w:after="0"/>
              <w:rPr>
                <w:sz w:val="20"/>
                <w:szCs w:val="20"/>
                <w:color w:val="auto"/>
              </w:rPr>
            </w:pPr>
            <w:r>
              <w:rPr>
                <w:rFonts w:ascii="Times New Roman" w:cs="Times New Roman" w:eastAsia="Times New Roman" w:hAnsi="Times New Roman"/>
                <w:sz w:val="13"/>
                <w:szCs w:val="13"/>
                <w:b w:val="1"/>
                <w:bCs w:val="1"/>
                <w:color w:val="auto"/>
                <w:w w:val="97"/>
              </w:rPr>
              <w:t>Compared to September 30, 2023</w:t>
            </w:r>
          </w:p>
        </w:tc>
        <w:tc>
          <w:tcPr>
            <w:tcW w:w="1300" w:type="dxa"/>
            <w:vAlign w:val="bottom"/>
            <w:tcBorders>
              <w:bottom w:val="single" w:sz="8" w:color="auto"/>
            </w:tcBorders>
          </w:tcPr>
          <w:p>
            <w:pPr>
              <w:spacing w:after="0"/>
              <w:rPr>
                <w:sz w:val="14"/>
                <w:szCs w:val="14"/>
                <w:color w:val="auto"/>
              </w:rPr>
            </w:pPr>
          </w:p>
        </w:tc>
      </w:tr>
      <w:tr>
        <w:trPr>
          <w:trHeight w:val="146"/>
        </w:trPr>
        <w:tc>
          <w:tcPr>
            <w:tcW w:w="6100" w:type="dxa"/>
            <w:vAlign w:val="bottom"/>
            <w:tcBorders>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color w:val="auto"/>
              </w:rPr>
              <w:t>(dollars in millions)</w:t>
            </w:r>
          </w:p>
        </w:tc>
        <w:tc>
          <w:tcPr>
            <w:tcW w:w="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04"/>
              <w:spacing w:after="0" w:line="145" w:lineRule="exact"/>
              <w:rPr>
                <w:sz w:val="20"/>
                <w:szCs w:val="20"/>
                <w:color w:val="auto"/>
              </w:rPr>
            </w:pPr>
            <w:r>
              <w:rPr>
                <w:rFonts w:ascii="Times New Roman" w:cs="Times New Roman" w:eastAsia="Times New Roman" w:hAnsi="Times New Roman"/>
                <w:sz w:val="13"/>
                <w:szCs w:val="13"/>
                <w:b w:val="1"/>
                <w:bCs w:val="1"/>
                <w:color w:val="auto"/>
              </w:rPr>
              <w:t xml:space="preserve">Volume </w:t>
            </w:r>
            <w:r>
              <w:rPr>
                <w:rFonts w:ascii="Times New Roman" w:cs="Times New Roman" w:eastAsia="Times New Roman" w:hAnsi="Times New Roman"/>
                <w:sz w:val="16"/>
                <w:szCs w:val="16"/>
                <w:color w:val="auto"/>
                <w:vertAlign w:val="superscript"/>
              </w:rPr>
              <w:t>1</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364"/>
              <w:spacing w:after="0" w:line="145" w:lineRule="exact"/>
              <w:rPr>
                <w:sz w:val="20"/>
                <w:szCs w:val="20"/>
                <w:color w:val="auto"/>
              </w:rPr>
            </w:pPr>
            <w:r>
              <w:rPr>
                <w:rFonts w:ascii="Times New Roman" w:cs="Times New Roman" w:eastAsia="Times New Roman" w:hAnsi="Times New Roman"/>
                <w:sz w:val="13"/>
                <w:szCs w:val="13"/>
                <w:b w:val="1"/>
                <w:bCs w:val="1"/>
                <w:color w:val="auto"/>
                <w:w w:val="92"/>
              </w:rPr>
              <w:t xml:space="preserve">Rate </w:t>
            </w:r>
            <w:r>
              <w:rPr>
                <w:rFonts w:ascii="Times New Roman" w:cs="Times New Roman" w:eastAsia="Times New Roman" w:hAnsi="Times New Roman"/>
                <w:sz w:val="16"/>
                <w:szCs w:val="16"/>
                <w:color w:val="auto"/>
                <w:w w:val="92"/>
                <w:vertAlign w:val="superscript"/>
              </w:rPr>
              <w:t>1</w:t>
            </w:r>
          </w:p>
        </w:tc>
        <w:tc>
          <w:tcPr>
            <w:tcW w:w="4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44"/>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34"/>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Change in Interest Income:</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r>
      <w:tr>
        <w:trPr>
          <w:trHeight w:val="142"/>
        </w:trPr>
        <w:tc>
          <w:tcPr>
            <w:tcW w:w="6100" w:type="dxa"/>
            <w:vAlign w:val="bottom"/>
          </w:tcPr>
          <w:p>
            <w:pPr>
              <w:spacing w:after="0"/>
              <w:rPr>
                <w:sz w:val="20"/>
                <w:szCs w:val="20"/>
                <w:color w:val="auto"/>
              </w:rPr>
            </w:pPr>
            <w:r>
              <w:rPr>
                <w:rFonts w:ascii="Times New Roman" w:cs="Times New Roman" w:eastAsia="Times New Roman" w:hAnsi="Times New Roman"/>
                <w:sz w:val="11"/>
                <w:szCs w:val="11"/>
                <w:color w:val="auto"/>
              </w:rPr>
              <w:t>Funds Sold</w:t>
            </w:r>
          </w:p>
        </w:tc>
        <w:tc>
          <w:tcPr>
            <w:tcW w:w="320" w:type="dxa"/>
            <w:vAlign w:val="bottom"/>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(7.3 )</w:t>
            </w:r>
          </w:p>
        </w:tc>
        <w:tc>
          <w:tcPr>
            <w:tcW w:w="360" w:type="dxa"/>
            <w:vAlign w:val="bottom"/>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0.2</w:t>
            </w:r>
          </w:p>
        </w:tc>
        <w:tc>
          <w:tcPr>
            <w:tcW w:w="48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(7.1 )</w:t>
            </w:r>
          </w:p>
        </w:tc>
      </w:tr>
      <w:tr>
        <w:trPr>
          <w:trHeight w:val="142"/>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Investment Securities</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42"/>
        </w:trPr>
        <w:tc>
          <w:tcPr>
            <w:tcW w:w="61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Available-for-Sale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6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Taxable</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1.5</w:t>
            </w:r>
          </w:p>
        </w:tc>
        <w:tc>
          <w:tcPr>
            <w:tcW w:w="4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(0.7 )</w:t>
            </w:r>
          </w:p>
        </w:tc>
      </w:tr>
      <w:tr>
        <w:trPr>
          <w:trHeight w:val="142"/>
        </w:trPr>
        <w:tc>
          <w:tcPr>
            <w:tcW w:w="61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Held-to-Maturity</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610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Taxable</w:t>
            </w:r>
          </w:p>
        </w:tc>
        <w:tc>
          <w:tcPr>
            <w:tcW w:w="32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(0.5 )</w:t>
            </w:r>
          </w:p>
        </w:tc>
        <w:tc>
          <w:tcPr>
            <w:tcW w:w="3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0.2</w:t>
            </w:r>
          </w:p>
        </w:tc>
        <w:tc>
          <w:tcPr>
            <w:tcW w:w="4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(0.3 )</w:t>
            </w:r>
          </w:p>
        </w:tc>
      </w:tr>
      <w:tr>
        <w:trPr>
          <w:trHeight w:val="134"/>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Investment Securities</w:t>
            </w: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3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1.7</w:t>
            </w:r>
          </w:p>
        </w:tc>
        <w:tc>
          <w:tcPr>
            <w:tcW w:w="4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(1.0 )</w:t>
            </w:r>
          </w:p>
        </w:tc>
      </w:tr>
      <w:tr>
        <w:trPr>
          <w:trHeight w:val="134"/>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Loans and Leases</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r>
      <w:tr>
        <w:trPr>
          <w:trHeight w:val="142"/>
        </w:trPr>
        <w:tc>
          <w:tcPr>
            <w:tcW w:w="61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320" w:type="dxa"/>
            <w:vAlign w:val="bottom"/>
          </w:tcPr>
          <w:p>
            <w:pPr>
              <w:spacing w:after="0"/>
              <w:rPr>
                <w:sz w:val="12"/>
                <w:szCs w:val="12"/>
                <w:color w:val="auto"/>
              </w:rPr>
            </w:pPr>
          </w:p>
        </w:tc>
        <w:tc>
          <w:tcPr>
            <w:tcW w:w="14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1.2</w:t>
            </w:r>
          </w:p>
        </w:tc>
        <w:tc>
          <w:tcPr>
            <w:tcW w:w="360" w:type="dxa"/>
            <w:vAlign w:val="bottom"/>
          </w:tcPr>
          <w:p>
            <w:pPr>
              <w:spacing w:after="0"/>
              <w:rPr>
                <w:sz w:val="12"/>
                <w:szCs w:val="12"/>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1.2</w:t>
            </w:r>
          </w:p>
        </w:tc>
        <w:tc>
          <w:tcPr>
            <w:tcW w:w="480" w:type="dxa"/>
            <w:vAlign w:val="bottom"/>
          </w:tcPr>
          <w:p>
            <w:pPr>
              <w:spacing w:after="0"/>
              <w:rPr>
                <w:sz w:val="12"/>
                <w:szCs w:val="12"/>
                <w:color w:val="auto"/>
              </w:rPr>
            </w:pPr>
          </w:p>
        </w:tc>
        <w:tc>
          <w:tcPr>
            <w:tcW w:w="130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2.4</w:t>
            </w:r>
          </w:p>
        </w:tc>
      </w:tr>
      <w:tr>
        <w:trPr>
          <w:trHeight w:val="142"/>
        </w:trPr>
        <w:tc>
          <w:tcPr>
            <w:tcW w:w="6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Commercial Mortgage</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0.8</w:t>
            </w:r>
          </w:p>
        </w:tc>
        <w:tc>
          <w:tcPr>
            <w:tcW w:w="4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0.4</w:t>
            </w:r>
          </w:p>
        </w:tc>
      </w:tr>
      <w:tr>
        <w:trPr>
          <w:trHeight w:val="142"/>
        </w:trPr>
        <w:tc>
          <w:tcPr>
            <w:tcW w:w="61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Construction</w:t>
            </w:r>
          </w:p>
        </w:tc>
        <w:tc>
          <w:tcPr>
            <w:tcW w:w="320" w:type="dxa"/>
            <w:vAlign w:val="bottom"/>
          </w:tcPr>
          <w:p>
            <w:pPr>
              <w:spacing w:after="0"/>
              <w:rPr>
                <w:sz w:val="12"/>
                <w:szCs w:val="12"/>
                <w:color w:val="auto"/>
              </w:rPr>
            </w:pPr>
          </w:p>
        </w:tc>
        <w:tc>
          <w:tcPr>
            <w:tcW w:w="14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0.6</w:t>
            </w:r>
          </w:p>
        </w:tc>
        <w:tc>
          <w:tcPr>
            <w:tcW w:w="360" w:type="dxa"/>
            <w:vAlign w:val="bottom"/>
          </w:tcPr>
          <w:p>
            <w:pPr>
              <w:spacing w:after="0"/>
              <w:rPr>
                <w:sz w:val="12"/>
                <w:szCs w:val="12"/>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0.5</w:t>
            </w:r>
          </w:p>
        </w:tc>
        <w:tc>
          <w:tcPr>
            <w:tcW w:w="480" w:type="dxa"/>
            <w:vAlign w:val="bottom"/>
          </w:tcPr>
          <w:p>
            <w:pPr>
              <w:spacing w:after="0"/>
              <w:rPr>
                <w:sz w:val="12"/>
                <w:szCs w:val="12"/>
                <w:color w:val="auto"/>
              </w:rPr>
            </w:pPr>
          </w:p>
        </w:tc>
        <w:tc>
          <w:tcPr>
            <w:tcW w:w="130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1.1</w:t>
            </w:r>
          </w:p>
        </w:tc>
      </w:tr>
      <w:tr>
        <w:trPr>
          <w:trHeight w:val="142"/>
        </w:trPr>
        <w:tc>
          <w:tcPr>
            <w:tcW w:w="6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Residential Mortgage</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2.7</w:t>
            </w:r>
          </w:p>
        </w:tc>
        <w:tc>
          <w:tcPr>
            <w:tcW w:w="4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2.3</w:t>
            </w:r>
          </w:p>
        </w:tc>
      </w:tr>
      <w:tr>
        <w:trPr>
          <w:trHeight w:val="142"/>
        </w:trPr>
        <w:tc>
          <w:tcPr>
            <w:tcW w:w="61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Home Equity</w:t>
            </w:r>
          </w:p>
        </w:tc>
        <w:tc>
          <w:tcPr>
            <w:tcW w:w="32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360" w:type="dxa"/>
            <w:vAlign w:val="bottom"/>
          </w:tcPr>
          <w:p>
            <w:pPr>
              <w:spacing w:after="0"/>
              <w:rPr>
                <w:sz w:val="12"/>
                <w:szCs w:val="12"/>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0.9</w:t>
            </w:r>
          </w:p>
        </w:tc>
        <w:tc>
          <w:tcPr>
            <w:tcW w:w="480" w:type="dxa"/>
            <w:vAlign w:val="bottom"/>
          </w:tcPr>
          <w:p>
            <w:pPr>
              <w:spacing w:after="0"/>
              <w:rPr>
                <w:sz w:val="12"/>
                <w:szCs w:val="12"/>
                <w:color w:val="auto"/>
              </w:rPr>
            </w:pPr>
          </w:p>
        </w:tc>
        <w:tc>
          <w:tcPr>
            <w:tcW w:w="130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0.8</w:t>
            </w:r>
          </w:p>
        </w:tc>
      </w:tr>
      <w:tr>
        <w:trPr>
          <w:trHeight w:val="142"/>
        </w:trPr>
        <w:tc>
          <w:tcPr>
            <w:tcW w:w="6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Automobile</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0.6</w:t>
            </w:r>
          </w:p>
        </w:tc>
        <w:tc>
          <w:tcPr>
            <w:tcW w:w="4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0.4</w:t>
            </w:r>
          </w:p>
        </w:tc>
      </w:tr>
      <w:tr>
        <w:trPr>
          <w:trHeight w:val="142"/>
        </w:trPr>
        <w:tc>
          <w:tcPr>
            <w:tcW w:w="610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14"/>
                <w:szCs w:val="14"/>
                <w:color w:val="auto"/>
                <w:vertAlign w:val="superscript"/>
              </w:rPr>
              <w:t>2</w:t>
            </w:r>
          </w:p>
        </w:tc>
        <w:tc>
          <w:tcPr>
            <w:tcW w:w="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0.2</w:t>
            </w:r>
          </w:p>
        </w:tc>
        <w:tc>
          <w:tcPr>
            <w:tcW w:w="4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(0.2 )</w:t>
            </w:r>
          </w:p>
        </w:tc>
      </w:tr>
      <w:tr>
        <w:trPr>
          <w:trHeight w:val="134"/>
        </w:trPr>
        <w:tc>
          <w:tcPr>
            <w:tcW w:w="6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Loans and Leases</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0.3</w:t>
            </w:r>
          </w:p>
        </w:tc>
        <w:tc>
          <w:tcPr>
            <w:tcW w:w="36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6.9</w:t>
            </w:r>
          </w:p>
        </w:tc>
        <w:tc>
          <w:tcPr>
            <w:tcW w:w="48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7.2</w:t>
            </w:r>
          </w:p>
        </w:tc>
      </w:tr>
      <w:tr>
        <w:trPr>
          <w:trHeight w:val="134"/>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Other</w:t>
            </w: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3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4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(0.5 )</w:t>
            </w:r>
          </w:p>
        </w:tc>
      </w:tr>
      <w:tr>
        <w:trPr>
          <w:trHeight w:val="134"/>
        </w:trPr>
        <w:tc>
          <w:tcPr>
            <w:tcW w:w="6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Change in Interest Income</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(10.1 )</w:t>
            </w:r>
          </w:p>
        </w:tc>
        <w:tc>
          <w:tcPr>
            <w:tcW w:w="36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8.7</w:t>
            </w:r>
          </w:p>
        </w:tc>
        <w:tc>
          <w:tcPr>
            <w:tcW w:w="48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(1.4 )</w:t>
            </w:r>
          </w:p>
        </w:tc>
      </w:tr>
      <w:tr>
        <w:trPr>
          <w:trHeight w:val="134"/>
        </w:trPr>
        <w:tc>
          <w:tcPr>
            <w:tcW w:w="6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42"/>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Change in Interest Expense:</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42"/>
        </w:trPr>
        <w:tc>
          <w:tcPr>
            <w:tcW w:w="6100" w:type="dxa"/>
            <w:vAlign w:val="bottom"/>
          </w:tcPr>
          <w:p>
            <w:pPr>
              <w:spacing w:after="0"/>
              <w:rPr>
                <w:sz w:val="20"/>
                <w:szCs w:val="20"/>
                <w:color w:val="auto"/>
              </w:rPr>
            </w:pPr>
            <w:r>
              <w:rPr>
                <w:rFonts w:ascii="Times New Roman" w:cs="Times New Roman" w:eastAsia="Times New Roman" w:hAnsi="Times New Roman"/>
                <w:sz w:val="11"/>
                <w:szCs w:val="11"/>
                <w:color w:val="auto"/>
              </w:rPr>
              <w:t>Interest-Bearing Deposits</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6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Demand</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1.4</w:t>
            </w:r>
          </w:p>
        </w:tc>
        <w:tc>
          <w:tcPr>
            <w:tcW w:w="4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1.1</w:t>
            </w:r>
          </w:p>
        </w:tc>
      </w:tr>
      <w:tr>
        <w:trPr>
          <w:trHeight w:val="142"/>
        </w:trPr>
        <w:tc>
          <w:tcPr>
            <w:tcW w:w="61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Savings</w:t>
            </w:r>
          </w:p>
        </w:tc>
        <w:tc>
          <w:tcPr>
            <w:tcW w:w="320" w:type="dxa"/>
            <w:vAlign w:val="bottom"/>
          </w:tcPr>
          <w:p>
            <w:pPr>
              <w:spacing w:after="0"/>
              <w:rPr>
                <w:sz w:val="12"/>
                <w:szCs w:val="12"/>
                <w:color w:val="auto"/>
              </w:rPr>
            </w:pPr>
          </w:p>
        </w:tc>
        <w:tc>
          <w:tcPr>
            <w:tcW w:w="14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2.5</w:t>
            </w:r>
          </w:p>
        </w:tc>
        <w:tc>
          <w:tcPr>
            <w:tcW w:w="360" w:type="dxa"/>
            <w:vAlign w:val="bottom"/>
          </w:tcPr>
          <w:p>
            <w:pPr>
              <w:spacing w:after="0"/>
              <w:rPr>
                <w:sz w:val="12"/>
                <w:szCs w:val="12"/>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9.5</w:t>
            </w:r>
          </w:p>
        </w:tc>
        <w:tc>
          <w:tcPr>
            <w:tcW w:w="480" w:type="dxa"/>
            <w:vAlign w:val="bottom"/>
          </w:tcPr>
          <w:p>
            <w:pPr>
              <w:spacing w:after="0"/>
              <w:rPr>
                <w:sz w:val="12"/>
                <w:szCs w:val="12"/>
                <w:color w:val="auto"/>
              </w:rPr>
            </w:pPr>
          </w:p>
        </w:tc>
        <w:tc>
          <w:tcPr>
            <w:tcW w:w="130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12.0</w:t>
            </w:r>
          </w:p>
        </w:tc>
      </w:tr>
      <w:tr>
        <w:trPr>
          <w:trHeight w:val="142"/>
        </w:trPr>
        <w:tc>
          <w:tcPr>
            <w:tcW w:w="610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Time</w:t>
            </w:r>
          </w:p>
        </w:tc>
        <w:tc>
          <w:tcPr>
            <w:tcW w:w="32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0.6</w:t>
            </w:r>
          </w:p>
        </w:tc>
        <w:tc>
          <w:tcPr>
            <w:tcW w:w="3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1.2</w:t>
            </w:r>
          </w:p>
        </w:tc>
        <w:tc>
          <w:tcPr>
            <w:tcW w:w="4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1.8</w:t>
            </w:r>
          </w:p>
        </w:tc>
      </w:tr>
      <w:tr>
        <w:trPr>
          <w:trHeight w:val="134"/>
        </w:trPr>
        <w:tc>
          <w:tcPr>
            <w:tcW w:w="6100" w:type="dxa"/>
            <w:vAlign w:val="bottom"/>
          </w:tcPr>
          <w:p>
            <w:pPr>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320" w:type="dxa"/>
            <w:vAlign w:val="bottom"/>
          </w:tcPr>
          <w:p>
            <w:pPr>
              <w:spacing w:after="0"/>
              <w:rPr>
                <w:sz w:val="11"/>
                <w:szCs w:val="11"/>
                <w:color w:val="auto"/>
              </w:rPr>
            </w:pPr>
          </w:p>
        </w:tc>
        <w:tc>
          <w:tcPr>
            <w:tcW w:w="14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2.8</w:t>
            </w:r>
          </w:p>
        </w:tc>
        <w:tc>
          <w:tcPr>
            <w:tcW w:w="360" w:type="dxa"/>
            <w:vAlign w:val="bottom"/>
          </w:tcPr>
          <w:p>
            <w:pPr>
              <w:spacing w:after="0"/>
              <w:rPr>
                <w:sz w:val="11"/>
                <w:szCs w:val="11"/>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12.1</w:t>
            </w:r>
          </w:p>
        </w:tc>
        <w:tc>
          <w:tcPr>
            <w:tcW w:w="480" w:type="dxa"/>
            <w:vAlign w:val="bottom"/>
          </w:tcPr>
          <w:p>
            <w:pPr>
              <w:spacing w:after="0"/>
              <w:rPr>
                <w:sz w:val="11"/>
                <w:szCs w:val="11"/>
                <w:color w:val="auto"/>
              </w:rPr>
            </w:pPr>
          </w:p>
        </w:tc>
        <w:tc>
          <w:tcPr>
            <w:tcW w:w="130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14.9</w:t>
            </w:r>
          </w:p>
        </w:tc>
      </w:tr>
      <w:tr>
        <w:trPr>
          <w:trHeight w:val="142"/>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32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(3.5 )</w:t>
            </w: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1.0</w:t>
            </w:r>
          </w:p>
        </w:tc>
        <w:tc>
          <w:tcPr>
            <w:tcW w:w="4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(2.5 )</w:t>
            </w:r>
          </w:p>
        </w:tc>
      </w:tr>
      <w:tr>
        <w:trPr>
          <w:trHeight w:val="142"/>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Other Debt</w:t>
            </w:r>
          </w:p>
        </w:tc>
        <w:tc>
          <w:tcPr>
            <w:tcW w:w="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(8.6 )</w:t>
            </w: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4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(8.8 )</w:t>
            </w:r>
          </w:p>
        </w:tc>
      </w:tr>
      <w:tr>
        <w:trPr>
          <w:trHeight w:val="134"/>
        </w:trPr>
        <w:tc>
          <w:tcPr>
            <w:tcW w:w="6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Change in Interest Expense</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(9.3 )</w:t>
            </w:r>
          </w:p>
        </w:tc>
        <w:tc>
          <w:tcPr>
            <w:tcW w:w="36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12.9</w:t>
            </w:r>
          </w:p>
        </w:tc>
        <w:tc>
          <w:tcPr>
            <w:tcW w:w="48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3.6</w:t>
            </w:r>
          </w:p>
        </w:tc>
      </w:tr>
      <w:tr>
        <w:trPr>
          <w:trHeight w:val="274"/>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Change in Net Interest Income</w:t>
            </w: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(0.8 )</w:t>
            </w:r>
          </w:p>
        </w:tc>
        <w:tc>
          <w:tcPr>
            <w:tcW w:w="3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(4.2 )</w:t>
            </w:r>
          </w:p>
        </w:tc>
        <w:tc>
          <w:tcPr>
            <w:tcW w:w="4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(5.0 )</w:t>
            </w: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00" w:hanging="94"/>
        <w:spacing w:after="0"/>
        <w:tabs>
          <w:tab w:leader="none" w:pos="100"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change in interest income and expense not solely due to changes in volume or rate has been allocated on a pro-rata basis to the volume and rate columns.</w:t>
      </w:r>
    </w:p>
    <w:p>
      <w:pPr>
        <w:spacing w:after="0" w:line="11" w:lineRule="exact"/>
        <w:rPr>
          <w:rFonts w:ascii="Times New Roman" w:cs="Times New Roman" w:eastAsia="Times New Roman" w:hAnsi="Times New Roman"/>
          <w:sz w:val="15"/>
          <w:szCs w:val="15"/>
          <w:color w:val="auto"/>
          <w:vertAlign w:val="superscript"/>
        </w:rPr>
      </w:pP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Comprised of other consumer revolving credit, installment, and consumer lease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586105</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Analysis of Change in Net Interest Income - Taxable-Equivalent Basis</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Table 8b</w:t>
            </w:r>
          </w:p>
        </w:tc>
      </w:tr>
      <w:tr>
        <w:trPr>
          <w:trHeight w:val="136"/>
        </w:trPr>
        <w:tc>
          <w:tcPr>
            <w:tcW w:w="6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580" w:type="dxa"/>
            <w:vAlign w:val="bottom"/>
            <w:gridSpan w:val="4"/>
          </w:tcPr>
          <w:p>
            <w:pPr>
              <w:jc w:val="center"/>
              <w:ind w:left="844"/>
              <w:spacing w:after="0" w:line="136" w:lineRule="exact"/>
              <w:rPr>
                <w:sz w:val="20"/>
                <w:szCs w:val="20"/>
                <w:color w:val="auto"/>
              </w:rPr>
            </w:pPr>
            <w:r>
              <w:rPr>
                <w:rFonts w:ascii="Times New Roman" w:cs="Times New Roman" w:eastAsia="Times New Roman" w:hAnsi="Times New Roman"/>
                <w:sz w:val="13"/>
                <w:szCs w:val="13"/>
                <w:b w:val="1"/>
                <w:bCs w:val="1"/>
                <w:color w:val="auto"/>
                <w:w w:val="96"/>
              </w:rPr>
              <w:t>Three Months Ended December 31, 2023</w:t>
            </w:r>
          </w:p>
        </w:tc>
        <w:tc>
          <w:tcPr>
            <w:tcW w:w="1340" w:type="dxa"/>
            <w:vAlign w:val="bottom"/>
          </w:tcPr>
          <w:p>
            <w:pPr>
              <w:spacing w:after="0"/>
              <w:rPr>
                <w:sz w:val="11"/>
                <w:szCs w:val="11"/>
                <w:color w:val="auto"/>
              </w:rPr>
            </w:pPr>
          </w:p>
        </w:tc>
      </w:tr>
      <w:tr>
        <w:trPr>
          <w:trHeight w:val="164"/>
        </w:trPr>
        <w:tc>
          <w:tcPr>
            <w:tcW w:w="60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3"/>
          </w:tcPr>
          <w:p>
            <w:pPr>
              <w:jc w:val="center"/>
              <w:ind w:left="1304"/>
              <w:spacing w:after="0"/>
              <w:rPr>
                <w:sz w:val="20"/>
                <w:szCs w:val="20"/>
                <w:color w:val="auto"/>
              </w:rPr>
            </w:pPr>
            <w:r>
              <w:rPr>
                <w:rFonts w:ascii="Times New Roman" w:cs="Times New Roman" w:eastAsia="Times New Roman" w:hAnsi="Times New Roman"/>
                <w:sz w:val="13"/>
                <w:szCs w:val="13"/>
                <w:b w:val="1"/>
                <w:bCs w:val="1"/>
                <w:color w:val="auto"/>
                <w:w w:val="96"/>
              </w:rPr>
              <w:t>Compared to December 31, 2022</w:t>
            </w:r>
          </w:p>
        </w:tc>
        <w:tc>
          <w:tcPr>
            <w:tcW w:w="4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146"/>
        </w:trPr>
        <w:tc>
          <w:tcPr>
            <w:tcW w:w="6000" w:type="dxa"/>
            <w:vAlign w:val="bottom"/>
            <w:tcBorders>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color w:val="auto"/>
              </w:rPr>
              <w:t>(dollars in millions)</w:t>
            </w: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24"/>
              <w:spacing w:after="0" w:line="145" w:lineRule="exact"/>
              <w:rPr>
                <w:sz w:val="20"/>
                <w:szCs w:val="20"/>
                <w:color w:val="auto"/>
              </w:rPr>
            </w:pPr>
            <w:r>
              <w:rPr>
                <w:rFonts w:ascii="Times New Roman" w:cs="Times New Roman" w:eastAsia="Times New Roman" w:hAnsi="Times New Roman"/>
                <w:sz w:val="13"/>
                <w:szCs w:val="13"/>
                <w:b w:val="1"/>
                <w:bCs w:val="1"/>
                <w:color w:val="auto"/>
              </w:rPr>
              <w:t xml:space="preserve">Volume </w:t>
            </w:r>
            <w:r>
              <w:rPr>
                <w:rFonts w:ascii="Times New Roman" w:cs="Times New Roman" w:eastAsia="Times New Roman" w:hAnsi="Times New Roman"/>
                <w:sz w:val="16"/>
                <w:szCs w:val="16"/>
                <w:color w:val="auto"/>
                <w:vertAlign w:val="superscript"/>
              </w:rPr>
              <w:t>1</w:t>
            </w: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85"/>
              <w:spacing w:after="0" w:line="145" w:lineRule="exact"/>
              <w:rPr>
                <w:sz w:val="20"/>
                <w:szCs w:val="20"/>
                <w:color w:val="auto"/>
              </w:rPr>
            </w:pPr>
            <w:r>
              <w:rPr>
                <w:rFonts w:ascii="Times New Roman" w:cs="Times New Roman" w:eastAsia="Times New Roman" w:hAnsi="Times New Roman"/>
                <w:sz w:val="13"/>
                <w:szCs w:val="13"/>
                <w:b w:val="1"/>
                <w:bCs w:val="1"/>
                <w:color w:val="auto"/>
                <w:w w:val="92"/>
              </w:rPr>
              <w:t xml:space="preserve">Rate </w:t>
            </w:r>
            <w:r>
              <w:rPr>
                <w:rFonts w:ascii="Times New Roman" w:cs="Times New Roman" w:eastAsia="Times New Roman" w:hAnsi="Times New Roman"/>
                <w:sz w:val="16"/>
                <w:szCs w:val="16"/>
                <w:color w:val="auto"/>
                <w:w w:val="92"/>
                <w:vertAlign w:val="superscript"/>
              </w:rPr>
              <w:t>1</w:t>
            </w:r>
          </w:p>
        </w:tc>
        <w:tc>
          <w:tcPr>
            <w:tcW w:w="4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64"/>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34"/>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Change in Interest Income:</w:t>
            </w:r>
          </w:p>
        </w:tc>
        <w:tc>
          <w:tcPr>
            <w:tcW w:w="34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1"/>
                <w:szCs w:val="11"/>
                <w:color w:val="auto"/>
              </w:rPr>
              <w:t>Funds Sold</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3.8</w:t>
            </w:r>
          </w:p>
        </w:tc>
        <w:tc>
          <w:tcPr>
            <w:tcW w:w="38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0.7</w:t>
            </w:r>
          </w:p>
        </w:tc>
        <w:tc>
          <w:tcPr>
            <w:tcW w:w="4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4.5</w:t>
            </w:r>
          </w:p>
        </w:tc>
      </w:tr>
      <w:tr>
        <w:trPr>
          <w:trHeight w:val="142"/>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Investment Securities</w:t>
            </w: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r>
      <w:tr>
        <w:trPr>
          <w:trHeight w:val="142"/>
        </w:trPr>
        <w:tc>
          <w:tcPr>
            <w:tcW w:w="6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Available-for-Sale</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2"/>
        </w:trPr>
        <w:tc>
          <w:tcPr>
            <w:tcW w:w="60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Taxable</w:t>
            </w: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38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6.2</w:t>
            </w:r>
          </w:p>
        </w:tc>
        <w:tc>
          <w:tcPr>
            <w:tcW w:w="4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4.4</w:t>
            </w:r>
          </w:p>
        </w:tc>
      </w:tr>
      <w:tr>
        <w:trPr>
          <w:trHeight w:val="142"/>
        </w:trPr>
        <w:tc>
          <w:tcPr>
            <w:tcW w:w="60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Non-Taxable</w:t>
            </w:r>
          </w:p>
        </w:tc>
        <w:tc>
          <w:tcPr>
            <w:tcW w:w="340" w:type="dxa"/>
            <w:vAlign w:val="bottom"/>
          </w:tcPr>
          <w:p>
            <w:pPr>
              <w:spacing w:after="0"/>
              <w:rPr>
                <w:sz w:val="12"/>
                <w:szCs w:val="12"/>
                <w:color w:val="auto"/>
              </w:rPr>
            </w:pPr>
          </w:p>
        </w:tc>
        <w:tc>
          <w:tcPr>
            <w:tcW w:w="14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13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(0.1 )</w:t>
            </w:r>
          </w:p>
        </w:tc>
        <w:tc>
          <w:tcPr>
            <w:tcW w:w="460" w:type="dxa"/>
            <w:vAlign w:val="bottom"/>
          </w:tcPr>
          <w:p>
            <w:pPr>
              <w:spacing w:after="0"/>
              <w:rPr>
                <w:sz w:val="12"/>
                <w:szCs w:val="12"/>
                <w:color w:val="auto"/>
              </w:rPr>
            </w:pP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(0.1 )</w:t>
            </w:r>
          </w:p>
        </w:tc>
      </w:tr>
      <w:tr>
        <w:trPr>
          <w:trHeight w:val="14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Held-to-Maturity</w:t>
            </w: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r>
      <w:tr>
        <w:trPr>
          <w:trHeight w:val="142"/>
        </w:trPr>
        <w:tc>
          <w:tcPr>
            <w:tcW w:w="6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color w:val="auto"/>
              </w:rPr>
              <w:t>Taxable</w:t>
            </w: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0.6</w:t>
            </w:r>
          </w:p>
        </w:tc>
        <w:tc>
          <w:tcPr>
            <w:tcW w:w="4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(1.1 )</w:t>
            </w:r>
          </w:p>
        </w:tc>
      </w:tr>
      <w:tr>
        <w:trPr>
          <w:trHeight w:val="134"/>
        </w:trPr>
        <w:tc>
          <w:tcPr>
            <w:tcW w:w="60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Investment Securities</w:t>
            </w:r>
          </w:p>
        </w:tc>
        <w:tc>
          <w:tcPr>
            <w:tcW w:w="34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(3.5 )</w:t>
            </w:r>
          </w:p>
        </w:tc>
        <w:tc>
          <w:tcPr>
            <w:tcW w:w="380" w:type="dxa"/>
            <w:vAlign w:val="bottom"/>
            <w:tcBorders>
              <w:bottom w:val="single" w:sz="8" w:color="auto"/>
            </w:tcBorders>
            <w:shd w:val="clear" w:color="auto" w:fill="CFF0FC"/>
          </w:tcPr>
          <w:p>
            <w:pPr>
              <w:spacing w:after="0"/>
              <w:rPr>
                <w:sz w:val="11"/>
                <w:szCs w:val="11"/>
                <w:color w:val="auto"/>
              </w:rPr>
            </w:pPr>
          </w:p>
        </w:tc>
        <w:tc>
          <w:tcPr>
            <w:tcW w:w="132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6.7</w:t>
            </w:r>
          </w:p>
        </w:tc>
        <w:tc>
          <w:tcPr>
            <w:tcW w:w="46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3.2</w:t>
            </w:r>
          </w:p>
        </w:tc>
      </w:tr>
      <w:tr>
        <w:trPr>
          <w:trHeight w:val="134"/>
        </w:trPr>
        <w:tc>
          <w:tcPr>
            <w:tcW w:w="6000" w:type="dxa"/>
            <w:vAlign w:val="bottom"/>
          </w:tcPr>
          <w:p>
            <w:pPr>
              <w:spacing w:after="0"/>
              <w:rPr>
                <w:sz w:val="20"/>
                <w:szCs w:val="20"/>
                <w:color w:val="auto"/>
              </w:rPr>
            </w:pPr>
            <w:r>
              <w:rPr>
                <w:rFonts w:ascii="Times New Roman" w:cs="Times New Roman" w:eastAsia="Times New Roman" w:hAnsi="Times New Roman"/>
                <w:sz w:val="11"/>
                <w:szCs w:val="11"/>
                <w:color w:val="auto"/>
              </w:rPr>
              <w:t>Loans Held for Sale</w:t>
            </w:r>
          </w:p>
        </w:tc>
        <w:tc>
          <w:tcPr>
            <w:tcW w:w="340" w:type="dxa"/>
            <w:vAlign w:val="bottom"/>
          </w:tcPr>
          <w:p>
            <w:pPr>
              <w:spacing w:after="0"/>
              <w:rPr>
                <w:sz w:val="11"/>
                <w:szCs w:val="11"/>
                <w:color w:val="auto"/>
              </w:rPr>
            </w:pPr>
          </w:p>
        </w:tc>
        <w:tc>
          <w:tcPr>
            <w:tcW w:w="14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1"/>
                <w:szCs w:val="11"/>
                <w:color w:val="auto"/>
              </w:rPr>
            </w:pPr>
          </w:p>
        </w:tc>
        <w:tc>
          <w:tcPr>
            <w:tcW w:w="13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0.1</w:t>
            </w:r>
          </w:p>
        </w:tc>
        <w:tc>
          <w:tcPr>
            <w:tcW w:w="460" w:type="dxa"/>
            <w:vAlign w:val="bottom"/>
          </w:tcPr>
          <w:p>
            <w:pPr>
              <w:spacing w:after="0"/>
              <w:rPr>
                <w:sz w:val="11"/>
                <w:szCs w:val="11"/>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0.1</w:t>
            </w:r>
          </w:p>
        </w:tc>
      </w:tr>
      <w:tr>
        <w:trPr>
          <w:trHeight w:val="142"/>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Loans and Leases</w:t>
            </w: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r>
      <w:tr>
        <w:trPr>
          <w:trHeight w:val="142"/>
        </w:trPr>
        <w:tc>
          <w:tcPr>
            <w:tcW w:w="60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340" w:type="dxa"/>
            <w:vAlign w:val="bottom"/>
          </w:tcPr>
          <w:p>
            <w:pPr>
              <w:spacing w:after="0"/>
              <w:rPr>
                <w:sz w:val="12"/>
                <w:szCs w:val="12"/>
                <w:color w:val="auto"/>
              </w:rPr>
            </w:pPr>
          </w:p>
        </w:tc>
        <w:tc>
          <w:tcPr>
            <w:tcW w:w="14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2.6</w:t>
            </w:r>
          </w:p>
        </w:tc>
        <w:tc>
          <w:tcPr>
            <w:tcW w:w="380" w:type="dxa"/>
            <w:vAlign w:val="bottom"/>
          </w:tcPr>
          <w:p>
            <w:pPr>
              <w:spacing w:after="0"/>
              <w:rPr>
                <w:sz w:val="12"/>
                <w:szCs w:val="12"/>
                <w:color w:val="auto"/>
              </w:rPr>
            </w:pPr>
          </w:p>
        </w:tc>
        <w:tc>
          <w:tcPr>
            <w:tcW w:w="13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3.9</w:t>
            </w:r>
          </w:p>
        </w:tc>
        <w:tc>
          <w:tcPr>
            <w:tcW w:w="460" w:type="dxa"/>
            <w:vAlign w:val="bottom"/>
          </w:tcPr>
          <w:p>
            <w:pPr>
              <w:spacing w:after="0"/>
              <w:rPr>
                <w:sz w:val="12"/>
                <w:szCs w:val="12"/>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6.5</w:t>
            </w:r>
          </w:p>
        </w:tc>
      </w:tr>
      <w:tr>
        <w:trPr>
          <w:trHeight w:val="14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Paycheck Protection Program</w:t>
            </w: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(0.1 )</w:t>
            </w:r>
          </w:p>
        </w:tc>
        <w:tc>
          <w:tcPr>
            <w:tcW w:w="4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(0.1 )</w:t>
            </w:r>
          </w:p>
        </w:tc>
      </w:tr>
      <w:tr>
        <w:trPr>
          <w:trHeight w:val="142"/>
        </w:trPr>
        <w:tc>
          <w:tcPr>
            <w:tcW w:w="60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Commercial Mortgage</w:t>
            </w:r>
          </w:p>
        </w:tc>
        <w:tc>
          <w:tcPr>
            <w:tcW w:w="340" w:type="dxa"/>
            <w:vAlign w:val="bottom"/>
          </w:tcPr>
          <w:p>
            <w:pPr>
              <w:spacing w:after="0"/>
              <w:rPr>
                <w:sz w:val="12"/>
                <w:szCs w:val="12"/>
                <w:color w:val="auto"/>
              </w:rPr>
            </w:pPr>
          </w:p>
        </w:tc>
        <w:tc>
          <w:tcPr>
            <w:tcW w:w="14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1.6</w:t>
            </w:r>
          </w:p>
        </w:tc>
        <w:tc>
          <w:tcPr>
            <w:tcW w:w="380" w:type="dxa"/>
            <w:vAlign w:val="bottom"/>
          </w:tcPr>
          <w:p>
            <w:pPr>
              <w:spacing w:after="0"/>
              <w:rPr>
                <w:sz w:val="12"/>
                <w:szCs w:val="12"/>
                <w:color w:val="auto"/>
              </w:rPr>
            </w:pPr>
          </w:p>
        </w:tc>
        <w:tc>
          <w:tcPr>
            <w:tcW w:w="13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9.3</w:t>
            </w:r>
          </w:p>
        </w:tc>
        <w:tc>
          <w:tcPr>
            <w:tcW w:w="460" w:type="dxa"/>
            <w:vAlign w:val="bottom"/>
          </w:tcPr>
          <w:p>
            <w:pPr>
              <w:spacing w:after="0"/>
              <w:rPr>
                <w:sz w:val="12"/>
                <w:szCs w:val="12"/>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10.9</w:t>
            </w:r>
          </w:p>
        </w:tc>
      </w:tr>
      <w:tr>
        <w:trPr>
          <w:trHeight w:val="14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Construction</w:t>
            </w: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0.4</w:t>
            </w:r>
          </w:p>
        </w:tc>
        <w:tc>
          <w:tcPr>
            <w:tcW w:w="38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1.1</w:t>
            </w:r>
          </w:p>
        </w:tc>
        <w:tc>
          <w:tcPr>
            <w:tcW w:w="4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1.5</w:t>
            </w:r>
          </w:p>
        </w:tc>
      </w:tr>
      <w:tr>
        <w:trPr>
          <w:trHeight w:val="142"/>
        </w:trPr>
        <w:tc>
          <w:tcPr>
            <w:tcW w:w="60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Residential Mortgage</w:t>
            </w:r>
          </w:p>
        </w:tc>
        <w:tc>
          <w:tcPr>
            <w:tcW w:w="340" w:type="dxa"/>
            <w:vAlign w:val="bottom"/>
          </w:tcPr>
          <w:p>
            <w:pPr>
              <w:spacing w:after="0"/>
              <w:rPr>
                <w:sz w:val="12"/>
                <w:szCs w:val="12"/>
                <w:color w:val="auto"/>
              </w:rPr>
            </w:pPr>
          </w:p>
        </w:tc>
        <w:tc>
          <w:tcPr>
            <w:tcW w:w="14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0.5</w:t>
            </w:r>
          </w:p>
        </w:tc>
        <w:tc>
          <w:tcPr>
            <w:tcW w:w="380" w:type="dxa"/>
            <w:vAlign w:val="bottom"/>
          </w:tcPr>
          <w:p>
            <w:pPr>
              <w:spacing w:after="0"/>
              <w:rPr>
                <w:sz w:val="12"/>
                <w:szCs w:val="12"/>
                <w:color w:val="auto"/>
              </w:rPr>
            </w:pPr>
          </w:p>
        </w:tc>
        <w:tc>
          <w:tcPr>
            <w:tcW w:w="13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5.7</w:t>
            </w:r>
          </w:p>
        </w:tc>
        <w:tc>
          <w:tcPr>
            <w:tcW w:w="460" w:type="dxa"/>
            <w:vAlign w:val="bottom"/>
          </w:tcPr>
          <w:p>
            <w:pPr>
              <w:spacing w:after="0"/>
              <w:rPr>
                <w:sz w:val="12"/>
                <w:szCs w:val="12"/>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6.2</w:t>
            </w:r>
          </w:p>
        </w:tc>
      </w:tr>
      <w:tr>
        <w:trPr>
          <w:trHeight w:val="14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Home Equity</w:t>
            </w: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0.6</w:t>
            </w:r>
          </w:p>
        </w:tc>
        <w:tc>
          <w:tcPr>
            <w:tcW w:w="38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2.4</w:t>
            </w:r>
          </w:p>
        </w:tc>
        <w:tc>
          <w:tcPr>
            <w:tcW w:w="4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3.0</w:t>
            </w:r>
          </w:p>
        </w:tc>
      </w:tr>
      <w:tr>
        <w:trPr>
          <w:trHeight w:val="142"/>
        </w:trPr>
        <w:tc>
          <w:tcPr>
            <w:tcW w:w="6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Automobile</w:t>
            </w:r>
          </w:p>
        </w:tc>
        <w:tc>
          <w:tcPr>
            <w:tcW w:w="340" w:type="dxa"/>
            <w:vAlign w:val="bottom"/>
          </w:tcPr>
          <w:p>
            <w:pPr>
              <w:spacing w:after="0"/>
              <w:rPr>
                <w:sz w:val="12"/>
                <w:szCs w:val="12"/>
                <w:color w:val="auto"/>
              </w:rPr>
            </w:pPr>
          </w:p>
        </w:tc>
        <w:tc>
          <w:tcPr>
            <w:tcW w:w="14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2"/>
                <w:szCs w:val="12"/>
                <w:color w:val="auto"/>
              </w:rPr>
            </w:pPr>
          </w:p>
        </w:tc>
        <w:tc>
          <w:tcPr>
            <w:tcW w:w="13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1.6</w:t>
            </w:r>
          </w:p>
        </w:tc>
        <w:tc>
          <w:tcPr>
            <w:tcW w:w="460" w:type="dxa"/>
            <w:vAlign w:val="bottom"/>
          </w:tcPr>
          <w:p>
            <w:pPr>
              <w:spacing w:after="0"/>
              <w:rPr>
                <w:sz w:val="12"/>
                <w:szCs w:val="12"/>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1.6</w:t>
            </w:r>
          </w:p>
        </w:tc>
      </w:tr>
      <w:tr>
        <w:trPr>
          <w:trHeight w:val="142"/>
        </w:trPr>
        <w:tc>
          <w:tcPr>
            <w:tcW w:w="6000" w:type="dxa"/>
            <w:vAlign w:val="bottom"/>
            <w:tcBorders>
              <w:bottom w:val="single" w:sz="8" w:color="auto"/>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14"/>
                <w:szCs w:val="14"/>
                <w:color w:val="auto"/>
                <w:vertAlign w:val="superscript"/>
              </w:rPr>
              <w:t>2</w:t>
            </w:r>
          </w:p>
        </w:tc>
        <w:tc>
          <w:tcPr>
            <w:tcW w:w="34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3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0.8</w:t>
            </w:r>
          </w:p>
        </w:tc>
        <w:tc>
          <w:tcPr>
            <w:tcW w:w="4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0.2</w:t>
            </w:r>
          </w:p>
        </w:tc>
      </w:tr>
      <w:tr>
        <w:trPr>
          <w:trHeight w:val="134"/>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Loans and Leases</w:t>
            </w:r>
          </w:p>
        </w:tc>
        <w:tc>
          <w:tcPr>
            <w:tcW w:w="3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5.1</w:t>
            </w: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24.7</w:t>
            </w:r>
          </w:p>
        </w:tc>
        <w:tc>
          <w:tcPr>
            <w:tcW w:w="4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29.8</w:t>
            </w:r>
          </w:p>
        </w:tc>
      </w:tr>
      <w:tr>
        <w:trPr>
          <w:trHeight w:val="134"/>
        </w:trPr>
        <w:tc>
          <w:tcPr>
            <w:tcW w:w="60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0.1</w:t>
            </w:r>
          </w:p>
        </w:tc>
        <w:tc>
          <w:tcPr>
            <w:tcW w:w="380" w:type="dxa"/>
            <w:vAlign w:val="bottom"/>
            <w:tcBorders>
              <w:bottom w:val="single" w:sz="8" w:color="auto"/>
            </w:tcBorders>
            <w:shd w:val="clear" w:color="auto" w:fill="CFF0FC"/>
          </w:tcPr>
          <w:p>
            <w:pPr>
              <w:spacing w:after="0"/>
              <w:rPr>
                <w:sz w:val="11"/>
                <w:szCs w:val="11"/>
                <w:color w:val="auto"/>
              </w:rPr>
            </w:pPr>
          </w:p>
        </w:tc>
        <w:tc>
          <w:tcPr>
            <w:tcW w:w="132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0.5</w:t>
            </w:r>
          </w:p>
        </w:tc>
        <w:tc>
          <w:tcPr>
            <w:tcW w:w="46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0.6</w:t>
            </w:r>
          </w:p>
        </w:tc>
      </w:tr>
      <w:tr>
        <w:trPr>
          <w:trHeight w:val="134"/>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Total Change in Interest Income</w:t>
            </w:r>
          </w:p>
        </w:tc>
        <w:tc>
          <w:tcPr>
            <w:tcW w:w="3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5.5</w:t>
            </w: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32.7</w:t>
            </w:r>
          </w:p>
        </w:tc>
        <w:tc>
          <w:tcPr>
            <w:tcW w:w="4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38.2</w:t>
            </w:r>
          </w:p>
        </w:tc>
      </w:tr>
      <w:tr>
        <w:trPr>
          <w:trHeight w:val="134"/>
        </w:trPr>
        <w:tc>
          <w:tcPr>
            <w:tcW w:w="60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1"/>
                <w:szCs w:val="11"/>
                <w:color w:val="auto"/>
              </w:rPr>
              <w:t>Change in Interest Expense:</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2"/>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Interest-Bearing Deposits</w:t>
            </w: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r>
      <w:tr>
        <w:trPr>
          <w:trHeight w:val="142"/>
        </w:trPr>
        <w:tc>
          <w:tcPr>
            <w:tcW w:w="60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Demand</w:t>
            </w:r>
          </w:p>
        </w:tc>
        <w:tc>
          <w:tcPr>
            <w:tcW w:w="3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380" w:type="dxa"/>
            <w:vAlign w:val="bottom"/>
          </w:tcPr>
          <w:p>
            <w:pPr>
              <w:spacing w:after="0"/>
              <w:rPr>
                <w:sz w:val="12"/>
                <w:szCs w:val="12"/>
                <w:color w:val="auto"/>
              </w:rPr>
            </w:pPr>
          </w:p>
        </w:tc>
        <w:tc>
          <w:tcPr>
            <w:tcW w:w="13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4.6</w:t>
            </w:r>
          </w:p>
        </w:tc>
        <w:tc>
          <w:tcPr>
            <w:tcW w:w="460" w:type="dxa"/>
            <w:vAlign w:val="bottom"/>
          </w:tcPr>
          <w:p>
            <w:pPr>
              <w:spacing w:after="0"/>
              <w:rPr>
                <w:sz w:val="12"/>
                <w:szCs w:val="12"/>
                <w:color w:val="auto"/>
              </w:rPr>
            </w:pP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4.2</w:t>
            </w:r>
          </w:p>
        </w:tc>
      </w:tr>
      <w:tr>
        <w:trPr>
          <w:trHeight w:val="142"/>
        </w:trPr>
        <w:tc>
          <w:tcPr>
            <w:tcW w:w="6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Savings</w:t>
            </w: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1.0</w:t>
            </w:r>
          </w:p>
        </w:tc>
        <w:tc>
          <w:tcPr>
            <w:tcW w:w="38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36.7</w:t>
            </w:r>
          </w:p>
        </w:tc>
        <w:tc>
          <w:tcPr>
            <w:tcW w:w="4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37.7</w:t>
            </w:r>
          </w:p>
        </w:tc>
      </w:tr>
      <w:tr>
        <w:trPr>
          <w:trHeight w:val="142"/>
        </w:trPr>
        <w:tc>
          <w:tcPr>
            <w:tcW w:w="6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Time</w:t>
            </w: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9.4</w:t>
            </w: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12.3</w:t>
            </w:r>
          </w:p>
        </w:tc>
        <w:tc>
          <w:tcPr>
            <w:tcW w:w="4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21.7</w:t>
            </w:r>
          </w:p>
        </w:tc>
      </w:tr>
      <w:tr>
        <w:trPr>
          <w:trHeight w:val="134"/>
        </w:trPr>
        <w:tc>
          <w:tcPr>
            <w:tcW w:w="60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34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10.0</w:t>
            </w:r>
          </w:p>
        </w:tc>
        <w:tc>
          <w:tcPr>
            <w:tcW w:w="380" w:type="dxa"/>
            <w:vAlign w:val="bottom"/>
            <w:tcBorders>
              <w:bottom w:val="single" w:sz="8" w:color="auto"/>
            </w:tcBorders>
            <w:shd w:val="clear" w:color="auto" w:fill="CFF0FC"/>
          </w:tcPr>
          <w:p>
            <w:pPr>
              <w:spacing w:after="0"/>
              <w:rPr>
                <w:sz w:val="11"/>
                <w:szCs w:val="11"/>
                <w:color w:val="auto"/>
              </w:rPr>
            </w:pPr>
          </w:p>
        </w:tc>
        <w:tc>
          <w:tcPr>
            <w:tcW w:w="132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53.6</w:t>
            </w:r>
          </w:p>
        </w:tc>
        <w:tc>
          <w:tcPr>
            <w:tcW w:w="46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63.6</w:t>
            </w:r>
          </w:p>
        </w:tc>
      </w:tr>
      <w:tr>
        <w:trPr>
          <w:trHeight w:val="134"/>
        </w:trPr>
        <w:tc>
          <w:tcPr>
            <w:tcW w:w="6000" w:type="dxa"/>
            <w:vAlign w:val="bottom"/>
          </w:tcPr>
          <w:p>
            <w:pPr>
              <w:spacing w:after="0"/>
              <w:rPr>
                <w:sz w:val="20"/>
                <w:szCs w:val="20"/>
                <w:color w:val="auto"/>
              </w:rPr>
            </w:pPr>
            <w:r>
              <w:rPr>
                <w:rFonts w:ascii="Times New Roman" w:cs="Times New Roman" w:eastAsia="Times New Roman" w:hAnsi="Times New Roman"/>
                <w:sz w:val="11"/>
                <w:szCs w:val="11"/>
                <w:color w:val="auto"/>
              </w:rPr>
              <w:t>Funds Purchased</w:t>
            </w:r>
          </w:p>
        </w:tc>
        <w:tc>
          <w:tcPr>
            <w:tcW w:w="340" w:type="dxa"/>
            <w:vAlign w:val="bottom"/>
          </w:tcPr>
          <w:p>
            <w:pPr>
              <w:spacing w:after="0"/>
              <w:rPr>
                <w:sz w:val="11"/>
                <w:szCs w:val="1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380" w:type="dxa"/>
            <w:vAlign w:val="bottom"/>
          </w:tcPr>
          <w:p>
            <w:pPr>
              <w:spacing w:after="0"/>
              <w:rPr>
                <w:sz w:val="11"/>
                <w:szCs w:val="11"/>
                <w:color w:val="auto"/>
              </w:rPr>
            </w:pPr>
          </w:p>
        </w:tc>
        <w:tc>
          <w:tcPr>
            <w:tcW w:w="13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1"/>
                <w:szCs w:val="11"/>
                <w:color w:val="auto"/>
              </w:rPr>
            </w:pP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(0.3 )</w:t>
            </w:r>
          </w:p>
        </w:tc>
      </w:tr>
      <w:tr>
        <w:trPr>
          <w:trHeight w:val="142"/>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Short-Term Borrowings</w:t>
            </w: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380" w:type="dxa"/>
            <w:vAlign w:val="bottom"/>
            <w:shd w:val="clear" w:color="auto" w:fill="CFF0FC"/>
          </w:tcPr>
          <w:p>
            <w:pPr>
              <w:spacing w:after="0"/>
              <w:rPr>
                <w:sz w:val="12"/>
                <w:szCs w:val="12"/>
                <w:color w:val="auto"/>
              </w:rPr>
            </w:pPr>
          </w:p>
        </w:tc>
        <w:tc>
          <w:tcPr>
            <w:tcW w:w="132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(2.0 )</w:t>
            </w:r>
          </w:p>
        </w:tc>
      </w:tr>
      <w:tr>
        <w:trPr>
          <w:trHeight w:val="142"/>
        </w:trPr>
        <w:tc>
          <w:tcPr>
            <w:tcW w:w="6000" w:type="dxa"/>
            <w:vAlign w:val="bottom"/>
          </w:tcPr>
          <w:p>
            <w:pPr>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3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(3.9 )</w:t>
            </w:r>
          </w:p>
        </w:tc>
        <w:tc>
          <w:tcPr>
            <w:tcW w:w="380" w:type="dxa"/>
            <w:vAlign w:val="bottom"/>
          </w:tcPr>
          <w:p>
            <w:pPr>
              <w:spacing w:after="0"/>
              <w:rPr>
                <w:sz w:val="12"/>
                <w:szCs w:val="12"/>
                <w:color w:val="auto"/>
              </w:rPr>
            </w:pPr>
          </w:p>
        </w:tc>
        <w:tc>
          <w:tcPr>
            <w:tcW w:w="132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1.1</w:t>
            </w:r>
          </w:p>
        </w:tc>
        <w:tc>
          <w:tcPr>
            <w:tcW w:w="460" w:type="dxa"/>
            <w:vAlign w:val="bottom"/>
          </w:tcPr>
          <w:p>
            <w:pPr>
              <w:spacing w:after="0"/>
              <w:rPr>
                <w:sz w:val="12"/>
                <w:szCs w:val="12"/>
                <w:color w:val="auto"/>
              </w:rPr>
            </w:pPr>
          </w:p>
        </w:tc>
        <w:tc>
          <w:tcPr>
            <w:tcW w:w="13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(2.8 )</w:t>
            </w:r>
          </w:p>
        </w:tc>
      </w:tr>
      <w:tr>
        <w:trPr>
          <w:trHeight w:val="142"/>
        </w:trPr>
        <w:tc>
          <w:tcPr>
            <w:tcW w:w="60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 Debt</w:t>
            </w:r>
          </w:p>
        </w:tc>
        <w:tc>
          <w:tcPr>
            <w:tcW w:w="34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4.5</w:t>
            </w:r>
          </w:p>
        </w:tc>
        <w:tc>
          <w:tcPr>
            <w:tcW w:w="3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4.5</w:t>
            </w:r>
          </w:p>
        </w:tc>
      </w:tr>
      <w:tr>
        <w:trPr>
          <w:trHeight w:val="134"/>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Total Change in Interest Expense</w:t>
            </w:r>
          </w:p>
        </w:tc>
        <w:tc>
          <w:tcPr>
            <w:tcW w:w="3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8.3</w:t>
            </w:r>
          </w:p>
        </w:tc>
        <w:tc>
          <w:tcPr>
            <w:tcW w:w="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54.7</w:t>
            </w:r>
          </w:p>
        </w:tc>
        <w:tc>
          <w:tcPr>
            <w:tcW w:w="4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63.0</w:t>
            </w:r>
          </w:p>
        </w:tc>
      </w:tr>
      <w:tr>
        <w:trPr>
          <w:trHeight w:val="134"/>
        </w:trPr>
        <w:tc>
          <w:tcPr>
            <w:tcW w:w="6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82"/>
        </w:trPr>
        <w:tc>
          <w:tcPr>
            <w:tcW w:w="60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Change in Net Interest Income</w:t>
            </w:r>
          </w:p>
        </w:tc>
        <w:tc>
          <w:tcPr>
            <w:tcW w:w="340" w:type="dxa"/>
            <w:vAlign w:val="bottom"/>
            <w:tcBorders>
              <w:bottom w:val="single" w:sz="8" w:color="auto"/>
            </w:tcBorders>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(2.8 )</w:t>
            </w: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(22.0 )</w:t>
            </w:r>
          </w:p>
        </w:tc>
        <w:tc>
          <w:tcPr>
            <w:tcW w:w="460" w:type="dxa"/>
            <w:vAlign w:val="bottom"/>
            <w:tcBorders>
              <w:bottom w:val="single" w:sz="8" w:color="auto"/>
            </w:tcBorders>
            <w:shd w:val="clear" w:color="auto" w:fill="CFF0FC"/>
          </w:tcPr>
          <w:p>
            <w:pPr>
              <w:jc w:val="right"/>
              <w:ind w:right="325"/>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(24.8 )</w:t>
            </w:r>
          </w:p>
        </w:tc>
      </w:tr>
    </w:tbl>
    <w:p>
      <w:pPr>
        <w:spacing w:after="0" w:line="108" w:lineRule="exact"/>
        <w:rPr>
          <w:sz w:val="20"/>
          <w:szCs w:val="20"/>
          <w:color w:val="auto"/>
        </w:rPr>
      </w:pPr>
    </w:p>
    <w:p>
      <w:pPr>
        <w:ind w:left="100" w:hanging="94"/>
        <w:spacing w:after="0"/>
        <w:tabs>
          <w:tab w:leader="none" w:pos="100" w:val="left"/>
        </w:tabs>
        <w:numPr>
          <w:ilvl w:val="0"/>
          <w:numId w:val="1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change in interest income and expense not solely due to changes in volume or rate has been allocated on a pro-rata basis to the volume and rate columns.</w:t>
      </w:r>
    </w:p>
    <w:p>
      <w:pPr>
        <w:spacing w:after="0" w:line="11" w:lineRule="exact"/>
        <w:rPr>
          <w:rFonts w:ascii="Times New Roman" w:cs="Times New Roman" w:eastAsia="Times New Roman" w:hAnsi="Times New Roman"/>
          <w:sz w:val="15"/>
          <w:szCs w:val="15"/>
          <w:color w:val="auto"/>
          <w:vertAlign w:val="superscript"/>
        </w:rPr>
      </w:pP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Comprised of other consumer revolving credit, installment, and consumer lease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720725</wp:posOffset>
            </wp:positionV>
            <wp:extent cx="717486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Analysis of Change in Net Interest Income - Taxable-Equivalent Basis</w:t>
            </w:r>
          </w:p>
        </w:tc>
        <w:tc>
          <w:tcPr>
            <w:tcW w:w="3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Table 8c</w:t>
            </w:r>
          </w:p>
        </w:tc>
      </w:tr>
      <w:tr>
        <w:trPr>
          <w:trHeight w:val="136"/>
        </w:trPr>
        <w:tc>
          <w:tcPr>
            <w:tcW w:w="5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74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7"/>
              </w:rPr>
              <w:t>Year Ended December 31, 2023</w:t>
            </w: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64"/>
        </w:trPr>
        <w:tc>
          <w:tcPr>
            <w:tcW w:w="5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3"/>
          </w:tcPr>
          <w:p>
            <w:pPr>
              <w:jc w:val="center"/>
              <w:ind w:left="1344"/>
              <w:spacing w:after="0"/>
              <w:rPr>
                <w:sz w:val="20"/>
                <w:szCs w:val="20"/>
                <w:color w:val="auto"/>
              </w:rPr>
            </w:pPr>
            <w:r>
              <w:rPr>
                <w:rFonts w:ascii="Times New Roman" w:cs="Times New Roman" w:eastAsia="Times New Roman" w:hAnsi="Times New Roman"/>
                <w:sz w:val="13"/>
                <w:szCs w:val="13"/>
                <w:b w:val="1"/>
                <w:bCs w:val="1"/>
                <w:color w:val="auto"/>
                <w:w w:val="96"/>
              </w:rPr>
              <w:t>Compared to December 31, 2022</w:t>
            </w: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46"/>
        </w:trPr>
        <w:tc>
          <w:tcPr>
            <w:tcW w:w="5960" w:type="dxa"/>
            <w:vAlign w:val="bottom"/>
            <w:tcBorders>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color w:val="auto"/>
              </w:rPr>
              <w:t>(dollars in millions)</w:t>
            </w: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04"/>
              <w:spacing w:after="0" w:line="145" w:lineRule="exact"/>
              <w:rPr>
                <w:sz w:val="20"/>
                <w:szCs w:val="20"/>
                <w:color w:val="auto"/>
              </w:rPr>
            </w:pPr>
            <w:r>
              <w:rPr>
                <w:rFonts w:ascii="Times New Roman" w:cs="Times New Roman" w:eastAsia="Times New Roman" w:hAnsi="Times New Roman"/>
                <w:sz w:val="13"/>
                <w:szCs w:val="13"/>
                <w:b w:val="1"/>
                <w:bCs w:val="1"/>
                <w:color w:val="auto"/>
              </w:rPr>
              <w:t xml:space="preserve">Volume </w:t>
            </w:r>
            <w:r>
              <w:rPr>
                <w:rFonts w:ascii="Times New Roman" w:cs="Times New Roman" w:eastAsia="Times New Roman" w:hAnsi="Times New Roman"/>
                <w:sz w:val="16"/>
                <w:szCs w:val="16"/>
                <w:color w:val="auto"/>
                <w:vertAlign w:val="superscript"/>
              </w:rPr>
              <w:t>1</w:t>
            </w: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center"/>
              <w:ind w:right="385"/>
              <w:spacing w:after="0" w:line="145" w:lineRule="exact"/>
              <w:rPr>
                <w:sz w:val="20"/>
                <w:szCs w:val="20"/>
                <w:color w:val="auto"/>
              </w:rPr>
            </w:pPr>
            <w:r>
              <w:rPr>
                <w:rFonts w:ascii="Times New Roman" w:cs="Times New Roman" w:eastAsia="Times New Roman" w:hAnsi="Times New Roman"/>
                <w:sz w:val="13"/>
                <w:szCs w:val="13"/>
                <w:b w:val="1"/>
                <w:bCs w:val="1"/>
                <w:color w:val="auto"/>
                <w:w w:val="98"/>
              </w:rPr>
              <w:t xml:space="preserve">Rate </w:t>
            </w:r>
            <w:r>
              <w:rPr>
                <w:rFonts w:ascii="Times New Roman" w:cs="Times New Roman" w:eastAsia="Times New Roman" w:hAnsi="Times New Roman"/>
                <w:sz w:val="16"/>
                <w:szCs w:val="16"/>
                <w:color w:val="auto"/>
                <w:w w:val="98"/>
                <w:vertAlign w:val="superscript"/>
              </w:rPr>
              <w:t>1</w:t>
            </w: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64"/>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34"/>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Change in Interest Income:</w:t>
            </w:r>
          </w:p>
        </w:tc>
        <w:tc>
          <w:tcPr>
            <w:tcW w:w="32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r>
      <w:tr>
        <w:trPr>
          <w:trHeight w:val="142"/>
        </w:trPr>
        <w:tc>
          <w:tcPr>
            <w:tcW w:w="5960" w:type="dxa"/>
            <w:vAlign w:val="bottom"/>
          </w:tcPr>
          <w:p>
            <w:pPr>
              <w:spacing w:after="0"/>
              <w:rPr>
                <w:sz w:val="20"/>
                <w:szCs w:val="20"/>
                <w:color w:val="auto"/>
              </w:rPr>
            </w:pPr>
            <w:r>
              <w:rPr>
                <w:rFonts w:ascii="Times New Roman" w:cs="Times New Roman" w:eastAsia="Times New Roman" w:hAnsi="Times New Roman"/>
                <w:sz w:val="11"/>
                <w:szCs w:val="11"/>
                <w:color w:val="auto"/>
              </w:rPr>
              <w:t>Interest-Bearing Deposits in Other Banks</w:t>
            </w:r>
          </w:p>
        </w:tc>
        <w:tc>
          <w:tcPr>
            <w:tcW w:w="320" w:type="dxa"/>
            <w:vAlign w:val="bottom"/>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0.1</w:t>
            </w: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0.1</w:t>
            </w:r>
          </w:p>
        </w:tc>
      </w:tr>
      <w:tr>
        <w:trPr>
          <w:trHeight w:val="142"/>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Funds Sold</w:t>
            </w:r>
          </w:p>
        </w:tc>
        <w:tc>
          <w:tcPr>
            <w:tcW w:w="3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7.9</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16.1</w:t>
            </w:r>
          </w:p>
        </w:tc>
        <w:tc>
          <w:tcPr>
            <w:tcW w:w="40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24.0</w:t>
            </w:r>
          </w:p>
        </w:tc>
      </w:tr>
      <w:tr>
        <w:trPr>
          <w:trHeight w:val="142"/>
        </w:trPr>
        <w:tc>
          <w:tcPr>
            <w:tcW w:w="5960" w:type="dxa"/>
            <w:vAlign w:val="bottom"/>
          </w:tcPr>
          <w:p>
            <w:pPr>
              <w:spacing w:after="0"/>
              <w:rPr>
                <w:sz w:val="20"/>
                <w:szCs w:val="20"/>
                <w:color w:val="auto"/>
              </w:rPr>
            </w:pPr>
            <w:r>
              <w:rPr>
                <w:rFonts w:ascii="Times New Roman" w:cs="Times New Roman" w:eastAsia="Times New Roman" w:hAnsi="Times New Roman"/>
                <w:sz w:val="11"/>
                <w:szCs w:val="11"/>
                <w:color w:val="auto"/>
              </w:rPr>
              <w:t>Investment Securities</w:t>
            </w: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2"/>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Available-for-Sale</w:t>
            </w:r>
          </w:p>
        </w:tc>
        <w:tc>
          <w:tcPr>
            <w:tcW w:w="3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r>
      <w:tr>
        <w:trPr>
          <w:trHeight w:val="142"/>
        </w:trPr>
        <w:tc>
          <w:tcPr>
            <w:tcW w:w="596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Taxable</w:t>
            </w:r>
          </w:p>
        </w:tc>
        <w:tc>
          <w:tcPr>
            <w:tcW w:w="3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(23.7 )</w:t>
            </w:r>
          </w:p>
        </w:tc>
        <w:tc>
          <w:tcPr>
            <w:tcW w:w="400" w:type="dxa"/>
            <w:vAlign w:val="bottom"/>
          </w:tcPr>
          <w:p>
            <w:pPr>
              <w:spacing w:after="0"/>
              <w:rPr>
                <w:sz w:val="12"/>
                <w:szCs w:val="12"/>
                <w:color w:val="auto"/>
              </w:rPr>
            </w:pPr>
          </w:p>
        </w:tc>
        <w:tc>
          <w:tcPr>
            <w:tcW w:w="13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46.6</w:t>
            </w:r>
          </w:p>
        </w:tc>
        <w:tc>
          <w:tcPr>
            <w:tcW w:w="400" w:type="dxa"/>
            <w:vAlign w:val="bottom"/>
          </w:tcPr>
          <w:p>
            <w:pPr>
              <w:spacing w:after="0"/>
              <w:rPr>
                <w:sz w:val="12"/>
                <w:szCs w:val="12"/>
                <w:color w:val="auto"/>
              </w:rPr>
            </w:pPr>
          </w:p>
        </w:tc>
        <w:tc>
          <w:tcPr>
            <w:tcW w:w="14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22.9</w:t>
            </w:r>
          </w:p>
        </w:tc>
      </w:tr>
      <w:tr>
        <w:trPr>
          <w:trHeight w:val="142"/>
        </w:trPr>
        <w:tc>
          <w:tcPr>
            <w:tcW w:w="5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Non-Taxable</w:t>
            </w:r>
          </w:p>
        </w:tc>
        <w:tc>
          <w:tcPr>
            <w:tcW w:w="3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0.1</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0.1</w:t>
            </w:r>
          </w:p>
        </w:tc>
      </w:tr>
      <w:tr>
        <w:trPr>
          <w:trHeight w:val="142"/>
        </w:trPr>
        <w:tc>
          <w:tcPr>
            <w:tcW w:w="59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Held-to-Maturity</w:t>
            </w: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2"/>
        </w:trPr>
        <w:tc>
          <w:tcPr>
            <w:tcW w:w="59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Taxable</w:t>
            </w:r>
          </w:p>
        </w:tc>
        <w:tc>
          <w:tcPr>
            <w:tcW w:w="3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7.4</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3.9</w:t>
            </w:r>
          </w:p>
        </w:tc>
        <w:tc>
          <w:tcPr>
            <w:tcW w:w="40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11.3</w:t>
            </w:r>
          </w:p>
        </w:tc>
      </w:tr>
      <w:tr>
        <w:trPr>
          <w:trHeight w:val="142"/>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Investment Securities</w:t>
            </w: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(16.2 )</w:t>
            </w: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50.5</w:t>
            </w: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34.3</w:t>
            </w:r>
          </w:p>
        </w:tc>
      </w:tr>
      <w:tr>
        <w:trPr>
          <w:trHeight w:val="134"/>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Loans Held for Sale</w:t>
            </w:r>
          </w:p>
        </w:tc>
        <w:tc>
          <w:tcPr>
            <w:tcW w:w="320" w:type="dxa"/>
            <w:vAlign w:val="bottom"/>
            <w:shd w:val="clear" w:color="auto" w:fill="CFF0FC"/>
          </w:tcPr>
          <w:p>
            <w:pPr>
              <w:spacing w:after="0"/>
              <w:rPr>
                <w:sz w:val="11"/>
                <w:szCs w:val="1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400" w:type="dxa"/>
            <w:vAlign w:val="bottom"/>
            <w:shd w:val="clear" w:color="auto" w:fill="CFF0FC"/>
          </w:tcPr>
          <w:p>
            <w:pPr>
              <w:spacing w:after="0"/>
              <w:rPr>
                <w:sz w:val="11"/>
                <w:szCs w:val="11"/>
                <w:color w:val="auto"/>
              </w:rPr>
            </w:pPr>
          </w:p>
        </w:tc>
        <w:tc>
          <w:tcPr>
            <w:tcW w:w="13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0.1</w:t>
            </w:r>
          </w:p>
        </w:tc>
        <w:tc>
          <w:tcPr>
            <w:tcW w:w="40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(0.1 )</w:t>
            </w:r>
          </w:p>
        </w:tc>
      </w:tr>
      <w:tr>
        <w:trPr>
          <w:trHeight w:val="142"/>
        </w:trPr>
        <w:tc>
          <w:tcPr>
            <w:tcW w:w="5960" w:type="dxa"/>
            <w:vAlign w:val="bottom"/>
          </w:tcPr>
          <w:p>
            <w:pPr>
              <w:spacing w:after="0"/>
              <w:rPr>
                <w:sz w:val="20"/>
                <w:szCs w:val="20"/>
                <w:color w:val="auto"/>
              </w:rPr>
            </w:pPr>
            <w:r>
              <w:rPr>
                <w:rFonts w:ascii="Times New Roman" w:cs="Times New Roman" w:eastAsia="Times New Roman" w:hAnsi="Times New Roman"/>
                <w:sz w:val="11"/>
                <w:szCs w:val="11"/>
                <w:color w:val="auto"/>
              </w:rPr>
              <w:t>Loans and Leases</w:t>
            </w: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2"/>
        </w:trPr>
        <w:tc>
          <w:tcPr>
            <w:tcW w:w="5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3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5.5</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22.3</w:t>
            </w:r>
          </w:p>
        </w:tc>
        <w:tc>
          <w:tcPr>
            <w:tcW w:w="40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27.8</w:t>
            </w:r>
          </w:p>
        </w:tc>
      </w:tr>
      <w:tr>
        <w:trPr>
          <w:trHeight w:val="142"/>
        </w:trPr>
        <w:tc>
          <w:tcPr>
            <w:tcW w:w="59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Paycheck Protection Program</w:t>
            </w:r>
          </w:p>
        </w:tc>
        <w:tc>
          <w:tcPr>
            <w:tcW w:w="3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(1.2 )</w:t>
            </w:r>
          </w:p>
        </w:tc>
        <w:tc>
          <w:tcPr>
            <w:tcW w:w="4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400" w:type="dxa"/>
            <w:vAlign w:val="bottom"/>
          </w:tcPr>
          <w:p>
            <w:pPr>
              <w:spacing w:after="0"/>
              <w:rPr>
                <w:sz w:val="12"/>
                <w:szCs w:val="12"/>
                <w:color w:val="auto"/>
              </w:rPr>
            </w:pPr>
          </w:p>
        </w:tc>
        <w:tc>
          <w:tcPr>
            <w:tcW w:w="14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(2.5 )</w:t>
            </w:r>
          </w:p>
        </w:tc>
      </w:tr>
      <w:tr>
        <w:trPr>
          <w:trHeight w:val="142"/>
        </w:trPr>
        <w:tc>
          <w:tcPr>
            <w:tcW w:w="5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Commercial Mortgage</w:t>
            </w:r>
          </w:p>
        </w:tc>
        <w:tc>
          <w:tcPr>
            <w:tcW w:w="3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13.8</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61.3</w:t>
            </w:r>
          </w:p>
        </w:tc>
        <w:tc>
          <w:tcPr>
            <w:tcW w:w="40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75.1</w:t>
            </w:r>
          </w:p>
        </w:tc>
      </w:tr>
      <w:tr>
        <w:trPr>
          <w:trHeight w:val="142"/>
        </w:trPr>
        <w:tc>
          <w:tcPr>
            <w:tcW w:w="59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Construction</w:t>
            </w:r>
          </w:p>
        </w:tc>
        <w:tc>
          <w:tcPr>
            <w:tcW w:w="320" w:type="dxa"/>
            <w:vAlign w:val="bottom"/>
          </w:tcPr>
          <w:p>
            <w:pPr>
              <w:spacing w:after="0"/>
              <w:rPr>
                <w:sz w:val="12"/>
                <w:szCs w:val="12"/>
                <w:color w:val="auto"/>
              </w:rPr>
            </w:pPr>
          </w:p>
        </w:tc>
        <w:tc>
          <w:tcPr>
            <w:tcW w:w="14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1.5</w:t>
            </w:r>
          </w:p>
        </w:tc>
        <w:tc>
          <w:tcPr>
            <w:tcW w:w="400" w:type="dxa"/>
            <w:vAlign w:val="bottom"/>
          </w:tcPr>
          <w:p>
            <w:pPr>
              <w:spacing w:after="0"/>
              <w:rPr>
                <w:sz w:val="12"/>
                <w:szCs w:val="12"/>
                <w:color w:val="auto"/>
              </w:rPr>
            </w:pPr>
          </w:p>
        </w:tc>
        <w:tc>
          <w:tcPr>
            <w:tcW w:w="13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3.9</w:t>
            </w:r>
          </w:p>
        </w:tc>
        <w:tc>
          <w:tcPr>
            <w:tcW w:w="400" w:type="dxa"/>
            <w:vAlign w:val="bottom"/>
          </w:tcPr>
          <w:p>
            <w:pPr>
              <w:spacing w:after="0"/>
              <w:rPr>
                <w:sz w:val="12"/>
                <w:szCs w:val="12"/>
                <w:color w:val="auto"/>
              </w:rPr>
            </w:pPr>
          </w:p>
        </w:tc>
        <w:tc>
          <w:tcPr>
            <w:tcW w:w="14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5.4</w:t>
            </w:r>
          </w:p>
        </w:tc>
      </w:tr>
      <w:tr>
        <w:trPr>
          <w:trHeight w:val="142"/>
        </w:trPr>
        <w:tc>
          <w:tcPr>
            <w:tcW w:w="5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Commercial Lease Financing</w:t>
            </w:r>
          </w:p>
        </w:tc>
        <w:tc>
          <w:tcPr>
            <w:tcW w:w="32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(0.4 )</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40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(0.5 )</w:t>
            </w:r>
          </w:p>
        </w:tc>
      </w:tr>
      <w:tr>
        <w:trPr>
          <w:trHeight w:val="142"/>
        </w:trPr>
        <w:tc>
          <w:tcPr>
            <w:tcW w:w="59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Residential Mortgage</w:t>
            </w:r>
          </w:p>
        </w:tc>
        <w:tc>
          <w:tcPr>
            <w:tcW w:w="320" w:type="dxa"/>
            <w:vAlign w:val="bottom"/>
          </w:tcPr>
          <w:p>
            <w:pPr>
              <w:spacing w:after="0"/>
              <w:rPr>
                <w:sz w:val="12"/>
                <w:szCs w:val="12"/>
                <w:color w:val="auto"/>
              </w:rPr>
            </w:pPr>
          </w:p>
        </w:tc>
        <w:tc>
          <w:tcPr>
            <w:tcW w:w="14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7.0</w:t>
            </w:r>
          </w:p>
        </w:tc>
        <w:tc>
          <w:tcPr>
            <w:tcW w:w="400" w:type="dxa"/>
            <w:vAlign w:val="bottom"/>
          </w:tcPr>
          <w:p>
            <w:pPr>
              <w:spacing w:after="0"/>
              <w:rPr>
                <w:sz w:val="12"/>
                <w:szCs w:val="12"/>
                <w:color w:val="auto"/>
              </w:rPr>
            </w:pPr>
          </w:p>
        </w:tc>
        <w:tc>
          <w:tcPr>
            <w:tcW w:w="13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14.5</w:t>
            </w:r>
          </w:p>
        </w:tc>
        <w:tc>
          <w:tcPr>
            <w:tcW w:w="400" w:type="dxa"/>
            <w:vAlign w:val="bottom"/>
          </w:tcPr>
          <w:p>
            <w:pPr>
              <w:spacing w:after="0"/>
              <w:rPr>
                <w:sz w:val="12"/>
                <w:szCs w:val="12"/>
                <w:color w:val="auto"/>
              </w:rPr>
            </w:pPr>
          </w:p>
        </w:tc>
        <w:tc>
          <w:tcPr>
            <w:tcW w:w="14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21.5</w:t>
            </w:r>
          </w:p>
        </w:tc>
      </w:tr>
      <w:tr>
        <w:trPr>
          <w:trHeight w:val="142"/>
        </w:trPr>
        <w:tc>
          <w:tcPr>
            <w:tcW w:w="5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Home Equity</w:t>
            </w:r>
          </w:p>
        </w:tc>
        <w:tc>
          <w:tcPr>
            <w:tcW w:w="3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6.2</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9.9</w:t>
            </w:r>
          </w:p>
        </w:tc>
        <w:tc>
          <w:tcPr>
            <w:tcW w:w="40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16.1</w:t>
            </w:r>
          </w:p>
        </w:tc>
      </w:tr>
      <w:tr>
        <w:trPr>
          <w:trHeight w:val="142"/>
        </w:trPr>
        <w:tc>
          <w:tcPr>
            <w:tcW w:w="59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Automobile</w:t>
            </w:r>
          </w:p>
        </w:tc>
        <w:tc>
          <w:tcPr>
            <w:tcW w:w="320" w:type="dxa"/>
            <w:vAlign w:val="bottom"/>
          </w:tcPr>
          <w:p>
            <w:pPr>
              <w:spacing w:after="0"/>
              <w:rPr>
                <w:sz w:val="12"/>
                <w:szCs w:val="12"/>
                <w:color w:val="auto"/>
              </w:rPr>
            </w:pPr>
          </w:p>
        </w:tc>
        <w:tc>
          <w:tcPr>
            <w:tcW w:w="14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2.7</w:t>
            </w:r>
          </w:p>
        </w:tc>
        <w:tc>
          <w:tcPr>
            <w:tcW w:w="400" w:type="dxa"/>
            <w:vAlign w:val="bottom"/>
          </w:tcPr>
          <w:p>
            <w:pPr>
              <w:spacing w:after="0"/>
              <w:rPr>
                <w:sz w:val="12"/>
                <w:szCs w:val="12"/>
                <w:color w:val="auto"/>
              </w:rPr>
            </w:pPr>
          </w:p>
        </w:tc>
        <w:tc>
          <w:tcPr>
            <w:tcW w:w="13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3.7</w:t>
            </w:r>
          </w:p>
        </w:tc>
        <w:tc>
          <w:tcPr>
            <w:tcW w:w="400" w:type="dxa"/>
            <w:vAlign w:val="bottom"/>
          </w:tcPr>
          <w:p>
            <w:pPr>
              <w:spacing w:after="0"/>
              <w:rPr>
                <w:sz w:val="12"/>
                <w:szCs w:val="12"/>
                <w:color w:val="auto"/>
              </w:rPr>
            </w:pPr>
          </w:p>
        </w:tc>
        <w:tc>
          <w:tcPr>
            <w:tcW w:w="14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6.4</w:t>
            </w:r>
          </w:p>
        </w:tc>
      </w:tr>
      <w:tr>
        <w:trPr>
          <w:trHeight w:val="142"/>
        </w:trPr>
        <w:tc>
          <w:tcPr>
            <w:tcW w:w="5960" w:type="dxa"/>
            <w:vAlign w:val="bottom"/>
            <w:tcBorders>
              <w:bottom w:val="single" w:sz="8" w:color="auto"/>
            </w:tcBorders>
            <w:shd w:val="clear" w:color="auto" w:fill="CFF0FC"/>
          </w:tcPr>
          <w:p>
            <w:pPr>
              <w:ind w:left="160"/>
              <w:spacing w:after="0" w:line="142" w:lineRule="exact"/>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14"/>
                <w:szCs w:val="14"/>
                <w:color w:val="auto"/>
                <w:vertAlign w:val="superscript"/>
              </w:rPr>
              <w:t>2</w:t>
            </w:r>
          </w:p>
        </w:tc>
        <w:tc>
          <w:tcPr>
            <w:tcW w:w="32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40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2.6</w:t>
            </w:r>
          </w:p>
        </w:tc>
        <w:tc>
          <w:tcPr>
            <w:tcW w:w="40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2.3</w:t>
            </w:r>
          </w:p>
        </w:tc>
      </w:tr>
      <w:tr>
        <w:trPr>
          <w:trHeight w:val="134"/>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Loans and Leases</w:t>
            </w:r>
          </w:p>
        </w:tc>
        <w:tc>
          <w:tcPr>
            <w:tcW w:w="3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34.8</w:t>
            </w:r>
          </w:p>
        </w:tc>
        <w:tc>
          <w:tcPr>
            <w:tcW w:w="4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116.8</w:t>
            </w:r>
          </w:p>
        </w:tc>
        <w:tc>
          <w:tcPr>
            <w:tcW w:w="4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151.6</w:t>
            </w:r>
          </w:p>
        </w:tc>
      </w:tr>
      <w:tr>
        <w:trPr>
          <w:trHeight w:val="134"/>
        </w:trPr>
        <w:tc>
          <w:tcPr>
            <w:tcW w:w="5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w:t>
            </w:r>
          </w:p>
        </w:tc>
        <w:tc>
          <w:tcPr>
            <w:tcW w:w="32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1.7</w:t>
            </w:r>
          </w:p>
        </w:tc>
        <w:tc>
          <w:tcPr>
            <w:tcW w:w="40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2.2</w:t>
            </w:r>
          </w:p>
        </w:tc>
        <w:tc>
          <w:tcPr>
            <w:tcW w:w="40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3.9</w:t>
            </w:r>
          </w:p>
        </w:tc>
      </w:tr>
      <w:tr>
        <w:trPr>
          <w:trHeight w:val="134"/>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Total Change in Interest Income</w:t>
            </w:r>
          </w:p>
        </w:tc>
        <w:tc>
          <w:tcPr>
            <w:tcW w:w="3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28.1</w:t>
            </w:r>
          </w:p>
        </w:tc>
        <w:tc>
          <w:tcPr>
            <w:tcW w:w="4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185.7</w:t>
            </w:r>
          </w:p>
        </w:tc>
        <w:tc>
          <w:tcPr>
            <w:tcW w:w="4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213.8</w:t>
            </w:r>
          </w:p>
        </w:tc>
      </w:tr>
      <w:tr>
        <w:trPr>
          <w:trHeight w:val="134"/>
        </w:trPr>
        <w:tc>
          <w:tcPr>
            <w:tcW w:w="59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3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r>
      <w:tr>
        <w:trPr>
          <w:trHeight w:val="142"/>
        </w:trPr>
        <w:tc>
          <w:tcPr>
            <w:tcW w:w="5960" w:type="dxa"/>
            <w:vAlign w:val="bottom"/>
          </w:tcPr>
          <w:p>
            <w:pPr>
              <w:spacing w:after="0"/>
              <w:rPr>
                <w:sz w:val="20"/>
                <w:szCs w:val="20"/>
                <w:color w:val="auto"/>
              </w:rPr>
            </w:pPr>
            <w:r>
              <w:rPr>
                <w:rFonts w:ascii="Times New Roman" w:cs="Times New Roman" w:eastAsia="Times New Roman" w:hAnsi="Times New Roman"/>
                <w:sz w:val="11"/>
                <w:szCs w:val="11"/>
                <w:color w:val="auto"/>
              </w:rPr>
              <w:t>Change in Interest Expense:</w:t>
            </w:r>
          </w:p>
        </w:tc>
        <w:tc>
          <w:tcPr>
            <w:tcW w:w="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2"/>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Interest-Bearing Deposits</w:t>
            </w:r>
          </w:p>
        </w:tc>
        <w:tc>
          <w:tcPr>
            <w:tcW w:w="3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r>
      <w:tr>
        <w:trPr>
          <w:trHeight w:val="142"/>
        </w:trPr>
        <w:tc>
          <w:tcPr>
            <w:tcW w:w="59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Demand</w:t>
            </w:r>
          </w:p>
        </w:tc>
        <w:tc>
          <w:tcPr>
            <w:tcW w:w="3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400" w:type="dxa"/>
            <w:vAlign w:val="bottom"/>
          </w:tcPr>
          <w:p>
            <w:pPr>
              <w:spacing w:after="0"/>
              <w:rPr>
                <w:sz w:val="12"/>
                <w:szCs w:val="12"/>
                <w:color w:val="auto"/>
              </w:rPr>
            </w:pPr>
          </w:p>
        </w:tc>
        <w:tc>
          <w:tcPr>
            <w:tcW w:w="13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21.5</w:t>
            </w:r>
          </w:p>
        </w:tc>
        <w:tc>
          <w:tcPr>
            <w:tcW w:w="400" w:type="dxa"/>
            <w:vAlign w:val="bottom"/>
          </w:tcPr>
          <w:p>
            <w:pPr>
              <w:spacing w:after="0"/>
              <w:rPr>
                <w:sz w:val="12"/>
                <w:szCs w:val="12"/>
                <w:color w:val="auto"/>
              </w:rPr>
            </w:pPr>
          </w:p>
        </w:tc>
        <w:tc>
          <w:tcPr>
            <w:tcW w:w="14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20.9</w:t>
            </w:r>
          </w:p>
        </w:tc>
      </w:tr>
      <w:tr>
        <w:trPr>
          <w:trHeight w:val="142"/>
        </w:trPr>
        <w:tc>
          <w:tcPr>
            <w:tcW w:w="5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Savings</w:t>
            </w:r>
          </w:p>
        </w:tc>
        <w:tc>
          <w:tcPr>
            <w:tcW w:w="3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0.8</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113.7</w:t>
            </w:r>
          </w:p>
        </w:tc>
        <w:tc>
          <w:tcPr>
            <w:tcW w:w="40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114.5</w:t>
            </w:r>
          </w:p>
        </w:tc>
      </w:tr>
      <w:tr>
        <w:trPr>
          <w:trHeight w:val="142"/>
        </w:trPr>
        <w:tc>
          <w:tcPr>
            <w:tcW w:w="5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Time</w:t>
            </w: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21.8</w:t>
            </w: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53.9</w:t>
            </w:r>
          </w:p>
        </w:tc>
        <w:tc>
          <w:tcPr>
            <w:tcW w:w="4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75.7</w:t>
            </w:r>
          </w:p>
        </w:tc>
      </w:tr>
      <w:tr>
        <w:trPr>
          <w:trHeight w:val="134"/>
        </w:trPr>
        <w:tc>
          <w:tcPr>
            <w:tcW w:w="5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32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22.0</w:t>
            </w:r>
          </w:p>
        </w:tc>
        <w:tc>
          <w:tcPr>
            <w:tcW w:w="40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189.1</w:t>
            </w:r>
          </w:p>
        </w:tc>
        <w:tc>
          <w:tcPr>
            <w:tcW w:w="40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211.1</w:t>
            </w:r>
          </w:p>
        </w:tc>
      </w:tr>
      <w:tr>
        <w:trPr>
          <w:trHeight w:val="134"/>
        </w:trPr>
        <w:tc>
          <w:tcPr>
            <w:tcW w:w="5960" w:type="dxa"/>
            <w:vAlign w:val="bottom"/>
          </w:tcPr>
          <w:p>
            <w:pPr>
              <w:spacing w:after="0"/>
              <w:rPr>
                <w:sz w:val="20"/>
                <w:szCs w:val="20"/>
                <w:color w:val="auto"/>
              </w:rPr>
            </w:pPr>
            <w:r>
              <w:rPr>
                <w:rFonts w:ascii="Times New Roman" w:cs="Times New Roman" w:eastAsia="Times New Roman" w:hAnsi="Times New Roman"/>
                <w:sz w:val="11"/>
                <w:szCs w:val="11"/>
                <w:color w:val="auto"/>
              </w:rPr>
              <w:t>Funds Purchased</w:t>
            </w:r>
          </w:p>
        </w:tc>
        <w:tc>
          <w:tcPr>
            <w:tcW w:w="320" w:type="dxa"/>
            <w:vAlign w:val="bottom"/>
          </w:tcPr>
          <w:p>
            <w:pPr>
              <w:spacing w:after="0"/>
              <w:rPr>
                <w:sz w:val="11"/>
                <w:szCs w:val="11"/>
                <w:color w:val="auto"/>
              </w:rPr>
            </w:pPr>
          </w:p>
        </w:tc>
        <w:tc>
          <w:tcPr>
            <w:tcW w:w="14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1"/>
                <w:szCs w:val="11"/>
                <w:color w:val="auto"/>
              </w:rPr>
            </w:pPr>
          </w:p>
        </w:tc>
        <w:tc>
          <w:tcPr>
            <w:tcW w:w="13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0.5</w:t>
            </w:r>
          </w:p>
        </w:tc>
        <w:tc>
          <w:tcPr>
            <w:tcW w:w="400" w:type="dxa"/>
            <w:vAlign w:val="bottom"/>
          </w:tcPr>
          <w:p>
            <w:pPr>
              <w:spacing w:after="0"/>
              <w:rPr>
                <w:sz w:val="11"/>
                <w:szCs w:val="11"/>
                <w:color w:val="auto"/>
              </w:rPr>
            </w:pPr>
          </w:p>
        </w:tc>
        <w:tc>
          <w:tcPr>
            <w:tcW w:w="14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0.5</w:t>
            </w:r>
          </w:p>
        </w:tc>
      </w:tr>
      <w:tr>
        <w:trPr>
          <w:trHeight w:val="142"/>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Short-Term Borrowings</w:t>
            </w:r>
          </w:p>
        </w:tc>
        <w:tc>
          <w:tcPr>
            <w:tcW w:w="32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2.5</w:t>
            </w:r>
          </w:p>
        </w:tc>
        <w:tc>
          <w:tcPr>
            <w:tcW w:w="400" w:type="dxa"/>
            <w:vAlign w:val="bottom"/>
            <w:shd w:val="clear" w:color="auto" w:fill="CFF0FC"/>
          </w:tcPr>
          <w:p>
            <w:pPr>
              <w:spacing w:after="0"/>
              <w:rPr>
                <w:sz w:val="12"/>
                <w:szCs w:val="12"/>
                <w:color w:val="auto"/>
              </w:rPr>
            </w:pPr>
          </w:p>
        </w:tc>
        <w:tc>
          <w:tcPr>
            <w:tcW w:w="13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1.1</w:t>
            </w:r>
          </w:p>
        </w:tc>
        <w:tc>
          <w:tcPr>
            <w:tcW w:w="40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3.6</w:t>
            </w:r>
          </w:p>
        </w:tc>
      </w:tr>
      <w:tr>
        <w:trPr>
          <w:trHeight w:val="142"/>
        </w:trPr>
        <w:tc>
          <w:tcPr>
            <w:tcW w:w="5960" w:type="dxa"/>
            <w:vAlign w:val="bottom"/>
          </w:tcPr>
          <w:p>
            <w:pPr>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320" w:type="dxa"/>
            <w:vAlign w:val="bottom"/>
          </w:tcPr>
          <w:p>
            <w:pPr>
              <w:spacing w:after="0"/>
              <w:rPr>
                <w:sz w:val="12"/>
                <w:szCs w:val="12"/>
                <w:color w:val="auto"/>
              </w:rPr>
            </w:pPr>
          </w:p>
        </w:tc>
        <w:tc>
          <w:tcPr>
            <w:tcW w:w="14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1.4</w:t>
            </w:r>
          </w:p>
        </w:tc>
        <w:tc>
          <w:tcPr>
            <w:tcW w:w="400" w:type="dxa"/>
            <w:vAlign w:val="bottom"/>
          </w:tcPr>
          <w:p>
            <w:pPr>
              <w:spacing w:after="0"/>
              <w:rPr>
                <w:sz w:val="12"/>
                <w:szCs w:val="12"/>
                <w:color w:val="auto"/>
              </w:rPr>
            </w:pPr>
          </w:p>
        </w:tc>
        <w:tc>
          <w:tcPr>
            <w:tcW w:w="134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2.3</w:t>
            </w:r>
          </w:p>
        </w:tc>
        <w:tc>
          <w:tcPr>
            <w:tcW w:w="400" w:type="dxa"/>
            <w:vAlign w:val="bottom"/>
          </w:tcPr>
          <w:p>
            <w:pPr>
              <w:spacing w:after="0"/>
              <w:rPr>
                <w:sz w:val="12"/>
                <w:szCs w:val="12"/>
                <w:color w:val="auto"/>
              </w:rPr>
            </w:pPr>
          </w:p>
        </w:tc>
        <w:tc>
          <w:tcPr>
            <w:tcW w:w="142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3.7</w:t>
            </w:r>
          </w:p>
        </w:tc>
      </w:tr>
      <w:tr>
        <w:trPr>
          <w:trHeight w:val="142"/>
        </w:trPr>
        <w:tc>
          <w:tcPr>
            <w:tcW w:w="5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Other Debt</w:t>
            </w:r>
          </w:p>
        </w:tc>
        <w:tc>
          <w:tcPr>
            <w:tcW w:w="32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37.9</w:t>
            </w:r>
          </w:p>
        </w:tc>
        <w:tc>
          <w:tcPr>
            <w:tcW w:w="400" w:type="dxa"/>
            <w:vAlign w:val="bottom"/>
            <w:tcBorders>
              <w:bottom w:val="single" w:sz="8" w:color="auto"/>
            </w:tcBorders>
            <w:shd w:val="clear" w:color="auto" w:fill="CFF0FC"/>
          </w:tcPr>
          <w:p>
            <w:pPr>
              <w:spacing w:after="0"/>
              <w:rPr>
                <w:sz w:val="12"/>
                <w:szCs w:val="1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(0.2 )</w:t>
            </w:r>
          </w:p>
        </w:tc>
        <w:tc>
          <w:tcPr>
            <w:tcW w:w="40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37.7</w:t>
            </w:r>
          </w:p>
        </w:tc>
      </w:tr>
      <w:tr>
        <w:trPr>
          <w:trHeight w:val="134"/>
        </w:trPr>
        <w:tc>
          <w:tcPr>
            <w:tcW w:w="5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Total Change in Interest Expense</w:t>
            </w:r>
          </w:p>
        </w:tc>
        <w:tc>
          <w:tcPr>
            <w:tcW w:w="3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63.8</w:t>
            </w:r>
          </w:p>
        </w:tc>
        <w:tc>
          <w:tcPr>
            <w:tcW w:w="4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192.8</w:t>
            </w:r>
          </w:p>
        </w:tc>
        <w:tc>
          <w:tcPr>
            <w:tcW w:w="4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256.6</w:t>
            </w:r>
          </w:p>
        </w:tc>
      </w:tr>
      <w:tr>
        <w:trPr>
          <w:trHeight w:val="134"/>
        </w:trPr>
        <w:tc>
          <w:tcPr>
            <w:tcW w:w="59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82"/>
        </w:trPr>
        <w:tc>
          <w:tcPr>
            <w:tcW w:w="59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Change in Net Interest Income</w:t>
            </w:r>
          </w:p>
        </w:tc>
        <w:tc>
          <w:tcPr>
            <w:tcW w:w="320" w:type="dxa"/>
            <w:vAlign w:val="bottom"/>
            <w:tcBorders>
              <w:bottom w:val="single" w:sz="8" w:color="auto"/>
            </w:tcBorders>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(35.7 )</w:t>
            </w:r>
          </w:p>
        </w:tc>
        <w:tc>
          <w:tcPr>
            <w:tcW w:w="400" w:type="dxa"/>
            <w:vAlign w:val="bottom"/>
            <w:tcBorders>
              <w:bottom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(7.1 )</w:t>
            </w:r>
          </w:p>
        </w:tc>
        <w:tc>
          <w:tcPr>
            <w:tcW w:w="400" w:type="dxa"/>
            <w:vAlign w:val="bottom"/>
            <w:tcBorders>
              <w:bottom w:val="single" w:sz="8" w:color="auto"/>
            </w:tcBorders>
            <w:shd w:val="clear" w:color="auto" w:fill="CFF0FC"/>
          </w:tcPr>
          <w:p>
            <w:pPr>
              <w:jc w:val="right"/>
              <w:ind w:right="265"/>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(42.8 )</w:t>
            </w:r>
          </w:p>
        </w:tc>
      </w:tr>
    </w:tbl>
    <w:p>
      <w:pPr>
        <w:spacing w:after="0" w:line="108" w:lineRule="exact"/>
        <w:rPr>
          <w:sz w:val="20"/>
          <w:szCs w:val="20"/>
          <w:color w:val="auto"/>
        </w:rPr>
      </w:pPr>
    </w:p>
    <w:p>
      <w:pPr>
        <w:ind w:left="100" w:hanging="94"/>
        <w:spacing w:after="0"/>
        <w:tabs>
          <w:tab w:leader="none" w:pos="100" w:val="left"/>
        </w:tabs>
        <w:numPr>
          <w:ilvl w:val="0"/>
          <w:numId w:val="1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change in interest income and expense not solely due to changes in volume or rate has been allocated on a pro-rata basis to the volume and rate columns.</w:t>
      </w:r>
    </w:p>
    <w:p>
      <w:pPr>
        <w:spacing w:after="0" w:line="11" w:lineRule="exact"/>
        <w:rPr>
          <w:rFonts w:ascii="Times New Roman" w:cs="Times New Roman" w:eastAsia="Times New Roman" w:hAnsi="Times New Roman"/>
          <w:sz w:val="15"/>
          <w:szCs w:val="15"/>
          <w:color w:val="auto"/>
          <w:vertAlign w:val="superscript"/>
        </w:rPr>
      </w:pPr>
    </w:p>
    <w:p>
      <w:pPr>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Comprised of other consumer revolving credit, installment, and consumer lease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720725</wp:posOffset>
            </wp:positionV>
            <wp:extent cx="717486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Salaries and Benefits</w:t>
            </w:r>
          </w:p>
        </w:tc>
        <w:tc>
          <w:tcPr>
            <w:tcW w:w="14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9</w:t>
            </w:r>
          </w:p>
        </w:tc>
      </w:tr>
      <w:tr>
        <w:trPr>
          <w:trHeight w:val="157"/>
        </w:trPr>
        <w:tc>
          <w:tcPr>
            <w:tcW w:w="394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940" w:type="dxa"/>
            <w:vAlign w:val="bottom"/>
            <w:tcBorders>
              <w:bottom w:val="single" w:sz="8" w:color="auto"/>
            </w:tcBorders>
          </w:tcPr>
          <w:p>
            <w:pPr>
              <w:spacing w:after="0"/>
              <w:rPr>
                <w:sz w:val="13"/>
                <w:szCs w:val="13"/>
                <w:color w:val="auto"/>
              </w:rPr>
            </w:pPr>
          </w:p>
        </w:tc>
      </w:tr>
      <w:tr>
        <w:trPr>
          <w:trHeight w:val="178"/>
        </w:trPr>
        <w:tc>
          <w:tcPr>
            <w:tcW w:w="3940" w:type="dxa"/>
            <w:vAlign w:val="bottom"/>
          </w:tcPr>
          <w:p>
            <w:pPr>
              <w:spacing w:after="0"/>
              <w:rPr>
                <w:sz w:val="15"/>
                <w:szCs w:val="15"/>
                <w:color w:val="auto"/>
              </w:rPr>
            </w:pPr>
          </w:p>
        </w:tc>
        <w:tc>
          <w:tcPr>
            <w:tcW w:w="148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9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5"/>
                <w:szCs w:val="15"/>
                <w:color w:val="auto"/>
              </w:rPr>
            </w:pPr>
          </w:p>
        </w:tc>
      </w:tr>
      <w:tr>
        <w:trPr>
          <w:trHeight w:val="21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4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120" w:type="dxa"/>
            <w:vAlign w:val="bottom"/>
            <w:tcBorders>
              <w:bottom w:val="single" w:sz="8" w:color="auto"/>
            </w:tcBorders>
            <w:gridSpan w:val="2"/>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34"/>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Salaries</w:t>
            </w:r>
          </w:p>
        </w:tc>
        <w:tc>
          <w:tcPr>
            <w:tcW w:w="14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$38,492</w:t>
            </w:r>
          </w:p>
        </w:tc>
        <w:tc>
          <w:tcPr>
            <w:tcW w:w="15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$39,426</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$37,395</w:t>
            </w:r>
          </w:p>
        </w:tc>
        <w:tc>
          <w:tcPr>
            <w:tcW w:w="2120" w:type="dxa"/>
            <w:vAlign w:val="bottom"/>
            <w:gridSpan w:val="2"/>
            <w:shd w:val="clear" w:color="auto" w:fill="CFF0FC"/>
          </w:tcPr>
          <w:p>
            <w:pPr>
              <w:jc w:val="right"/>
              <w:ind w:right="433"/>
              <w:spacing w:after="0"/>
              <w:rPr>
                <w:sz w:val="20"/>
                <w:szCs w:val="20"/>
                <w:color w:val="auto"/>
              </w:rPr>
            </w:pPr>
            <w:r>
              <w:rPr>
                <w:rFonts w:ascii="Times New Roman" w:cs="Times New Roman" w:eastAsia="Times New Roman" w:hAnsi="Times New Roman"/>
                <w:sz w:val="11"/>
                <w:szCs w:val="11"/>
                <w:color w:val="auto"/>
              </w:rPr>
              <w:t>$154,497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$146,840</w:t>
            </w:r>
          </w:p>
        </w:tc>
      </w:tr>
      <w:tr>
        <w:trPr>
          <w:trHeight w:val="142"/>
        </w:trPr>
        <w:tc>
          <w:tcPr>
            <w:tcW w:w="3940" w:type="dxa"/>
            <w:vAlign w:val="bottom"/>
          </w:tcPr>
          <w:p>
            <w:pPr>
              <w:spacing w:after="0"/>
              <w:rPr>
                <w:sz w:val="20"/>
                <w:szCs w:val="20"/>
                <w:color w:val="auto"/>
              </w:rPr>
            </w:pPr>
            <w:r>
              <w:rPr>
                <w:rFonts w:ascii="Times New Roman" w:cs="Times New Roman" w:eastAsia="Times New Roman" w:hAnsi="Times New Roman"/>
                <w:sz w:val="11"/>
                <w:szCs w:val="11"/>
                <w:color w:val="auto"/>
              </w:rPr>
              <w:t>Incentive Compensation</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3,402</w:t>
            </w:r>
          </w:p>
        </w:tc>
        <w:tc>
          <w:tcPr>
            <w:tcW w:w="1500" w:type="dxa"/>
            <w:vAlign w:val="bottom"/>
          </w:tcPr>
          <w:p>
            <w:pPr>
              <w:jc w:val="right"/>
              <w:ind w:right="82"/>
              <w:spacing w:after="0"/>
              <w:rPr>
                <w:sz w:val="20"/>
                <w:szCs w:val="20"/>
                <w:color w:val="auto"/>
              </w:rPr>
            </w:pPr>
            <w:r>
              <w:rPr>
                <w:rFonts w:ascii="Times New Roman" w:cs="Times New Roman" w:eastAsia="Times New Roman" w:hAnsi="Times New Roman"/>
                <w:sz w:val="11"/>
                <w:szCs w:val="11"/>
                <w:color w:val="auto"/>
              </w:rPr>
              <w:t>2,956</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5,356</w:t>
            </w:r>
          </w:p>
        </w:tc>
        <w:tc>
          <w:tcPr>
            <w:tcW w:w="2120" w:type="dxa"/>
            <w:vAlign w:val="bottom"/>
            <w:gridSpan w:val="2"/>
          </w:tcPr>
          <w:p>
            <w:pPr>
              <w:jc w:val="right"/>
              <w:ind w:right="433"/>
              <w:spacing w:after="0"/>
              <w:rPr>
                <w:sz w:val="20"/>
                <w:szCs w:val="20"/>
                <w:color w:val="auto"/>
              </w:rPr>
            </w:pPr>
            <w:r>
              <w:rPr>
                <w:rFonts w:ascii="Times New Roman" w:cs="Times New Roman" w:eastAsia="Times New Roman" w:hAnsi="Times New Roman"/>
                <w:sz w:val="11"/>
                <w:szCs w:val="11"/>
                <w:color w:val="auto"/>
              </w:rPr>
              <w:t>13,339</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23,425</w:t>
            </w:r>
          </w:p>
        </w:tc>
      </w:tr>
      <w:tr>
        <w:trPr>
          <w:trHeight w:val="14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Share-Based Compensation</w:t>
            </w:r>
          </w:p>
        </w:tc>
        <w:tc>
          <w:tcPr>
            <w:tcW w:w="14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3,443</w:t>
            </w:r>
          </w:p>
        </w:tc>
        <w:tc>
          <w:tcPr>
            <w:tcW w:w="15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4,072</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3,901</w:t>
            </w:r>
          </w:p>
        </w:tc>
        <w:tc>
          <w:tcPr>
            <w:tcW w:w="2120" w:type="dxa"/>
            <w:vAlign w:val="bottom"/>
            <w:gridSpan w:val="2"/>
            <w:shd w:val="clear" w:color="auto" w:fill="CFF0FC"/>
          </w:tcPr>
          <w:p>
            <w:pPr>
              <w:jc w:val="right"/>
              <w:ind w:right="433"/>
              <w:spacing w:after="0"/>
              <w:rPr>
                <w:sz w:val="20"/>
                <w:szCs w:val="20"/>
                <w:color w:val="auto"/>
              </w:rPr>
            </w:pPr>
            <w:r>
              <w:rPr>
                <w:rFonts w:ascii="Times New Roman" w:cs="Times New Roman" w:eastAsia="Times New Roman" w:hAnsi="Times New Roman"/>
                <w:sz w:val="11"/>
                <w:szCs w:val="11"/>
                <w:color w:val="auto"/>
              </w:rPr>
              <w:t>14,770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15,220</w:t>
            </w:r>
          </w:p>
        </w:tc>
      </w:tr>
      <w:tr>
        <w:trPr>
          <w:trHeight w:val="142"/>
        </w:trPr>
        <w:tc>
          <w:tcPr>
            <w:tcW w:w="3940" w:type="dxa"/>
            <w:vAlign w:val="bottom"/>
          </w:tcPr>
          <w:p>
            <w:pPr>
              <w:spacing w:after="0"/>
              <w:rPr>
                <w:sz w:val="20"/>
                <w:szCs w:val="20"/>
                <w:color w:val="auto"/>
              </w:rPr>
            </w:pPr>
            <w:r>
              <w:rPr>
                <w:rFonts w:ascii="Times New Roman" w:cs="Times New Roman" w:eastAsia="Times New Roman" w:hAnsi="Times New Roman"/>
                <w:sz w:val="11"/>
                <w:szCs w:val="11"/>
                <w:color w:val="auto"/>
              </w:rPr>
              <w:t>Commission Expense</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700</w:t>
            </w:r>
          </w:p>
        </w:tc>
        <w:tc>
          <w:tcPr>
            <w:tcW w:w="1500" w:type="dxa"/>
            <w:vAlign w:val="bottom"/>
          </w:tcPr>
          <w:p>
            <w:pPr>
              <w:jc w:val="right"/>
              <w:ind w:right="82"/>
              <w:spacing w:after="0"/>
              <w:rPr>
                <w:sz w:val="20"/>
                <w:szCs w:val="20"/>
                <w:color w:val="auto"/>
              </w:rPr>
            </w:pPr>
            <w:r>
              <w:rPr>
                <w:rFonts w:ascii="Times New Roman" w:cs="Times New Roman" w:eastAsia="Times New Roman" w:hAnsi="Times New Roman"/>
                <w:sz w:val="11"/>
                <w:szCs w:val="11"/>
                <w:color w:val="auto"/>
              </w:rPr>
              <w:t>676</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830</w:t>
            </w:r>
          </w:p>
        </w:tc>
        <w:tc>
          <w:tcPr>
            <w:tcW w:w="2120" w:type="dxa"/>
            <w:vAlign w:val="bottom"/>
            <w:gridSpan w:val="2"/>
          </w:tcPr>
          <w:p>
            <w:pPr>
              <w:jc w:val="right"/>
              <w:ind w:right="433"/>
              <w:spacing w:after="0"/>
              <w:rPr>
                <w:sz w:val="20"/>
                <w:szCs w:val="20"/>
                <w:color w:val="auto"/>
              </w:rPr>
            </w:pPr>
            <w:r>
              <w:rPr>
                <w:rFonts w:ascii="Times New Roman" w:cs="Times New Roman" w:eastAsia="Times New Roman" w:hAnsi="Times New Roman"/>
                <w:sz w:val="11"/>
                <w:szCs w:val="11"/>
                <w:color w:val="auto"/>
              </w:rPr>
              <w:t>2,798</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4,708</w:t>
            </w:r>
          </w:p>
        </w:tc>
      </w:tr>
      <w:tr>
        <w:trPr>
          <w:trHeight w:val="14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Retirement and Other Benefits</w:t>
            </w:r>
          </w:p>
        </w:tc>
        <w:tc>
          <w:tcPr>
            <w:tcW w:w="14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2,521</w:t>
            </w:r>
          </w:p>
        </w:tc>
        <w:tc>
          <w:tcPr>
            <w:tcW w:w="15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3,809</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4,065</w:t>
            </w:r>
          </w:p>
        </w:tc>
        <w:tc>
          <w:tcPr>
            <w:tcW w:w="2120" w:type="dxa"/>
            <w:vAlign w:val="bottom"/>
            <w:gridSpan w:val="2"/>
            <w:shd w:val="clear" w:color="auto" w:fill="CFF0FC"/>
          </w:tcPr>
          <w:p>
            <w:pPr>
              <w:jc w:val="right"/>
              <w:ind w:right="433"/>
              <w:spacing w:after="0"/>
              <w:rPr>
                <w:sz w:val="20"/>
                <w:szCs w:val="20"/>
                <w:color w:val="auto"/>
              </w:rPr>
            </w:pPr>
            <w:r>
              <w:rPr>
                <w:rFonts w:ascii="Times New Roman" w:cs="Times New Roman" w:eastAsia="Times New Roman" w:hAnsi="Times New Roman"/>
                <w:sz w:val="11"/>
                <w:szCs w:val="11"/>
                <w:color w:val="auto"/>
              </w:rPr>
              <w:t>15,707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17,242</w:t>
            </w:r>
          </w:p>
        </w:tc>
      </w:tr>
      <w:tr>
        <w:trPr>
          <w:trHeight w:val="142"/>
        </w:trPr>
        <w:tc>
          <w:tcPr>
            <w:tcW w:w="3940" w:type="dxa"/>
            <w:vAlign w:val="bottom"/>
          </w:tcPr>
          <w:p>
            <w:pPr>
              <w:spacing w:after="0"/>
              <w:rPr>
                <w:sz w:val="20"/>
                <w:szCs w:val="20"/>
                <w:color w:val="auto"/>
              </w:rPr>
            </w:pPr>
            <w:r>
              <w:rPr>
                <w:rFonts w:ascii="Times New Roman" w:cs="Times New Roman" w:eastAsia="Times New Roman" w:hAnsi="Times New Roman"/>
                <w:sz w:val="11"/>
                <w:szCs w:val="11"/>
                <w:color w:val="auto"/>
              </w:rPr>
              <w:t>Payroll Taxes</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2,598</w:t>
            </w:r>
          </w:p>
        </w:tc>
        <w:tc>
          <w:tcPr>
            <w:tcW w:w="1500" w:type="dxa"/>
            <w:vAlign w:val="bottom"/>
          </w:tcPr>
          <w:p>
            <w:pPr>
              <w:jc w:val="right"/>
              <w:ind w:right="82"/>
              <w:spacing w:after="0"/>
              <w:rPr>
                <w:sz w:val="20"/>
                <w:szCs w:val="20"/>
                <w:color w:val="auto"/>
              </w:rPr>
            </w:pPr>
            <w:r>
              <w:rPr>
                <w:rFonts w:ascii="Times New Roman" w:cs="Times New Roman" w:eastAsia="Times New Roman" w:hAnsi="Times New Roman"/>
                <w:sz w:val="11"/>
                <w:szCs w:val="11"/>
                <w:color w:val="auto"/>
              </w:rPr>
              <w:t>2,921</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2,591</w:t>
            </w:r>
          </w:p>
        </w:tc>
        <w:tc>
          <w:tcPr>
            <w:tcW w:w="2120" w:type="dxa"/>
            <w:vAlign w:val="bottom"/>
            <w:gridSpan w:val="2"/>
          </w:tcPr>
          <w:p>
            <w:pPr>
              <w:jc w:val="right"/>
              <w:ind w:right="433"/>
              <w:spacing w:after="0"/>
              <w:rPr>
                <w:sz w:val="20"/>
                <w:szCs w:val="20"/>
                <w:color w:val="auto"/>
              </w:rPr>
            </w:pPr>
            <w:r>
              <w:rPr>
                <w:rFonts w:ascii="Times New Roman" w:cs="Times New Roman" w:eastAsia="Times New Roman" w:hAnsi="Times New Roman"/>
                <w:sz w:val="11"/>
                <w:szCs w:val="11"/>
                <w:color w:val="auto"/>
              </w:rPr>
              <w:t>14,677</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13,395</w:t>
            </w:r>
          </w:p>
        </w:tc>
      </w:tr>
      <w:tr>
        <w:trPr>
          <w:trHeight w:val="14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Medical, Dental, and Life Insurance</w:t>
            </w:r>
          </w:p>
        </w:tc>
        <w:tc>
          <w:tcPr>
            <w:tcW w:w="14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2,500</w:t>
            </w:r>
          </w:p>
        </w:tc>
        <w:tc>
          <w:tcPr>
            <w:tcW w:w="15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2,835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3,528</w:t>
            </w:r>
          </w:p>
        </w:tc>
        <w:tc>
          <w:tcPr>
            <w:tcW w:w="2120" w:type="dxa"/>
            <w:vAlign w:val="bottom"/>
            <w:gridSpan w:val="2"/>
            <w:shd w:val="clear" w:color="auto" w:fill="CFF0FC"/>
          </w:tcPr>
          <w:p>
            <w:pPr>
              <w:jc w:val="right"/>
              <w:ind w:right="433"/>
              <w:spacing w:after="0"/>
              <w:rPr>
                <w:sz w:val="20"/>
                <w:szCs w:val="20"/>
                <w:color w:val="auto"/>
              </w:rPr>
            </w:pPr>
            <w:r>
              <w:rPr>
                <w:rFonts w:ascii="Times New Roman" w:cs="Times New Roman" w:eastAsia="Times New Roman" w:hAnsi="Times New Roman"/>
                <w:sz w:val="11"/>
                <w:szCs w:val="11"/>
                <w:color w:val="auto"/>
              </w:rPr>
              <w:t>12,767</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11,958</w:t>
            </w:r>
          </w:p>
        </w:tc>
      </w:tr>
      <w:tr>
        <w:trPr>
          <w:trHeight w:val="142"/>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Separation Expense</w:t>
            </w:r>
          </w:p>
        </w:tc>
        <w:tc>
          <w:tcPr>
            <w:tcW w:w="1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335</w:t>
            </w:r>
          </w:p>
        </w:tc>
        <w:tc>
          <w:tcPr>
            <w:tcW w:w="15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1"/>
                <w:szCs w:val="11"/>
                <w:color w:val="auto"/>
              </w:rPr>
              <w:t>2,130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2120" w:type="dxa"/>
            <w:vAlign w:val="bottom"/>
            <w:tcBorders>
              <w:bottom w:val="single" w:sz="8" w:color="auto"/>
            </w:tcBorders>
            <w:gridSpan w:val="2"/>
          </w:tcPr>
          <w:p>
            <w:pPr>
              <w:jc w:val="right"/>
              <w:ind w:right="433"/>
              <w:spacing w:after="0"/>
              <w:rPr>
                <w:sz w:val="20"/>
                <w:szCs w:val="20"/>
                <w:color w:val="auto"/>
              </w:rPr>
            </w:pPr>
            <w:r>
              <w:rPr>
                <w:rFonts w:ascii="Times New Roman" w:cs="Times New Roman" w:eastAsia="Times New Roman" w:hAnsi="Times New Roman"/>
                <w:sz w:val="11"/>
                <w:szCs w:val="11"/>
                <w:color w:val="auto"/>
              </w:rPr>
              <w:t>5,524</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2,482</w:t>
            </w:r>
          </w:p>
        </w:tc>
      </w:tr>
      <w:tr>
        <w:trPr>
          <w:trHeight w:val="174"/>
        </w:trPr>
        <w:tc>
          <w:tcPr>
            <w:tcW w:w="39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Salaries and Benefits</w:t>
            </w:r>
          </w:p>
        </w:tc>
        <w:tc>
          <w:tcPr>
            <w:tcW w:w="14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$53,991</w:t>
            </w:r>
          </w:p>
        </w:tc>
        <w:tc>
          <w:tcPr>
            <w:tcW w:w="1500" w:type="dxa"/>
            <w:vAlign w:val="bottom"/>
            <w:tcBorders>
              <w:bottom w:val="single" w:sz="8" w:color="auto"/>
            </w:tcBorders>
            <w:shd w:val="clear" w:color="auto" w:fill="CFF0FC"/>
          </w:tcPr>
          <w:p>
            <w:pPr>
              <w:jc w:val="right"/>
              <w:ind w:right="82"/>
              <w:spacing w:after="0"/>
              <w:rPr>
                <w:sz w:val="20"/>
                <w:szCs w:val="20"/>
                <w:color w:val="auto"/>
              </w:rPr>
            </w:pPr>
            <w:r>
              <w:rPr>
                <w:rFonts w:ascii="Times New Roman" w:cs="Times New Roman" w:eastAsia="Times New Roman" w:hAnsi="Times New Roman"/>
                <w:sz w:val="11"/>
                <w:szCs w:val="11"/>
                <w:color w:val="auto"/>
              </w:rPr>
              <w:t>$58,825</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$57,639</w:t>
            </w:r>
          </w:p>
        </w:tc>
        <w:tc>
          <w:tcPr>
            <w:tcW w:w="2120" w:type="dxa"/>
            <w:vAlign w:val="bottom"/>
            <w:tcBorders>
              <w:bottom w:val="single" w:sz="8" w:color="auto"/>
            </w:tcBorders>
            <w:gridSpan w:val="2"/>
            <w:shd w:val="clear" w:color="auto" w:fill="CFF0FC"/>
          </w:tcPr>
          <w:p>
            <w:pPr>
              <w:jc w:val="right"/>
              <w:ind w:right="433"/>
              <w:spacing w:after="0"/>
              <w:rPr>
                <w:sz w:val="20"/>
                <w:szCs w:val="20"/>
                <w:color w:val="auto"/>
              </w:rPr>
            </w:pPr>
            <w:r>
              <w:rPr>
                <w:rFonts w:ascii="Times New Roman" w:cs="Times New Roman" w:eastAsia="Times New Roman" w:hAnsi="Times New Roman"/>
                <w:sz w:val="11"/>
                <w:szCs w:val="11"/>
                <w:color w:val="auto"/>
              </w:rPr>
              <w:t>$234,079</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$235,270</w:t>
            </w:r>
          </w:p>
        </w:tc>
      </w:tr>
      <w:tr>
        <w:trPr>
          <w:trHeight w:val="1162"/>
        </w:trPr>
        <w:tc>
          <w:tcPr>
            <w:tcW w:w="39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Loan and Lease Portfolio Balances</w:t>
            </w:r>
          </w:p>
        </w:tc>
        <w:tc>
          <w:tcPr>
            <w:tcW w:w="7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Table 10</w:t>
            </w:r>
          </w:p>
        </w:tc>
      </w:tr>
      <w:tr>
        <w:trPr>
          <w:trHeight w:val="136"/>
        </w:trPr>
        <w:tc>
          <w:tcPr>
            <w:tcW w:w="3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tcPr>
          <w:p>
            <w:pPr>
              <w:jc w:val="right"/>
              <w:ind w:right="324"/>
              <w:spacing w:after="0" w:line="13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1"/>
                <w:szCs w:val="11"/>
                <w:color w:val="auto"/>
              </w:rPr>
            </w:pPr>
          </w:p>
        </w:tc>
        <w:tc>
          <w:tcPr>
            <w:tcW w:w="1200" w:type="dxa"/>
            <w:vAlign w:val="bottom"/>
          </w:tcPr>
          <w:p>
            <w:pPr>
              <w:jc w:val="right"/>
              <w:ind w:right="264"/>
              <w:spacing w:after="0" w:line="13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20" w:type="dxa"/>
            <w:vAlign w:val="bottom"/>
          </w:tcPr>
          <w:p>
            <w:pPr>
              <w:spacing w:after="0"/>
              <w:rPr>
                <w:sz w:val="11"/>
                <w:szCs w:val="11"/>
                <w:color w:val="auto"/>
              </w:rPr>
            </w:pPr>
          </w:p>
        </w:tc>
        <w:tc>
          <w:tcPr>
            <w:tcW w:w="1140" w:type="dxa"/>
            <w:vAlign w:val="bottom"/>
          </w:tcPr>
          <w:p>
            <w:pPr>
              <w:jc w:val="right"/>
              <w:ind w:right="444"/>
              <w:spacing w:after="0" w:line="13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80" w:type="dxa"/>
            <w:vAlign w:val="bottom"/>
          </w:tcPr>
          <w:p>
            <w:pPr>
              <w:spacing w:after="0"/>
              <w:rPr>
                <w:sz w:val="11"/>
                <w:szCs w:val="11"/>
                <w:color w:val="auto"/>
              </w:rPr>
            </w:pPr>
          </w:p>
        </w:tc>
        <w:tc>
          <w:tcPr>
            <w:tcW w:w="1160" w:type="dxa"/>
            <w:vAlign w:val="bottom"/>
          </w:tcPr>
          <w:p>
            <w:pPr>
              <w:jc w:val="right"/>
              <w:ind w:right="384"/>
              <w:spacing w:after="0" w:line="136"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40" w:type="dxa"/>
            <w:vAlign w:val="bottom"/>
          </w:tcPr>
          <w:p>
            <w:pPr>
              <w:spacing w:after="0"/>
              <w:rPr>
                <w:sz w:val="11"/>
                <w:szCs w:val="11"/>
                <w:color w:val="auto"/>
              </w:rPr>
            </w:pPr>
          </w:p>
        </w:tc>
        <w:tc>
          <w:tcPr>
            <w:tcW w:w="1300" w:type="dxa"/>
            <w:vAlign w:val="bottom"/>
          </w:tcPr>
          <w:p>
            <w:pPr>
              <w:jc w:val="right"/>
              <w:ind w:right="382"/>
              <w:spacing w:after="0" w:line="136"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7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3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w:t>
            </w:r>
          </w:p>
        </w:tc>
        <w:tc>
          <w:tcPr>
            <w:tcW w:w="7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r>
      <w:tr>
        <w:trPr>
          <w:trHeight w:val="142"/>
        </w:trPr>
        <w:tc>
          <w:tcPr>
            <w:tcW w:w="34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7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1,652,699</w:t>
            </w:r>
          </w:p>
        </w:tc>
        <w:tc>
          <w:tcPr>
            <w:tcW w:w="22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1,569,572</w:t>
            </w:r>
          </w:p>
        </w:tc>
        <w:tc>
          <w:tcPr>
            <w:tcW w:w="32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1,502,676</w:t>
            </w:r>
          </w:p>
        </w:tc>
        <w:tc>
          <w:tcPr>
            <w:tcW w:w="28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1,425,916</w:t>
            </w:r>
          </w:p>
        </w:tc>
        <w:tc>
          <w:tcPr>
            <w:tcW w:w="2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1,389,066</w:t>
            </w:r>
          </w:p>
        </w:tc>
      </w:tr>
      <w:tr>
        <w:trPr>
          <w:trHeight w:val="142"/>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Paycheck Protection Program</w:t>
            </w:r>
          </w:p>
        </w:tc>
        <w:tc>
          <w:tcPr>
            <w:tcW w:w="78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11,369</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12,529</w:t>
            </w: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13,789</w:t>
            </w: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15,175</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19,579</w:t>
            </w:r>
          </w:p>
        </w:tc>
      </w:tr>
      <w:tr>
        <w:trPr>
          <w:trHeight w:val="142"/>
        </w:trPr>
        <w:tc>
          <w:tcPr>
            <w:tcW w:w="34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Commercial Mortgage</w:t>
            </w:r>
          </w:p>
        </w:tc>
        <w:tc>
          <w:tcPr>
            <w:tcW w:w="780" w:type="dxa"/>
            <w:vAlign w:val="bottom"/>
          </w:tcPr>
          <w:p>
            <w:pPr>
              <w:spacing w:after="0"/>
              <w:rPr>
                <w:sz w:val="12"/>
                <w:szCs w:val="12"/>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3,749,016</w:t>
            </w:r>
          </w:p>
        </w:tc>
        <w:tc>
          <w:tcPr>
            <w:tcW w:w="220" w:type="dxa"/>
            <w:vAlign w:val="bottom"/>
          </w:tcPr>
          <w:p>
            <w:pPr>
              <w:spacing w:after="0"/>
              <w:rPr>
                <w:sz w:val="12"/>
                <w:szCs w:val="12"/>
                <w:color w:val="auto"/>
              </w:rPr>
            </w:pP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3,784,339</w:t>
            </w:r>
          </w:p>
        </w:tc>
        <w:tc>
          <w:tcPr>
            <w:tcW w:w="320" w:type="dxa"/>
            <w:vAlign w:val="bottom"/>
          </w:tcPr>
          <w:p>
            <w:pPr>
              <w:spacing w:after="0"/>
              <w:rPr>
                <w:sz w:val="12"/>
                <w:szCs w:val="12"/>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3,796,769</w:t>
            </w:r>
          </w:p>
        </w:tc>
        <w:tc>
          <w:tcPr>
            <w:tcW w:w="280" w:type="dxa"/>
            <w:vAlign w:val="bottom"/>
          </w:tcPr>
          <w:p>
            <w:pPr>
              <w:spacing w:after="0"/>
              <w:rPr>
                <w:sz w:val="12"/>
                <w:szCs w:val="12"/>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3,826,283</w:t>
            </w:r>
          </w:p>
        </w:tc>
        <w:tc>
          <w:tcPr>
            <w:tcW w:w="240" w:type="dxa"/>
            <w:vAlign w:val="bottom"/>
          </w:tcPr>
          <w:p>
            <w:pPr>
              <w:spacing w:after="0"/>
              <w:rPr>
                <w:sz w:val="12"/>
                <w:szCs w:val="12"/>
                <w:color w:val="auto"/>
              </w:rPr>
            </w:pPr>
          </w:p>
        </w:tc>
        <w:tc>
          <w:tcPr>
            <w:tcW w:w="13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3,725,542</w:t>
            </w:r>
          </w:p>
        </w:tc>
      </w:tr>
      <w:tr>
        <w:trPr>
          <w:trHeight w:val="142"/>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Construction</w:t>
            </w:r>
          </w:p>
        </w:tc>
        <w:tc>
          <w:tcPr>
            <w:tcW w:w="78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304,463</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251,507</w:t>
            </w: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236,428</w:t>
            </w: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232,903</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260,825</w:t>
            </w:r>
          </w:p>
        </w:tc>
      </w:tr>
      <w:tr>
        <w:trPr>
          <w:trHeight w:val="142"/>
        </w:trPr>
        <w:tc>
          <w:tcPr>
            <w:tcW w:w="3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Lease Financing</w:t>
            </w:r>
          </w:p>
        </w:tc>
        <w:tc>
          <w:tcPr>
            <w:tcW w:w="7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59,939</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61,522</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62,779</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65,611</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color w:val="auto"/>
              </w:rPr>
              <w:t>69,491</w:t>
            </w:r>
          </w:p>
        </w:tc>
      </w:tr>
      <w:tr>
        <w:trPr>
          <w:trHeight w:val="134"/>
        </w:trPr>
        <w:tc>
          <w:tcPr>
            <w:tcW w:w="34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Commercial</w:t>
            </w:r>
          </w:p>
        </w:tc>
        <w:tc>
          <w:tcPr>
            <w:tcW w:w="78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5,777,486</w:t>
            </w:r>
          </w:p>
        </w:tc>
        <w:tc>
          <w:tcPr>
            <w:tcW w:w="22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5,679,469</w:t>
            </w:r>
          </w:p>
        </w:tc>
        <w:tc>
          <w:tcPr>
            <w:tcW w:w="32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5,612,441</w:t>
            </w:r>
          </w:p>
        </w:tc>
        <w:tc>
          <w:tcPr>
            <w:tcW w:w="28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5,565,888</w:t>
            </w:r>
          </w:p>
        </w:tc>
        <w:tc>
          <w:tcPr>
            <w:tcW w:w="24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5,464,503</w:t>
            </w:r>
          </w:p>
        </w:tc>
      </w:tr>
      <w:tr>
        <w:trPr>
          <w:trHeight w:val="134"/>
        </w:trPr>
        <w:tc>
          <w:tcPr>
            <w:tcW w:w="340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42"/>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Residential Mortgage</w:t>
            </w:r>
          </w:p>
        </w:tc>
        <w:tc>
          <w:tcPr>
            <w:tcW w:w="78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4,684,171</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4,699,140</w:t>
            </w: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4,721,976</w:t>
            </w: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4,691,298</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4,653,072</w:t>
            </w:r>
          </w:p>
        </w:tc>
      </w:tr>
      <w:tr>
        <w:trPr>
          <w:trHeight w:val="142"/>
        </w:trPr>
        <w:tc>
          <w:tcPr>
            <w:tcW w:w="34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Home Equity</w:t>
            </w:r>
          </w:p>
        </w:tc>
        <w:tc>
          <w:tcPr>
            <w:tcW w:w="780" w:type="dxa"/>
            <w:vAlign w:val="bottom"/>
          </w:tcPr>
          <w:p>
            <w:pPr>
              <w:spacing w:after="0"/>
              <w:rPr>
                <w:sz w:val="12"/>
                <w:szCs w:val="12"/>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2,264,827</w:t>
            </w:r>
          </w:p>
        </w:tc>
        <w:tc>
          <w:tcPr>
            <w:tcW w:w="220" w:type="dxa"/>
            <w:vAlign w:val="bottom"/>
          </w:tcPr>
          <w:p>
            <w:pPr>
              <w:spacing w:after="0"/>
              <w:rPr>
                <w:sz w:val="12"/>
                <w:szCs w:val="12"/>
                <w:color w:val="auto"/>
              </w:rPr>
            </w:pP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2,285,974</w:t>
            </w:r>
          </w:p>
        </w:tc>
        <w:tc>
          <w:tcPr>
            <w:tcW w:w="320" w:type="dxa"/>
            <w:vAlign w:val="bottom"/>
          </w:tcPr>
          <w:p>
            <w:pPr>
              <w:spacing w:after="0"/>
              <w:rPr>
                <w:sz w:val="12"/>
                <w:szCs w:val="12"/>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2,278,105</w:t>
            </w:r>
          </w:p>
        </w:tc>
        <w:tc>
          <w:tcPr>
            <w:tcW w:w="280" w:type="dxa"/>
            <w:vAlign w:val="bottom"/>
          </w:tcPr>
          <w:p>
            <w:pPr>
              <w:spacing w:after="0"/>
              <w:rPr>
                <w:sz w:val="12"/>
                <w:szCs w:val="12"/>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2,260,001</w:t>
            </w:r>
          </w:p>
        </w:tc>
        <w:tc>
          <w:tcPr>
            <w:tcW w:w="240" w:type="dxa"/>
            <w:vAlign w:val="bottom"/>
          </w:tcPr>
          <w:p>
            <w:pPr>
              <w:spacing w:after="0"/>
              <w:rPr>
                <w:sz w:val="12"/>
                <w:szCs w:val="12"/>
                <w:color w:val="auto"/>
              </w:rPr>
            </w:pPr>
          </w:p>
        </w:tc>
        <w:tc>
          <w:tcPr>
            <w:tcW w:w="13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2,225,950</w:t>
            </w:r>
          </w:p>
        </w:tc>
      </w:tr>
      <w:tr>
        <w:trPr>
          <w:trHeight w:val="142"/>
        </w:trPr>
        <w:tc>
          <w:tcPr>
            <w:tcW w:w="34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Automobile</w:t>
            </w:r>
          </w:p>
        </w:tc>
        <w:tc>
          <w:tcPr>
            <w:tcW w:w="78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837,830</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856,113</w:t>
            </w: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878,767</w:t>
            </w: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877,979</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870,396</w:t>
            </w:r>
          </w:p>
        </w:tc>
      </w:tr>
      <w:tr>
        <w:trPr>
          <w:trHeight w:val="142"/>
        </w:trPr>
        <w:tc>
          <w:tcPr>
            <w:tcW w:w="34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1"/>
                <w:szCs w:val="11"/>
                <w:color w:val="auto"/>
              </w:rPr>
              <w:t xml:space="preserve">Other </w:t>
            </w:r>
            <w:r>
              <w:rPr>
                <w:rFonts w:ascii="Times New Roman" w:cs="Times New Roman" w:eastAsia="Times New Roman" w:hAnsi="Times New Roman"/>
                <w:sz w:val="14"/>
                <w:szCs w:val="14"/>
                <w:color w:val="auto"/>
                <w:vertAlign w:val="superscript"/>
              </w:rPr>
              <w:t>1</w:t>
            </w:r>
          </w:p>
        </w:tc>
        <w:tc>
          <w:tcPr>
            <w:tcW w:w="7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400,712</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398,795</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423,600</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429,356</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color w:val="auto"/>
              </w:rPr>
              <w:t>432,499</w:t>
            </w:r>
          </w:p>
        </w:tc>
      </w:tr>
      <w:tr>
        <w:trPr>
          <w:trHeight w:val="134"/>
        </w:trPr>
        <w:tc>
          <w:tcPr>
            <w:tcW w:w="34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Consumer</w:t>
            </w:r>
          </w:p>
        </w:tc>
        <w:tc>
          <w:tcPr>
            <w:tcW w:w="78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8,187,540</w:t>
            </w:r>
          </w:p>
        </w:tc>
        <w:tc>
          <w:tcPr>
            <w:tcW w:w="22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8,240,022</w:t>
            </w:r>
          </w:p>
        </w:tc>
        <w:tc>
          <w:tcPr>
            <w:tcW w:w="32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8,302,448</w:t>
            </w:r>
          </w:p>
        </w:tc>
        <w:tc>
          <w:tcPr>
            <w:tcW w:w="28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rPr>
              <w:t>8,258,634</w:t>
            </w:r>
          </w:p>
        </w:tc>
        <w:tc>
          <w:tcPr>
            <w:tcW w:w="240" w:type="dxa"/>
            <w:vAlign w:val="bottom"/>
            <w:tcBorders>
              <w:bottom w:val="single" w:sz="8" w:color="auto"/>
            </w:tcBorders>
            <w:shd w:val="clear" w:color="auto" w:fill="CFF0FC"/>
          </w:tcPr>
          <w:p>
            <w:pPr>
              <w:spacing w:after="0"/>
              <w:rPr>
                <w:sz w:val="11"/>
                <w:szCs w:val="11"/>
                <w:color w:val="auto"/>
              </w:rPr>
            </w:pPr>
          </w:p>
        </w:tc>
        <w:tc>
          <w:tcPr>
            <w:tcW w:w="13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8,181,917</w:t>
            </w:r>
          </w:p>
        </w:tc>
      </w:tr>
      <w:tr>
        <w:trPr>
          <w:trHeight w:val="136"/>
        </w:trPr>
        <w:tc>
          <w:tcPr>
            <w:tcW w:w="34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Loans and Leases</w:t>
            </w:r>
          </w:p>
        </w:tc>
        <w:tc>
          <w:tcPr>
            <w:tcW w:w="78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13,965,026</w:t>
            </w:r>
          </w:p>
        </w:tc>
        <w:tc>
          <w:tcPr>
            <w:tcW w:w="22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13,919,491</w:t>
            </w:r>
          </w:p>
        </w:tc>
        <w:tc>
          <w:tcPr>
            <w:tcW w:w="32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13,914,889</w:t>
            </w:r>
          </w:p>
        </w:tc>
        <w:tc>
          <w:tcPr>
            <w:tcW w:w="28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13,824,522</w:t>
            </w:r>
          </w:p>
        </w:tc>
        <w:tc>
          <w:tcPr>
            <w:tcW w:w="2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13,646,420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714946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ind w:left="80" w:hanging="74"/>
        <w:spacing w:after="0"/>
        <w:tabs>
          <w:tab w:leader="none" w:pos="80" w:val="left"/>
        </w:tabs>
        <w:numPr>
          <w:ilvl w:val="0"/>
          <w:numId w:val="1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Comprised of other revolving credit, installment, and lease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-84455</wp:posOffset>
            </wp:positionV>
            <wp:extent cx="714946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Deposits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5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322"/>
              <w:spacing w:after="0" w:line="14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262"/>
              <w:spacing w:after="0" w:line="14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42"/>
              <w:spacing w:after="0" w:line="14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82"/>
              <w:spacing w:after="0" w:line="14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382"/>
              <w:spacing w:after="0" w:line="143"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4"/>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16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34"/>
        </w:trPr>
        <w:tc>
          <w:tcPr>
            <w:tcW w:w="2540" w:type="dxa"/>
            <w:vAlign w:val="bottom"/>
          </w:tcPr>
          <w:p>
            <w:pPr>
              <w:spacing w:after="0"/>
              <w:rPr>
                <w:sz w:val="20"/>
                <w:szCs w:val="20"/>
                <w:color w:val="auto"/>
              </w:rPr>
            </w:pPr>
            <w:r>
              <w:rPr>
                <w:rFonts w:ascii="Times New Roman" w:cs="Times New Roman" w:eastAsia="Times New Roman" w:hAnsi="Times New Roman"/>
                <w:sz w:val="11"/>
                <w:szCs w:val="11"/>
                <w:color w:val="auto"/>
              </w:rPr>
              <w:t>Consumer</w:t>
            </w:r>
          </w:p>
        </w:tc>
        <w:tc>
          <w:tcPr>
            <w:tcW w:w="164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1"/>
                <w:szCs w:val="11"/>
                <w:color w:val="auto"/>
              </w:rPr>
              <w:t>10,319,809</w:t>
            </w:r>
          </w:p>
        </w:tc>
        <w:tc>
          <w:tcPr>
            <w:tcW w:w="22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1"/>
                <w:szCs w:val="11"/>
                <w:color w:val="auto"/>
              </w:rPr>
              <w:t>10,036,261</w:t>
            </w:r>
          </w:p>
        </w:tc>
        <w:tc>
          <w:tcPr>
            <w:tcW w:w="32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10,018,931</w:t>
            </w:r>
          </w:p>
        </w:tc>
        <w:tc>
          <w:tcPr>
            <w:tcW w:w="28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10,158,833</w:t>
            </w:r>
          </w:p>
        </w:tc>
        <w:tc>
          <w:tcPr>
            <w:tcW w:w="2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10,304,335</w:t>
            </w:r>
          </w:p>
        </w:tc>
      </w:tr>
      <w:tr>
        <w:trPr>
          <w:trHeight w:val="142"/>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Commercial</w:t>
            </w:r>
          </w:p>
        </w:tc>
        <w:tc>
          <w:tcPr>
            <w:tcW w:w="164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8,601,224</w:t>
            </w: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8,564,536</w:t>
            </w:r>
          </w:p>
        </w:tc>
        <w:tc>
          <w:tcPr>
            <w:tcW w:w="32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8,019,971</w:t>
            </w:r>
          </w:p>
        </w:tc>
        <w:tc>
          <w:tcPr>
            <w:tcW w:w="2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8,594,441</w:t>
            </w: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8,569,670</w:t>
            </w:r>
          </w:p>
        </w:tc>
      </w:tr>
      <w:tr>
        <w:trPr>
          <w:trHeight w:val="142"/>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Public and Other</w:t>
            </w:r>
          </w:p>
        </w:tc>
        <w:tc>
          <w:tcPr>
            <w:tcW w:w="16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rPr>
              <w:t>2,134,012</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rPr>
              <w:t>2,201,512</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2,469,713</w:t>
            </w:r>
          </w:p>
        </w:tc>
        <w:tc>
          <w:tcPr>
            <w:tcW w:w="2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1,738,026</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color w:val="auto"/>
              </w:rPr>
              <w:t>1,741,691</w:t>
            </w:r>
          </w:p>
        </w:tc>
      </w:tr>
      <w:tr>
        <w:trPr>
          <w:trHeight w:val="174"/>
        </w:trPr>
        <w:tc>
          <w:tcPr>
            <w:tcW w:w="2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Deposits</w:t>
            </w:r>
          </w:p>
        </w:tc>
        <w:tc>
          <w:tcPr>
            <w:tcW w:w="164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21,055,045</w:t>
            </w:r>
          </w:p>
        </w:tc>
        <w:tc>
          <w:tcPr>
            <w:tcW w:w="22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20,802,309</w:t>
            </w:r>
          </w:p>
        </w:tc>
        <w:tc>
          <w:tcPr>
            <w:tcW w:w="32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20,508,615</w:t>
            </w:r>
          </w:p>
        </w:tc>
        <w:tc>
          <w:tcPr>
            <w:tcW w:w="280" w:type="dxa"/>
            <w:vAlign w:val="bottom"/>
            <w:tcBorders>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20,491,300</w:t>
            </w:r>
          </w:p>
        </w:tc>
        <w:tc>
          <w:tcPr>
            <w:tcW w:w="2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20,615,696</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Average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714946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36"/>
        </w:trPr>
        <w:tc>
          <w:tcPr>
            <w:tcW w:w="3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right"/>
              <w:ind w:right="322"/>
              <w:spacing w:after="0" w:line="13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1"/>
                <w:szCs w:val="11"/>
                <w:color w:val="auto"/>
              </w:rPr>
            </w:pPr>
          </w:p>
        </w:tc>
        <w:tc>
          <w:tcPr>
            <w:tcW w:w="1200" w:type="dxa"/>
            <w:vAlign w:val="bottom"/>
          </w:tcPr>
          <w:p>
            <w:pPr>
              <w:jc w:val="right"/>
              <w:ind w:right="262"/>
              <w:spacing w:after="0" w:line="13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1"/>
                <w:szCs w:val="11"/>
                <w:color w:val="auto"/>
              </w:rPr>
            </w:pPr>
          </w:p>
        </w:tc>
        <w:tc>
          <w:tcPr>
            <w:tcW w:w="1320" w:type="dxa"/>
            <w:vAlign w:val="bottom"/>
          </w:tcPr>
          <w:p>
            <w:pPr>
              <w:jc w:val="center"/>
              <w:ind w:right="81"/>
              <w:spacing w:after="0" w:line="136" w:lineRule="exact"/>
              <w:rPr>
                <w:sz w:val="20"/>
                <w:szCs w:val="20"/>
                <w:color w:val="auto"/>
              </w:rPr>
            </w:pPr>
            <w:r>
              <w:rPr>
                <w:rFonts w:ascii="Times New Roman" w:cs="Times New Roman" w:eastAsia="Times New Roman" w:hAnsi="Times New Roman"/>
                <w:sz w:val="13"/>
                <w:szCs w:val="13"/>
                <w:b w:val="1"/>
                <w:bCs w:val="1"/>
                <w:color w:val="auto"/>
                <w:w w:val="99"/>
              </w:rPr>
              <w:t>June 30,</w:t>
            </w:r>
          </w:p>
        </w:tc>
        <w:tc>
          <w:tcPr>
            <w:tcW w:w="280" w:type="dxa"/>
            <w:vAlign w:val="bottom"/>
          </w:tcPr>
          <w:p>
            <w:pPr>
              <w:spacing w:after="0"/>
              <w:rPr>
                <w:sz w:val="11"/>
                <w:szCs w:val="11"/>
                <w:color w:val="auto"/>
              </w:rPr>
            </w:pPr>
          </w:p>
        </w:tc>
        <w:tc>
          <w:tcPr>
            <w:tcW w:w="1160" w:type="dxa"/>
            <w:vAlign w:val="bottom"/>
          </w:tcPr>
          <w:p>
            <w:pPr>
              <w:jc w:val="right"/>
              <w:ind w:right="382"/>
              <w:spacing w:after="0" w:line="136"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40" w:type="dxa"/>
            <w:vAlign w:val="bottom"/>
          </w:tcPr>
          <w:p>
            <w:pPr>
              <w:spacing w:after="0"/>
              <w:rPr>
                <w:sz w:val="11"/>
                <w:szCs w:val="11"/>
                <w:color w:val="auto"/>
              </w:rPr>
            </w:pPr>
          </w:p>
        </w:tc>
        <w:tc>
          <w:tcPr>
            <w:tcW w:w="1300" w:type="dxa"/>
            <w:vAlign w:val="bottom"/>
          </w:tcPr>
          <w:p>
            <w:pPr>
              <w:jc w:val="right"/>
              <w:ind w:right="382"/>
              <w:spacing w:after="0" w:line="136"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34"/>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Consumer</w:t>
            </w:r>
          </w:p>
        </w:tc>
        <w:tc>
          <w:tcPr>
            <w:tcW w:w="20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10,092,727</w:t>
            </w:r>
          </w:p>
        </w:tc>
        <w:tc>
          <w:tcPr>
            <w:tcW w:w="22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9,963,690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1"/>
                <w:szCs w:val="11"/>
                <w:color w:val="auto"/>
              </w:rPr>
              <w:t>9,977,239</w:t>
            </w:r>
          </w:p>
        </w:tc>
        <w:tc>
          <w:tcPr>
            <w:tcW w:w="28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10,178,988</w:t>
            </w:r>
          </w:p>
        </w:tc>
        <w:tc>
          <w:tcPr>
            <w:tcW w:w="2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10,295,563</w:t>
            </w:r>
          </w:p>
        </w:tc>
      </w:tr>
      <w:tr>
        <w:trPr>
          <w:trHeight w:val="142"/>
        </w:trPr>
        <w:tc>
          <w:tcPr>
            <w:tcW w:w="3980" w:type="dxa"/>
            <w:vAlign w:val="bottom"/>
          </w:tcPr>
          <w:p>
            <w:pPr>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tcPr>
          <w:p>
            <w:pPr>
              <w:spacing w:after="0"/>
              <w:rPr>
                <w:sz w:val="12"/>
                <w:szCs w:val="12"/>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1"/>
                <w:szCs w:val="11"/>
                <w:color w:val="auto"/>
              </w:rPr>
              <w:t>8,581,426</w:t>
            </w:r>
          </w:p>
        </w:tc>
        <w:tc>
          <w:tcPr>
            <w:tcW w:w="220" w:type="dxa"/>
            <w:vAlign w:val="bottom"/>
          </w:tcPr>
          <w:p>
            <w:pPr>
              <w:spacing w:after="0"/>
              <w:rPr>
                <w:sz w:val="12"/>
                <w:szCs w:val="12"/>
                <w:color w:val="auto"/>
              </w:rPr>
            </w:pP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1"/>
                <w:szCs w:val="11"/>
                <w:color w:val="auto"/>
              </w:rPr>
              <w:t>8,288,891</w:t>
            </w:r>
          </w:p>
        </w:tc>
        <w:tc>
          <w:tcPr>
            <w:tcW w:w="140" w:type="dxa"/>
            <w:vAlign w:val="bottom"/>
          </w:tcPr>
          <w:p>
            <w:pPr>
              <w:spacing w:after="0"/>
              <w:rPr>
                <w:sz w:val="12"/>
                <w:szCs w:val="12"/>
                <w:color w:val="auto"/>
              </w:rPr>
            </w:pP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8,138,358</w:t>
            </w:r>
          </w:p>
        </w:tc>
        <w:tc>
          <w:tcPr>
            <w:tcW w:w="280" w:type="dxa"/>
            <w:vAlign w:val="bottom"/>
          </w:tcPr>
          <w:p>
            <w:pPr>
              <w:spacing w:after="0"/>
              <w:rPr>
                <w:sz w:val="12"/>
                <w:szCs w:val="12"/>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8,611,960</w:t>
            </w:r>
          </w:p>
        </w:tc>
        <w:tc>
          <w:tcPr>
            <w:tcW w:w="240" w:type="dxa"/>
            <w:vAlign w:val="bottom"/>
          </w:tcPr>
          <w:p>
            <w:pPr>
              <w:spacing w:after="0"/>
              <w:rPr>
                <w:sz w:val="12"/>
                <w:szCs w:val="12"/>
                <w:color w:val="auto"/>
              </w:rPr>
            </w:pPr>
          </w:p>
        </w:tc>
        <w:tc>
          <w:tcPr>
            <w:tcW w:w="13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8,588,198</w:t>
            </w:r>
          </w:p>
        </w:tc>
      </w:tr>
      <w:tr>
        <w:trPr>
          <w:trHeight w:val="142"/>
        </w:trPr>
        <w:tc>
          <w:tcPr>
            <w:tcW w:w="3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Public and Other</w:t>
            </w:r>
          </w:p>
        </w:tc>
        <w:tc>
          <w:tcPr>
            <w:tcW w:w="20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2,029,917</w:t>
            </w:r>
          </w:p>
        </w:tc>
        <w:tc>
          <w:tcPr>
            <w:tcW w:w="22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1"/>
                <w:szCs w:val="11"/>
                <w:color w:val="auto"/>
              </w:rPr>
              <w:t>2,239,501</w:t>
            </w:r>
          </w:p>
        </w:tc>
        <w:tc>
          <w:tcPr>
            <w:tcW w:w="1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1"/>
                <w:szCs w:val="11"/>
                <w:color w:val="auto"/>
              </w:rPr>
              <w:t>1,903,004</w:t>
            </w:r>
          </w:p>
        </w:tc>
        <w:tc>
          <w:tcPr>
            <w:tcW w:w="28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1"/>
                <w:szCs w:val="11"/>
                <w:color w:val="auto"/>
              </w:rPr>
              <w:t>1,639,934</w:t>
            </w: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1"/>
                <w:szCs w:val="11"/>
                <w:color w:val="auto"/>
              </w:rPr>
              <w:t>1,457,566</w:t>
            </w:r>
          </w:p>
        </w:tc>
      </w:tr>
      <w:tr>
        <w:trPr>
          <w:trHeight w:val="134"/>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Total Deposits</w:t>
            </w: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rPr>
              <w:t>20,704,070</w:t>
            </w:r>
          </w:p>
        </w:tc>
        <w:tc>
          <w:tcPr>
            <w:tcW w:w="2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1"/>
                <w:szCs w:val="11"/>
                <w:color w:val="auto"/>
              </w:rPr>
              <w:t>20,492,082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color w:val="auto"/>
              </w:rPr>
              <w:t>20,018,601</w:t>
            </w:r>
          </w:p>
        </w:tc>
        <w:tc>
          <w:tcPr>
            <w:tcW w:w="2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20,430,882</w:t>
            </w:r>
          </w:p>
        </w:tc>
        <w:tc>
          <w:tcPr>
            <w:tcW w:w="24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color w:val="auto"/>
              </w:rPr>
              <w:t>20,341,327</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949"/>
        </w:trPr>
        <w:tc>
          <w:tcPr>
            <w:tcW w:w="3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Non-Performing Assets and Accruing Loans and Leases Past Due 90 Days or More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Table 11</w:t>
            </w:r>
          </w:p>
        </w:tc>
      </w:tr>
      <w:tr>
        <w:trPr>
          <w:trHeight w:val="128"/>
        </w:trPr>
        <w:tc>
          <w:tcPr>
            <w:tcW w:w="3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11"/>
                <w:szCs w:val="11"/>
                <w:color w:val="auto"/>
              </w:rPr>
            </w:pPr>
          </w:p>
        </w:tc>
        <w:tc>
          <w:tcPr>
            <w:tcW w:w="116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60" w:type="dxa"/>
            <w:vAlign w:val="bottom"/>
          </w:tcPr>
          <w:p>
            <w:pPr>
              <w:spacing w:after="0"/>
              <w:rPr>
                <w:sz w:val="11"/>
                <w:szCs w:val="11"/>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20" w:type="dxa"/>
            <w:vAlign w:val="bottom"/>
          </w:tcPr>
          <w:p>
            <w:pPr>
              <w:spacing w:after="0"/>
              <w:rPr>
                <w:sz w:val="11"/>
                <w:szCs w:val="11"/>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00" w:type="dxa"/>
            <w:vAlign w:val="bottom"/>
          </w:tcPr>
          <w:p>
            <w:pPr>
              <w:spacing w:after="0"/>
              <w:rPr>
                <w:sz w:val="11"/>
                <w:szCs w:val="11"/>
                <w:color w:val="auto"/>
              </w:rPr>
            </w:pPr>
          </w:p>
        </w:tc>
        <w:tc>
          <w:tcPr>
            <w:tcW w:w="122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6"/>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9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24"/>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Non-Performing Assets</w:t>
            </w:r>
          </w:p>
        </w:tc>
        <w:tc>
          <w:tcPr>
            <w:tcW w:w="9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r>
      <w:tr>
        <w:trPr>
          <w:trHeight w:val="126"/>
        </w:trPr>
        <w:tc>
          <w:tcPr>
            <w:tcW w:w="3540" w:type="dxa"/>
            <w:vAlign w:val="bottom"/>
          </w:tcPr>
          <w:p>
            <w:pPr>
              <w:spacing w:after="0"/>
              <w:rPr>
                <w:sz w:val="20"/>
                <w:szCs w:val="20"/>
                <w:color w:val="auto"/>
              </w:rPr>
            </w:pPr>
            <w:r>
              <w:rPr>
                <w:rFonts w:ascii="Times New Roman" w:cs="Times New Roman" w:eastAsia="Times New Roman" w:hAnsi="Times New Roman"/>
                <w:sz w:val="9"/>
                <w:szCs w:val="9"/>
                <w:color w:val="auto"/>
              </w:rPr>
              <w:t>Non-Accrual Loans and Leases</w:t>
            </w: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34"/>
        </w:trPr>
        <w:tc>
          <w:tcPr>
            <w:tcW w:w="3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Commercial</w:t>
            </w: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26"/>
        </w:trPr>
        <w:tc>
          <w:tcPr>
            <w:tcW w:w="3540" w:type="dxa"/>
            <w:vAlign w:val="bottom"/>
          </w:tcPr>
          <w:p>
            <w:pPr>
              <w:ind w:left="140"/>
              <w:spacing w:after="0"/>
              <w:rPr>
                <w:sz w:val="20"/>
                <w:szCs w:val="20"/>
                <w:color w:val="auto"/>
              </w:rPr>
            </w:pPr>
            <w:r>
              <w:rPr>
                <w:rFonts w:ascii="Times New Roman" w:cs="Times New Roman" w:eastAsia="Times New Roman" w:hAnsi="Times New Roman"/>
                <w:sz w:val="9"/>
                <w:szCs w:val="9"/>
                <w:color w:val="auto"/>
              </w:rPr>
              <w:t>Commercial and Industrial</w:t>
            </w: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39</w:t>
            </w:r>
          </w:p>
        </w:tc>
        <w:tc>
          <w:tcPr>
            <w:tcW w:w="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43</w:t>
            </w:r>
          </w:p>
        </w:tc>
        <w:tc>
          <w:tcPr>
            <w:tcW w:w="260" w:type="dxa"/>
            <w:vAlign w:val="bottom"/>
          </w:tcPr>
          <w:p>
            <w:pPr>
              <w:jc w:val="right"/>
              <w:ind w:right="13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17</w:t>
            </w:r>
          </w:p>
        </w:tc>
        <w:tc>
          <w:tcPr>
            <w:tcW w:w="220" w:type="dxa"/>
            <w:vAlign w:val="bottom"/>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31</w:t>
            </w:r>
          </w:p>
        </w:tc>
        <w:tc>
          <w:tcPr>
            <w:tcW w:w="20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9"/>
                <w:szCs w:val="9"/>
                <w:color w:val="auto"/>
              </w:rPr>
              <w:t>37</w:t>
            </w:r>
          </w:p>
        </w:tc>
      </w:tr>
      <w:tr>
        <w:trPr>
          <w:trHeight w:val="130"/>
        </w:trPr>
        <w:tc>
          <w:tcPr>
            <w:tcW w:w="35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Commercial Mortgage</w:t>
            </w:r>
          </w:p>
        </w:tc>
        <w:tc>
          <w:tcPr>
            <w:tcW w:w="96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2,884</w:t>
            </w:r>
          </w:p>
        </w:tc>
        <w:tc>
          <w:tcPr>
            <w:tcW w:w="18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2,996</w:t>
            </w:r>
          </w:p>
        </w:tc>
        <w:tc>
          <w:tcPr>
            <w:tcW w:w="2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3,107</w:t>
            </w:r>
          </w:p>
        </w:tc>
        <w:tc>
          <w:tcPr>
            <w:tcW w:w="22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3,216</w:t>
            </w:r>
          </w:p>
        </w:tc>
        <w:tc>
          <w:tcPr>
            <w:tcW w:w="20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3,309</w:t>
            </w:r>
          </w:p>
        </w:tc>
      </w:tr>
      <w:tr>
        <w:trPr>
          <w:trHeight w:val="122"/>
        </w:trPr>
        <w:tc>
          <w:tcPr>
            <w:tcW w:w="3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Total Commercial</w:t>
            </w:r>
          </w:p>
        </w:tc>
        <w:tc>
          <w:tcPr>
            <w:tcW w:w="9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2,923</w:t>
            </w: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3,039</w:t>
            </w: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3,124</w:t>
            </w: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3,247</w:t>
            </w: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color w:val="auto"/>
              </w:rPr>
              <w:t>3,346</w:t>
            </w:r>
          </w:p>
        </w:tc>
      </w:tr>
      <w:tr>
        <w:trPr>
          <w:trHeight w:val="126"/>
        </w:trPr>
        <w:tc>
          <w:tcPr>
            <w:tcW w:w="3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Consumer</w:t>
            </w:r>
          </w:p>
        </w:tc>
        <w:tc>
          <w:tcPr>
            <w:tcW w:w="9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r>
      <w:tr>
        <w:trPr>
          <w:trHeight w:val="126"/>
        </w:trPr>
        <w:tc>
          <w:tcPr>
            <w:tcW w:w="3540" w:type="dxa"/>
            <w:vAlign w:val="bottom"/>
          </w:tcPr>
          <w:p>
            <w:pPr>
              <w:ind w:left="140"/>
              <w:spacing w:after="0"/>
              <w:rPr>
                <w:sz w:val="20"/>
                <w:szCs w:val="20"/>
                <w:color w:val="auto"/>
              </w:rPr>
            </w:pPr>
            <w:r>
              <w:rPr>
                <w:rFonts w:ascii="Times New Roman" w:cs="Times New Roman" w:eastAsia="Times New Roman" w:hAnsi="Times New Roman"/>
                <w:sz w:val="9"/>
                <w:szCs w:val="9"/>
                <w:color w:val="auto"/>
              </w:rPr>
              <w:t>Residential Mortgage</w:t>
            </w:r>
          </w:p>
        </w:tc>
        <w:tc>
          <w:tcPr>
            <w:tcW w:w="960" w:type="dxa"/>
            <w:vAlign w:val="bottom"/>
          </w:tcPr>
          <w:p>
            <w:pPr>
              <w:spacing w:after="0"/>
              <w:rPr>
                <w:sz w:val="10"/>
                <w:szCs w:val="10"/>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2,935</w:t>
            </w:r>
          </w:p>
        </w:tc>
        <w:tc>
          <w:tcPr>
            <w:tcW w:w="180" w:type="dxa"/>
            <w:vAlign w:val="bottom"/>
          </w:tcPr>
          <w:p>
            <w:pPr>
              <w:spacing w:after="0"/>
              <w:rPr>
                <w:sz w:val="10"/>
                <w:szCs w:val="1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3,706</w:t>
            </w:r>
          </w:p>
        </w:tc>
        <w:tc>
          <w:tcPr>
            <w:tcW w:w="260" w:type="dxa"/>
            <w:vAlign w:val="bottom"/>
          </w:tcPr>
          <w:p>
            <w:pPr>
              <w:spacing w:after="0"/>
              <w:rPr>
                <w:sz w:val="10"/>
                <w:szCs w:val="1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3,504</w:t>
            </w:r>
          </w:p>
        </w:tc>
        <w:tc>
          <w:tcPr>
            <w:tcW w:w="220" w:type="dxa"/>
            <w:vAlign w:val="bottom"/>
          </w:tcPr>
          <w:p>
            <w:pPr>
              <w:spacing w:after="0"/>
              <w:rPr>
                <w:sz w:val="10"/>
                <w:szCs w:val="1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4,199</w:t>
            </w:r>
          </w:p>
        </w:tc>
        <w:tc>
          <w:tcPr>
            <w:tcW w:w="200" w:type="dxa"/>
            <w:vAlign w:val="bottom"/>
          </w:tcPr>
          <w:p>
            <w:pPr>
              <w:spacing w:after="0"/>
              <w:rPr>
                <w:sz w:val="10"/>
                <w:szCs w:val="10"/>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9"/>
                <w:szCs w:val="9"/>
                <w:color w:val="auto"/>
              </w:rPr>
              <w:t>4,239</w:t>
            </w:r>
          </w:p>
        </w:tc>
      </w:tr>
      <w:tr>
        <w:trPr>
          <w:trHeight w:val="130"/>
        </w:trPr>
        <w:tc>
          <w:tcPr>
            <w:tcW w:w="35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Home Equity</w:t>
            </w:r>
          </w:p>
        </w:tc>
        <w:tc>
          <w:tcPr>
            <w:tcW w:w="96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3,791</w:t>
            </w:r>
          </w:p>
        </w:tc>
        <w:tc>
          <w:tcPr>
            <w:tcW w:w="18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3,734</w:t>
            </w:r>
          </w:p>
        </w:tc>
        <w:tc>
          <w:tcPr>
            <w:tcW w:w="2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3,809</w:t>
            </w:r>
          </w:p>
        </w:tc>
        <w:tc>
          <w:tcPr>
            <w:tcW w:w="22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3,638</w:t>
            </w:r>
          </w:p>
        </w:tc>
        <w:tc>
          <w:tcPr>
            <w:tcW w:w="20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4,022</w:t>
            </w:r>
          </w:p>
        </w:tc>
      </w:tr>
      <w:tr>
        <w:trPr>
          <w:trHeight w:val="122"/>
        </w:trPr>
        <w:tc>
          <w:tcPr>
            <w:tcW w:w="3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Total Consumer</w:t>
            </w:r>
          </w:p>
        </w:tc>
        <w:tc>
          <w:tcPr>
            <w:tcW w:w="9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6,726</w:t>
            </w: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7,440</w:t>
            </w: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7,313</w:t>
            </w: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7,837</w:t>
            </w: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color w:val="auto"/>
              </w:rPr>
              <w:t>8,261</w:t>
            </w:r>
          </w:p>
        </w:tc>
      </w:tr>
      <w:tr>
        <w:trPr>
          <w:trHeight w:val="122"/>
        </w:trPr>
        <w:tc>
          <w:tcPr>
            <w:tcW w:w="3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Non-Accrual Loans and Leases</w:t>
            </w:r>
          </w:p>
        </w:tc>
        <w:tc>
          <w:tcPr>
            <w:tcW w:w="960" w:type="dxa"/>
            <w:vAlign w:val="bottom"/>
            <w:tcBorders>
              <w:bottom w:val="single" w:sz="8" w:color="auto"/>
            </w:tcBorders>
            <w:shd w:val="clear" w:color="auto" w:fill="CFF0FC"/>
          </w:tcPr>
          <w:p>
            <w:pPr>
              <w:spacing w:after="0"/>
              <w:rPr>
                <w:sz w:val="10"/>
                <w:szCs w:val="10"/>
                <w:color w:val="auto"/>
              </w:rPr>
            </w:pPr>
          </w:p>
        </w:tc>
        <w:tc>
          <w:tcPr>
            <w:tcW w:w="12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9,649</w:t>
            </w:r>
          </w:p>
        </w:tc>
        <w:tc>
          <w:tcPr>
            <w:tcW w:w="18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10,479</w:t>
            </w:r>
          </w:p>
        </w:tc>
        <w:tc>
          <w:tcPr>
            <w:tcW w:w="26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10,437</w:t>
            </w:r>
          </w:p>
        </w:tc>
        <w:tc>
          <w:tcPr>
            <w:tcW w:w="22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11,084</w:t>
            </w:r>
          </w:p>
        </w:tc>
        <w:tc>
          <w:tcPr>
            <w:tcW w:w="200" w:type="dxa"/>
            <w:vAlign w:val="bottom"/>
            <w:tcBorders>
              <w:bottom w:val="single" w:sz="8" w:color="auto"/>
            </w:tcBorders>
            <w:shd w:val="clear" w:color="auto" w:fill="CFF0FC"/>
          </w:tcPr>
          <w:p>
            <w:pPr>
              <w:spacing w:after="0"/>
              <w:rPr>
                <w:sz w:val="10"/>
                <w:szCs w:val="10"/>
                <w:color w:val="auto"/>
              </w:rPr>
            </w:pPr>
          </w:p>
        </w:tc>
        <w:tc>
          <w:tcPr>
            <w:tcW w:w="122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11,607</w:t>
            </w:r>
          </w:p>
        </w:tc>
      </w:tr>
      <w:tr>
        <w:trPr>
          <w:trHeight w:val="122"/>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Foreclosed Real Estate</w:t>
            </w:r>
          </w:p>
        </w:tc>
        <w:tc>
          <w:tcPr>
            <w:tcW w:w="9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2,098</w:t>
            </w: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1,040</w:t>
            </w: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1,040</w:t>
            </w: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1,040</w:t>
            </w: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color w:val="auto"/>
              </w:rPr>
              <w:t>1,040</w:t>
            </w:r>
          </w:p>
        </w:tc>
      </w:tr>
      <w:tr>
        <w:trPr>
          <w:trHeight w:val="163"/>
        </w:trPr>
        <w:tc>
          <w:tcPr>
            <w:tcW w:w="3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Non-Performing Assets</w:t>
            </w:r>
          </w:p>
        </w:tc>
        <w:tc>
          <w:tcPr>
            <w:tcW w:w="9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2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11,747</w:t>
            </w:r>
          </w:p>
        </w:tc>
        <w:tc>
          <w:tcPr>
            <w:tcW w:w="1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11,519</w:t>
            </w:r>
          </w:p>
        </w:tc>
        <w:tc>
          <w:tcPr>
            <w:tcW w:w="26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11,477</w:t>
            </w:r>
          </w:p>
        </w:tc>
        <w:tc>
          <w:tcPr>
            <w:tcW w:w="22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12,124</w:t>
            </w:r>
          </w:p>
        </w:tc>
        <w:tc>
          <w:tcPr>
            <w:tcW w:w="20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122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12,647</w:t>
            </w:r>
          </w:p>
        </w:tc>
      </w:tr>
      <w:tr>
        <w:trPr>
          <w:trHeight w:val="108"/>
        </w:trPr>
        <w:tc>
          <w:tcPr>
            <w:tcW w:w="3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Accruing Loans and Leases Past Due 90 Days or More</w:t>
            </w: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26"/>
        </w:trPr>
        <w:tc>
          <w:tcPr>
            <w:tcW w:w="3540" w:type="dxa"/>
            <w:vAlign w:val="bottom"/>
          </w:tcPr>
          <w:p>
            <w:pPr>
              <w:spacing w:after="0"/>
              <w:rPr>
                <w:sz w:val="20"/>
                <w:szCs w:val="20"/>
                <w:color w:val="auto"/>
              </w:rPr>
            </w:pPr>
            <w:r>
              <w:rPr>
                <w:rFonts w:ascii="Times New Roman" w:cs="Times New Roman" w:eastAsia="Times New Roman" w:hAnsi="Times New Roman"/>
                <w:sz w:val="9"/>
                <w:szCs w:val="9"/>
                <w:color w:val="auto"/>
              </w:rPr>
              <w:t>Consumer</w:t>
            </w: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34"/>
        </w:trPr>
        <w:tc>
          <w:tcPr>
            <w:tcW w:w="3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Residential Mortgage</w:t>
            </w: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2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3,814</w:t>
            </w:r>
          </w:p>
        </w:tc>
        <w:tc>
          <w:tcPr>
            <w:tcW w:w="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3,519</w:t>
            </w:r>
          </w:p>
        </w:tc>
        <w:tc>
          <w:tcPr>
            <w:tcW w:w="2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3,560</w:t>
            </w:r>
          </w:p>
        </w:tc>
        <w:tc>
          <w:tcPr>
            <w:tcW w:w="2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4,566</w:t>
            </w:r>
          </w:p>
        </w:tc>
        <w:tc>
          <w:tcPr>
            <w:tcW w:w="2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12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2,429</w:t>
            </w:r>
          </w:p>
        </w:tc>
      </w:tr>
      <w:tr>
        <w:trPr>
          <w:trHeight w:val="126"/>
        </w:trPr>
        <w:tc>
          <w:tcPr>
            <w:tcW w:w="3540" w:type="dxa"/>
            <w:vAlign w:val="bottom"/>
          </w:tcPr>
          <w:p>
            <w:pPr>
              <w:ind w:left="60"/>
              <w:spacing w:after="0"/>
              <w:rPr>
                <w:sz w:val="20"/>
                <w:szCs w:val="20"/>
                <w:color w:val="auto"/>
              </w:rPr>
            </w:pPr>
            <w:r>
              <w:rPr>
                <w:rFonts w:ascii="Times New Roman" w:cs="Times New Roman" w:eastAsia="Times New Roman" w:hAnsi="Times New Roman"/>
                <w:sz w:val="9"/>
                <w:szCs w:val="9"/>
                <w:color w:val="auto"/>
              </w:rPr>
              <w:t>Home Equity</w:t>
            </w:r>
          </w:p>
        </w:tc>
        <w:tc>
          <w:tcPr>
            <w:tcW w:w="960" w:type="dxa"/>
            <w:vAlign w:val="bottom"/>
          </w:tcPr>
          <w:p>
            <w:pPr>
              <w:spacing w:after="0"/>
              <w:rPr>
                <w:sz w:val="10"/>
                <w:szCs w:val="10"/>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1,734</w:t>
            </w:r>
          </w:p>
        </w:tc>
        <w:tc>
          <w:tcPr>
            <w:tcW w:w="180" w:type="dxa"/>
            <w:vAlign w:val="bottom"/>
          </w:tcPr>
          <w:p>
            <w:pPr>
              <w:spacing w:after="0"/>
              <w:rPr>
                <w:sz w:val="10"/>
                <w:szCs w:val="1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2,172</w:t>
            </w:r>
          </w:p>
        </w:tc>
        <w:tc>
          <w:tcPr>
            <w:tcW w:w="260" w:type="dxa"/>
            <w:vAlign w:val="bottom"/>
          </w:tcPr>
          <w:p>
            <w:pPr>
              <w:spacing w:after="0"/>
              <w:rPr>
                <w:sz w:val="10"/>
                <w:szCs w:val="1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2,022</w:t>
            </w:r>
          </w:p>
        </w:tc>
        <w:tc>
          <w:tcPr>
            <w:tcW w:w="220" w:type="dxa"/>
            <w:vAlign w:val="bottom"/>
          </w:tcPr>
          <w:p>
            <w:pPr>
              <w:spacing w:after="0"/>
              <w:rPr>
                <w:sz w:val="10"/>
                <w:szCs w:val="1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1,723</w:t>
            </w:r>
          </w:p>
        </w:tc>
        <w:tc>
          <w:tcPr>
            <w:tcW w:w="200" w:type="dxa"/>
            <w:vAlign w:val="bottom"/>
          </w:tcPr>
          <w:p>
            <w:pPr>
              <w:spacing w:after="0"/>
              <w:rPr>
                <w:sz w:val="10"/>
                <w:szCs w:val="10"/>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9"/>
                <w:szCs w:val="9"/>
                <w:color w:val="auto"/>
              </w:rPr>
              <w:t>1,673</w:t>
            </w:r>
          </w:p>
        </w:tc>
      </w:tr>
      <w:tr>
        <w:trPr>
          <w:trHeight w:val="134"/>
        </w:trPr>
        <w:tc>
          <w:tcPr>
            <w:tcW w:w="3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Automobile</w:t>
            </w: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399</w:t>
            </w: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393</w:t>
            </w:r>
          </w:p>
        </w:tc>
        <w:tc>
          <w:tcPr>
            <w:tcW w:w="2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577</w:t>
            </w:r>
          </w:p>
        </w:tc>
        <w:tc>
          <w:tcPr>
            <w:tcW w:w="22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598</w:t>
            </w: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589</w:t>
            </w:r>
          </w:p>
        </w:tc>
      </w:tr>
      <w:tr>
        <w:trPr>
          <w:trHeight w:val="130"/>
        </w:trPr>
        <w:tc>
          <w:tcPr>
            <w:tcW w:w="3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 xml:space="preserve">Other </w:t>
            </w:r>
            <w:r>
              <w:rPr>
                <w:rFonts w:ascii="Times New Roman" w:cs="Times New Roman" w:eastAsia="Times New Roman" w:hAnsi="Times New Roman"/>
                <w:sz w:val="10"/>
                <w:szCs w:val="10"/>
                <w:color w:val="auto"/>
                <w:vertAlign w:val="superscript"/>
              </w:rPr>
              <w:t>1</w:t>
            </w:r>
          </w:p>
        </w:tc>
        <w:tc>
          <w:tcPr>
            <w:tcW w:w="9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648</w:t>
            </w: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643</w:t>
            </w: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633</w:t>
            </w: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632</w:t>
            </w: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color w:val="auto"/>
              </w:rPr>
              <w:t>683</w:t>
            </w:r>
          </w:p>
        </w:tc>
      </w:tr>
      <w:tr>
        <w:trPr>
          <w:trHeight w:val="118"/>
        </w:trPr>
        <w:tc>
          <w:tcPr>
            <w:tcW w:w="3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Consumer</w:t>
            </w:r>
          </w:p>
        </w:tc>
        <w:tc>
          <w:tcPr>
            <w:tcW w:w="960" w:type="dxa"/>
            <w:vAlign w:val="bottom"/>
            <w:tcBorders>
              <w:bottom w:val="single" w:sz="8" w:color="auto"/>
            </w:tcBorders>
            <w:shd w:val="clear" w:color="auto" w:fill="CFF0FC"/>
          </w:tcPr>
          <w:p>
            <w:pPr>
              <w:spacing w:after="0"/>
              <w:rPr>
                <w:sz w:val="10"/>
                <w:szCs w:val="10"/>
                <w:color w:val="auto"/>
              </w:rPr>
            </w:pPr>
          </w:p>
        </w:tc>
        <w:tc>
          <w:tcPr>
            <w:tcW w:w="12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6,595</w:t>
            </w:r>
          </w:p>
        </w:tc>
        <w:tc>
          <w:tcPr>
            <w:tcW w:w="18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6,727</w:t>
            </w:r>
          </w:p>
        </w:tc>
        <w:tc>
          <w:tcPr>
            <w:tcW w:w="26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6,792</w:t>
            </w:r>
          </w:p>
        </w:tc>
        <w:tc>
          <w:tcPr>
            <w:tcW w:w="22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7,519</w:t>
            </w:r>
          </w:p>
        </w:tc>
        <w:tc>
          <w:tcPr>
            <w:tcW w:w="200" w:type="dxa"/>
            <w:vAlign w:val="bottom"/>
            <w:tcBorders>
              <w:bottom w:val="single" w:sz="8" w:color="auto"/>
            </w:tcBorders>
            <w:shd w:val="clear" w:color="auto" w:fill="CFF0FC"/>
          </w:tcPr>
          <w:p>
            <w:pPr>
              <w:spacing w:after="0"/>
              <w:rPr>
                <w:sz w:val="10"/>
                <w:szCs w:val="10"/>
                <w:color w:val="auto"/>
              </w:rPr>
            </w:pPr>
          </w:p>
        </w:tc>
        <w:tc>
          <w:tcPr>
            <w:tcW w:w="122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5,374</w:t>
            </w:r>
          </w:p>
        </w:tc>
      </w:tr>
      <w:tr>
        <w:trPr>
          <w:trHeight w:val="12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Total Accruing Loans and Leases Past Due 90 Days or More</w:t>
            </w:r>
          </w:p>
        </w:tc>
        <w:tc>
          <w:tcPr>
            <w:tcW w:w="9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6,595</w:t>
            </w:r>
          </w:p>
        </w:tc>
        <w:tc>
          <w:tcPr>
            <w:tcW w:w="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6,727</w:t>
            </w:r>
          </w:p>
        </w:tc>
        <w:tc>
          <w:tcPr>
            <w:tcW w:w="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6,792</w:t>
            </w:r>
          </w:p>
        </w:tc>
        <w:tc>
          <w:tcPr>
            <w:tcW w:w="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7,519</w:t>
            </w:r>
          </w:p>
        </w:tc>
        <w:tc>
          <w:tcPr>
            <w:tcW w:w="2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color w:val="auto"/>
              </w:rPr>
              <w:t>5,374</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6"/>
        </w:trPr>
        <w:tc>
          <w:tcPr>
            <w:tcW w:w="3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Loans and Leases</w:t>
            </w:r>
          </w:p>
        </w:tc>
        <w:tc>
          <w:tcPr>
            <w:tcW w:w="96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2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13,965,026</w:t>
            </w:r>
          </w:p>
        </w:tc>
        <w:tc>
          <w:tcPr>
            <w:tcW w:w="180" w:type="dxa"/>
            <w:vAlign w:val="bottom"/>
            <w:tcBorders>
              <w:bottom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13,919,491</w:t>
            </w:r>
          </w:p>
        </w:tc>
        <w:tc>
          <w:tcPr>
            <w:tcW w:w="26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13,914,889</w:t>
            </w:r>
          </w:p>
        </w:tc>
        <w:tc>
          <w:tcPr>
            <w:tcW w:w="22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13,824,522</w:t>
            </w:r>
          </w:p>
        </w:tc>
        <w:tc>
          <w:tcPr>
            <w:tcW w:w="200" w:type="dxa"/>
            <w:vAlign w:val="bottom"/>
            <w:tcBorders>
              <w:bottom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122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13,646,420</w:t>
            </w:r>
          </w:p>
        </w:tc>
      </w:tr>
      <w:tr>
        <w:trPr>
          <w:trHeight w:val="108"/>
        </w:trPr>
        <w:tc>
          <w:tcPr>
            <w:tcW w:w="3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26"/>
        </w:trPr>
        <w:tc>
          <w:tcPr>
            <w:tcW w:w="3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Ratio of Non-Accrual Loans and Leases to Total Loans and Leases</w:t>
            </w:r>
          </w:p>
        </w:tc>
        <w:tc>
          <w:tcPr>
            <w:tcW w:w="960" w:type="dxa"/>
            <w:vAlign w:val="bottom"/>
            <w:tcBorders>
              <w:bottom w:val="single" w:sz="8" w:color="auto"/>
            </w:tcBorders>
            <w:shd w:val="clear" w:color="auto" w:fill="CFF0FC"/>
          </w:tcPr>
          <w:p>
            <w:pPr>
              <w:spacing w:after="0"/>
              <w:rPr>
                <w:sz w:val="10"/>
                <w:szCs w:val="1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0.07 %</w:t>
            </w:r>
          </w:p>
        </w:tc>
        <w:tc>
          <w:tcPr>
            <w:tcW w:w="18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0.08 %</w:t>
            </w:r>
          </w:p>
        </w:tc>
        <w:tc>
          <w:tcPr>
            <w:tcW w:w="26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0.08 %</w:t>
            </w:r>
          </w:p>
        </w:tc>
        <w:tc>
          <w:tcPr>
            <w:tcW w:w="22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0.08 %</w:t>
            </w:r>
          </w:p>
        </w:tc>
        <w:tc>
          <w:tcPr>
            <w:tcW w:w="200" w:type="dxa"/>
            <w:vAlign w:val="bottom"/>
            <w:tcBorders>
              <w:bottom w:val="single" w:sz="8" w:color="auto"/>
            </w:tcBorders>
            <w:shd w:val="clear" w:color="auto" w:fill="CFF0FC"/>
          </w:tcPr>
          <w:p>
            <w:pPr>
              <w:spacing w:after="0"/>
              <w:rPr>
                <w:sz w:val="10"/>
                <w:szCs w:val="1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0.09 %</w:t>
            </w:r>
          </w:p>
        </w:tc>
      </w:tr>
      <w:tr>
        <w:trPr>
          <w:trHeight w:val="126"/>
        </w:trPr>
        <w:tc>
          <w:tcPr>
            <w:tcW w:w="3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Ratio of Non-Performing Assets to Total Loans and Leases</w:t>
            </w: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26"/>
        </w:trPr>
        <w:tc>
          <w:tcPr>
            <w:tcW w:w="3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and Foreclosed Real Estate</w:t>
            </w:r>
          </w:p>
        </w:tc>
        <w:tc>
          <w:tcPr>
            <w:tcW w:w="9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0.08 %</w:t>
            </w: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0.08 %</w:t>
            </w: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0.08 %</w:t>
            </w: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0.09 %</w:t>
            </w: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0.09 %</w:t>
            </w:r>
          </w:p>
        </w:tc>
      </w:tr>
      <w:tr>
        <w:trPr>
          <w:trHeight w:val="126"/>
        </w:trPr>
        <w:tc>
          <w:tcPr>
            <w:tcW w:w="35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r>
      <w:tr>
        <w:trPr>
          <w:trHeight w:val="126"/>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Ratio of Non-Performing Assets to Total Assets</w:t>
            </w:r>
          </w:p>
        </w:tc>
        <w:tc>
          <w:tcPr>
            <w:tcW w:w="9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0.05 %</w:t>
            </w: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0.05 %</w:t>
            </w: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0.04 %</w:t>
            </w: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0.05 %</w:t>
            </w: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0.05 %</w:t>
            </w:r>
          </w:p>
        </w:tc>
      </w:tr>
      <w:tr>
        <w:trPr>
          <w:trHeight w:val="126"/>
        </w:trPr>
        <w:tc>
          <w:tcPr>
            <w:tcW w:w="35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r>
      <w:tr>
        <w:trPr>
          <w:trHeight w:val="126"/>
        </w:trPr>
        <w:tc>
          <w:tcPr>
            <w:tcW w:w="3540" w:type="dxa"/>
            <w:vAlign w:val="bottom"/>
          </w:tcPr>
          <w:p>
            <w:pPr>
              <w:spacing w:after="0"/>
              <w:rPr>
                <w:sz w:val="20"/>
                <w:szCs w:val="20"/>
                <w:color w:val="auto"/>
              </w:rPr>
            </w:pPr>
            <w:r>
              <w:rPr>
                <w:rFonts w:ascii="Times New Roman" w:cs="Times New Roman" w:eastAsia="Times New Roman" w:hAnsi="Times New Roman"/>
                <w:sz w:val="9"/>
                <w:szCs w:val="9"/>
                <w:color w:val="auto"/>
              </w:rPr>
              <w:t>Ratio of Commercial Non-Performing Assets to Total Commercial Loans</w:t>
            </w: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30"/>
        </w:trPr>
        <w:tc>
          <w:tcPr>
            <w:tcW w:w="35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and Leases and Commercial Foreclosed Real Estate</w:t>
            </w:r>
          </w:p>
        </w:tc>
        <w:tc>
          <w:tcPr>
            <w:tcW w:w="960" w:type="dxa"/>
            <w:vAlign w:val="bottom"/>
            <w:tcBorders>
              <w:bottom w:val="single" w:sz="8" w:color="auto"/>
            </w:tcBorders>
            <w:shd w:val="clear" w:color="auto" w:fill="CFF0FC"/>
          </w:tcPr>
          <w:p>
            <w:pPr>
              <w:spacing w:after="0"/>
              <w:rPr>
                <w:sz w:val="11"/>
                <w:szCs w:val="1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0.05 %</w:t>
            </w:r>
          </w:p>
        </w:tc>
        <w:tc>
          <w:tcPr>
            <w:tcW w:w="18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0.05 %</w:t>
            </w:r>
          </w:p>
        </w:tc>
        <w:tc>
          <w:tcPr>
            <w:tcW w:w="26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0.06 %</w:t>
            </w:r>
          </w:p>
        </w:tc>
        <w:tc>
          <w:tcPr>
            <w:tcW w:w="22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0.06 %</w:t>
            </w:r>
          </w:p>
        </w:tc>
        <w:tc>
          <w:tcPr>
            <w:tcW w:w="20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0.06 %</w:t>
            </w:r>
          </w:p>
        </w:tc>
      </w:tr>
      <w:tr>
        <w:trPr>
          <w:trHeight w:val="126"/>
        </w:trPr>
        <w:tc>
          <w:tcPr>
            <w:tcW w:w="3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Ratio of Consumer Non-Performing Assets to Total Consumer Loans</w:t>
            </w: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26"/>
        </w:trPr>
        <w:tc>
          <w:tcPr>
            <w:tcW w:w="3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and Leases and Consumer Foreclosed Real Estate</w:t>
            </w:r>
          </w:p>
        </w:tc>
        <w:tc>
          <w:tcPr>
            <w:tcW w:w="9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0.11 %</w:t>
            </w: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0.10 %</w:t>
            </w: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0.10 %</w:t>
            </w: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0.11 %</w:t>
            </w: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0.11 %</w:t>
            </w:r>
          </w:p>
        </w:tc>
      </w:tr>
      <w:tr>
        <w:trPr>
          <w:trHeight w:val="126"/>
        </w:trPr>
        <w:tc>
          <w:tcPr>
            <w:tcW w:w="35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r>
      <w:tr>
        <w:trPr>
          <w:trHeight w:val="126"/>
        </w:trPr>
        <w:tc>
          <w:tcPr>
            <w:tcW w:w="3540" w:type="dxa"/>
            <w:vAlign w:val="bottom"/>
          </w:tcPr>
          <w:p>
            <w:pPr>
              <w:spacing w:after="0"/>
              <w:rPr>
                <w:sz w:val="20"/>
                <w:szCs w:val="20"/>
                <w:color w:val="auto"/>
              </w:rPr>
            </w:pPr>
            <w:r>
              <w:rPr>
                <w:rFonts w:ascii="Times New Roman" w:cs="Times New Roman" w:eastAsia="Times New Roman" w:hAnsi="Times New Roman"/>
                <w:sz w:val="9"/>
                <w:szCs w:val="9"/>
                <w:color w:val="auto"/>
              </w:rPr>
              <w:t>Ratio of Non-Performing Assets and Accruing Loans and Leases</w:t>
            </w:r>
          </w:p>
        </w:tc>
        <w:tc>
          <w:tcPr>
            <w:tcW w:w="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34"/>
        </w:trPr>
        <w:tc>
          <w:tcPr>
            <w:tcW w:w="3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Past Due 90 Days or More to Total Loans and Leases</w:t>
            </w: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26"/>
        </w:trPr>
        <w:tc>
          <w:tcPr>
            <w:tcW w:w="3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and Foreclosed Real Estate</w:t>
            </w:r>
          </w:p>
        </w:tc>
        <w:tc>
          <w:tcPr>
            <w:tcW w:w="9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0.13 %</w:t>
            </w: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0.13 %</w:t>
            </w: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0.13 %</w:t>
            </w: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0.14 %</w:t>
            </w: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0.13 %</w:t>
            </w:r>
          </w:p>
        </w:tc>
      </w:tr>
      <w:tr>
        <w:trPr>
          <w:trHeight w:val="126"/>
        </w:trPr>
        <w:tc>
          <w:tcPr>
            <w:tcW w:w="354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r>
      <w:tr>
        <w:trPr>
          <w:trHeight w:val="127"/>
        </w:trPr>
        <w:tc>
          <w:tcPr>
            <w:tcW w:w="35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Quarter to Quarter Changes in Non-Performing Assets</w:t>
            </w:r>
          </w:p>
        </w:tc>
        <w:tc>
          <w:tcPr>
            <w:tcW w:w="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3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Balance at Beginning of Quarter</w:t>
            </w:r>
          </w:p>
        </w:tc>
        <w:tc>
          <w:tcPr>
            <w:tcW w:w="9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2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11,519</w:t>
            </w:r>
          </w:p>
        </w:tc>
        <w:tc>
          <w:tcPr>
            <w:tcW w:w="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11,477</w:t>
            </w:r>
          </w:p>
        </w:tc>
        <w:tc>
          <w:tcPr>
            <w:tcW w:w="26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12,124</w:t>
            </w:r>
          </w:p>
        </w:tc>
        <w:tc>
          <w:tcPr>
            <w:tcW w:w="220" w:type="dxa"/>
            <w:vAlign w:val="bottom"/>
            <w:shd w:val="clear" w:color="auto" w:fill="CFF0FC"/>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12,647</w:t>
            </w:r>
          </w:p>
        </w:tc>
        <w:tc>
          <w:tcPr>
            <w:tcW w:w="2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12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13,868</w:t>
            </w:r>
          </w:p>
        </w:tc>
      </w:tr>
      <w:tr>
        <w:trPr>
          <w:trHeight w:val="126"/>
        </w:trPr>
        <w:tc>
          <w:tcPr>
            <w:tcW w:w="3540" w:type="dxa"/>
            <w:vAlign w:val="bottom"/>
          </w:tcPr>
          <w:p>
            <w:pPr>
              <w:spacing w:after="0"/>
              <w:rPr>
                <w:sz w:val="20"/>
                <w:szCs w:val="20"/>
                <w:color w:val="auto"/>
              </w:rPr>
            </w:pPr>
            <w:r>
              <w:rPr>
                <w:rFonts w:ascii="Times New Roman" w:cs="Times New Roman" w:eastAsia="Times New Roman" w:hAnsi="Times New Roman"/>
                <w:sz w:val="9"/>
                <w:szCs w:val="9"/>
                <w:color w:val="auto"/>
              </w:rPr>
              <w:t>Additions</w:t>
            </w:r>
          </w:p>
        </w:tc>
        <w:tc>
          <w:tcPr>
            <w:tcW w:w="960" w:type="dxa"/>
            <w:vAlign w:val="bottom"/>
          </w:tcPr>
          <w:p>
            <w:pPr>
              <w:spacing w:after="0"/>
              <w:rPr>
                <w:sz w:val="10"/>
                <w:szCs w:val="10"/>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2,683</w:t>
            </w:r>
          </w:p>
        </w:tc>
        <w:tc>
          <w:tcPr>
            <w:tcW w:w="180" w:type="dxa"/>
            <w:vAlign w:val="bottom"/>
          </w:tcPr>
          <w:p>
            <w:pPr>
              <w:spacing w:after="0"/>
              <w:rPr>
                <w:sz w:val="10"/>
                <w:szCs w:val="1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1,318</w:t>
            </w:r>
          </w:p>
        </w:tc>
        <w:tc>
          <w:tcPr>
            <w:tcW w:w="260" w:type="dxa"/>
            <w:vAlign w:val="bottom"/>
          </w:tcPr>
          <w:p>
            <w:pPr>
              <w:spacing w:after="0"/>
              <w:rPr>
                <w:sz w:val="10"/>
                <w:szCs w:val="1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1,116</w:t>
            </w:r>
          </w:p>
        </w:tc>
        <w:tc>
          <w:tcPr>
            <w:tcW w:w="220" w:type="dxa"/>
            <w:vAlign w:val="bottom"/>
          </w:tcPr>
          <w:p>
            <w:pPr>
              <w:spacing w:after="0"/>
              <w:rPr>
                <w:sz w:val="10"/>
                <w:szCs w:val="1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552</w:t>
            </w:r>
          </w:p>
        </w:tc>
        <w:tc>
          <w:tcPr>
            <w:tcW w:w="200" w:type="dxa"/>
            <w:vAlign w:val="bottom"/>
          </w:tcPr>
          <w:p>
            <w:pPr>
              <w:spacing w:after="0"/>
              <w:rPr>
                <w:sz w:val="10"/>
                <w:szCs w:val="10"/>
                <w:color w:val="auto"/>
              </w:rPr>
            </w:pPr>
          </w:p>
        </w:tc>
        <w:tc>
          <w:tcPr>
            <w:tcW w:w="1220" w:type="dxa"/>
            <w:vAlign w:val="bottom"/>
          </w:tcPr>
          <w:p>
            <w:pPr>
              <w:jc w:val="right"/>
              <w:ind w:right="71"/>
              <w:spacing w:after="0"/>
              <w:rPr>
                <w:sz w:val="20"/>
                <w:szCs w:val="20"/>
                <w:color w:val="auto"/>
              </w:rPr>
            </w:pPr>
            <w:r>
              <w:rPr>
                <w:rFonts w:ascii="Times New Roman" w:cs="Times New Roman" w:eastAsia="Times New Roman" w:hAnsi="Times New Roman"/>
                <w:sz w:val="9"/>
                <w:szCs w:val="9"/>
                <w:color w:val="auto"/>
              </w:rPr>
              <w:t>704</w:t>
            </w:r>
          </w:p>
        </w:tc>
      </w:tr>
      <w:tr>
        <w:trPr>
          <w:trHeight w:val="134"/>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Reductions</w:t>
            </w: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26"/>
        </w:trPr>
        <w:tc>
          <w:tcPr>
            <w:tcW w:w="3540" w:type="dxa"/>
            <w:vAlign w:val="bottom"/>
          </w:tcPr>
          <w:p>
            <w:pPr>
              <w:ind w:left="60"/>
              <w:spacing w:after="0"/>
              <w:rPr>
                <w:sz w:val="20"/>
                <w:szCs w:val="20"/>
                <w:color w:val="auto"/>
              </w:rPr>
            </w:pPr>
            <w:r>
              <w:rPr>
                <w:rFonts w:ascii="Times New Roman" w:cs="Times New Roman" w:eastAsia="Times New Roman" w:hAnsi="Times New Roman"/>
                <w:sz w:val="9"/>
                <w:szCs w:val="9"/>
                <w:color w:val="auto"/>
              </w:rPr>
              <w:t>Payments</w:t>
            </w:r>
          </w:p>
        </w:tc>
        <w:tc>
          <w:tcPr>
            <w:tcW w:w="960" w:type="dxa"/>
            <w:vAlign w:val="bottom"/>
          </w:tcPr>
          <w:p>
            <w:pPr>
              <w:spacing w:after="0"/>
              <w:rPr>
                <w:sz w:val="10"/>
                <w:szCs w:val="10"/>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9"/>
                <w:szCs w:val="9"/>
                <w:color w:val="auto"/>
              </w:rPr>
              <w:t>(2,018 )</w:t>
            </w:r>
          </w:p>
        </w:tc>
        <w:tc>
          <w:tcPr>
            <w:tcW w:w="180" w:type="dxa"/>
            <w:vAlign w:val="bottom"/>
          </w:tcPr>
          <w:p>
            <w:pPr>
              <w:spacing w:after="0"/>
              <w:rPr>
                <w:sz w:val="10"/>
                <w:szCs w:val="1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9"/>
                <w:szCs w:val="9"/>
                <w:color w:val="auto"/>
              </w:rPr>
              <w:t>(1,017 )</w:t>
            </w:r>
          </w:p>
        </w:tc>
        <w:tc>
          <w:tcPr>
            <w:tcW w:w="260" w:type="dxa"/>
            <w:vAlign w:val="bottom"/>
          </w:tcPr>
          <w:p>
            <w:pPr>
              <w:spacing w:after="0"/>
              <w:rPr>
                <w:sz w:val="10"/>
                <w:szCs w:val="1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(226 )</w:t>
            </w:r>
          </w:p>
        </w:tc>
        <w:tc>
          <w:tcPr>
            <w:tcW w:w="220" w:type="dxa"/>
            <w:vAlign w:val="bottom"/>
          </w:tcPr>
          <w:p>
            <w:pPr>
              <w:spacing w:after="0"/>
              <w:rPr>
                <w:sz w:val="10"/>
                <w:szCs w:val="1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9"/>
                <w:szCs w:val="9"/>
                <w:color w:val="auto"/>
              </w:rPr>
              <w:t>(778 )</w:t>
            </w:r>
          </w:p>
        </w:tc>
        <w:tc>
          <w:tcPr>
            <w:tcW w:w="200" w:type="dxa"/>
            <w:vAlign w:val="bottom"/>
          </w:tcPr>
          <w:p>
            <w:pPr>
              <w:spacing w:after="0"/>
              <w:rPr>
                <w:sz w:val="10"/>
                <w:szCs w:val="1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9"/>
                <w:szCs w:val="9"/>
                <w:color w:val="auto"/>
              </w:rPr>
              <w:t>(1,605 )</w:t>
            </w:r>
          </w:p>
        </w:tc>
      </w:tr>
      <w:tr>
        <w:trPr>
          <w:trHeight w:val="134"/>
        </w:trPr>
        <w:tc>
          <w:tcPr>
            <w:tcW w:w="35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Return to Accrual Status</w:t>
            </w:r>
          </w:p>
        </w:tc>
        <w:tc>
          <w:tcPr>
            <w:tcW w:w="960" w:type="dxa"/>
            <w:vAlign w:val="bottom"/>
            <w:shd w:val="clear" w:color="auto" w:fill="CFF0FC"/>
          </w:tcPr>
          <w:p>
            <w:pPr>
              <w:spacing w:after="0"/>
              <w:rPr>
                <w:sz w:val="11"/>
                <w:szCs w:val="11"/>
                <w:color w:val="auto"/>
              </w:rPr>
            </w:pPr>
          </w:p>
        </w:tc>
        <w:tc>
          <w:tcPr>
            <w:tcW w:w="1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(437 )</w:t>
            </w:r>
          </w:p>
        </w:tc>
        <w:tc>
          <w:tcPr>
            <w:tcW w:w="18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(259 )</w:t>
            </w:r>
          </w:p>
        </w:tc>
        <w:tc>
          <w:tcPr>
            <w:tcW w:w="26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(1,527 )</w:t>
            </w:r>
          </w:p>
        </w:tc>
        <w:tc>
          <w:tcPr>
            <w:tcW w:w="22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(297 )</w:t>
            </w:r>
          </w:p>
        </w:tc>
        <w:tc>
          <w:tcPr>
            <w:tcW w:w="20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(301 )</w:t>
            </w:r>
          </w:p>
        </w:tc>
      </w:tr>
      <w:tr>
        <w:trPr>
          <w:trHeight w:val="126"/>
        </w:trPr>
        <w:tc>
          <w:tcPr>
            <w:tcW w:w="3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9"/>
                <w:szCs w:val="9"/>
                <w:color w:val="auto"/>
              </w:rPr>
              <w:t>Charge-offs / Write-downs</w:t>
            </w:r>
          </w:p>
        </w:tc>
        <w:tc>
          <w:tcPr>
            <w:tcW w:w="9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9"/>
                <w:szCs w:val="9"/>
                <w:color w:val="auto"/>
              </w:rPr>
              <w:t>(10 )</w:t>
            </w: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9"/>
                <w:szCs w:val="9"/>
                <w:color w:val="auto"/>
              </w:rPr>
              <w:t>(19 )</w:t>
            </w:r>
          </w:p>
        </w:tc>
      </w:tr>
      <w:tr>
        <w:trPr>
          <w:trHeight w:val="122"/>
        </w:trPr>
        <w:tc>
          <w:tcPr>
            <w:tcW w:w="3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Reductions</w:t>
            </w:r>
          </w:p>
        </w:tc>
        <w:tc>
          <w:tcPr>
            <w:tcW w:w="960" w:type="dxa"/>
            <w:vAlign w:val="bottom"/>
            <w:tcBorders>
              <w:bottom w:val="single" w:sz="8" w:color="auto"/>
            </w:tcBorders>
            <w:shd w:val="clear" w:color="auto" w:fill="CFF0FC"/>
          </w:tcPr>
          <w:p>
            <w:pPr>
              <w:spacing w:after="0"/>
              <w:rPr>
                <w:sz w:val="10"/>
                <w:szCs w:val="10"/>
                <w:color w:val="auto"/>
              </w:rPr>
            </w:pPr>
          </w:p>
        </w:tc>
        <w:tc>
          <w:tcPr>
            <w:tcW w:w="12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(2,455 )</w:t>
            </w:r>
          </w:p>
        </w:tc>
        <w:tc>
          <w:tcPr>
            <w:tcW w:w="18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(1,276 )</w:t>
            </w:r>
          </w:p>
        </w:tc>
        <w:tc>
          <w:tcPr>
            <w:tcW w:w="26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(1,763 )</w:t>
            </w:r>
          </w:p>
        </w:tc>
        <w:tc>
          <w:tcPr>
            <w:tcW w:w="22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(1,075 )</w:t>
            </w:r>
          </w:p>
        </w:tc>
        <w:tc>
          <w:tcPr>
            <w:tcW w:w="200" w:type="dxa"/>
            <w:vAlign w:val="bottom"/>
            <w:tcBorders>
              <w:bottom w:val="single" w:sz="8" w:color="auto"/>
            </w:tcBorders>
            <w:shd w:val="clear" w:color="auto" w:fill="CFF0FC"/>
          </w:tcPr>
          <w:p>
            <w:pPr>
              <w:spacing w:after="0"/>
              <w:rPr>
                <w:sz w:val="10"/>
                <w:szCs w:val="10"/>
                <w:color w:val="auto"/>
              </w:rPr>
            </w:pPr>
          </w:p>
        </w:tc>
        <w:tc>
          <w:tcPr>
            <w:tcW w:w="12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(1,925 )</w:t>
            </w:r>
          </w:p>
        </w:tc>
      </w:tr>
      <w:tr>
        <w:trPr>
          <w:trHeight w:val="12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Balance at End of Quarter</w:t>
            </w:r>
          </w:p>
        </w:tc>
        <w:tc>
          <w:tcPr>
            <w:tcW w:w="9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rPr>
              <w:t>$</w:t>
            </w:r>
          </w:p>
        </w:tc>
        <w:tc>
          <w:tcPr>
            <w:tcW w:w="12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11,747</w:t>
            </w:r>
          </w:p>
        </w:tc>
        <w:tc>
          <w:tcPr>
            <w:tcW w:w="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11,519</w:t>
            </w:r>
          </w:p>
        </w:tc>
        <w:tc>
          <w:tcPr>
            <w:tcW w:w="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9"/>
                <w:szCs w:val="9"/>
                <w:color w:val="auto"/>
              </w:rPr>
              <w:t>$</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11,477</w:t>
            </w:r>
          </w:p>
        </w:tc>
        <w:tc>
          <w:tcPr>
            <w:tcW w:w="2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9"/>
                <w:szCs w:val="9"/>
                <w:color w:val="auto"/>
                <w:w w:val="87"/>
              </w:rPr>
              <w:t>$</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12,124</w:t>
            </w:r>
          </w:p>
        </w:tc>
        <w:tc>
          <w:tcPr>
            <w:tcW w:w="2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9"/>
                <w:szCs w:val="9"/>
                <w:color w:val="auto"/>
                <w:w w:val="87"/>
              </w:rPr>
              <w:t>$</w:t>
            </w:r>
          </w:p>
        </w:tc>
        <w:tc>
          <w:tcPr>
            <w:tcW w:w="1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color w:val="auto"/>
              </w:rPr>
              <w:t>12,647</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9"/>
          <w:szCs w:val="9"/>
          <w:color w:val="auto"/>
        </w:rPr>
        <w:t xml:space="preserve">  Comprised of other revolving credit, installment, and lease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607695</wp:posOffset>
            </wp:positionV>
            <wp:extent cx="717486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Reserve for Credit Losses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Table 12</w:t>
            </w:r>
          </w:p>
        </w:tc>
      </w:tr>
      <w:tr>
        <w:trPr>
          <w:trHeight w:val="134"/>
        </w:trPr>
        <w:tc>
          <w:tcPr>
            <w:tcW w:w="4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920" w:type="dxa"/>
            <w:vAlign w:val="bottom"/>
            <w:tcBorders>
              <w:bottom w:val="single" w:sz="8" w:color="auto"/>
            </w:tcBorders>
          </w:tcPr>
          <w:p>
            <w:pPr>
              <w:spacing w:after="0"/>
              <w:rPr>
                <w:sz w:val="11"/>
                <w:szCs w:val="11"/>
                <w:color w:val="auto"/>
              </w:rPr>
            </w:pPr>
          </w:p>
        </w:tc>
      </w:tr>
      <w:tr>
        <w:trPr>
          <w:trHeight w:val="140"/>
        </w:trPr>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12"/>
                <w:szCs w:val="12"/>
                <w:color w:val="auto"/>
              </w:rPr>
            </w:pPr>
          </w:p>
        </w:tc>
        <w:tc>
          <w:tcPr>
            <w:tcW w:w="124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80" w:type="dxa"/>
            <w:vAlign w:val="bottom"/>
          </w:tcPr>
          <w:p>
            <w:pPr>
              <w:spacing w:after="0"/>
              <w:rPr>
                <w:sz w:val="12"/>
                <w:szCs w:val="12"/>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Pr>
          <w:p>
            <w:pPr>
              <w:spacing w:after="0"/>
              <w:rPr>
                <w:sz w:val="12"/>
                <w:szCs w:val="12"/>
                <w:color w:val="auto"/>
              </w:rPr>
            </w:pPr>
          </w:p>
        </w:tc>
      </w:tr>
      <w:tr>
        <w:trPr>
          <w:trHeight w:val="14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24"/>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Balance at Beginning of Period</w:t>
            </w:r>
          </w:p>
        </w:tc>
        <w:tc>
          <w:tcPr>
            <w:tcW w:w="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11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151,653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12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151,702</w:t>
            </w:r>
          </w:p>
        </w:tc>
        <w:tc>
          <w:tcPr>
            <w:tcW w:w="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11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152,927</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151,247</w:t>
            </w:r>
          </w:p>
        </w:tc>
        <w:tc>
          <w:tcPr>
            <w:tcW w:w="40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164,297</w:t>
            </w:r>
          </w:p>
        </w:tc>
      </w:tr>
      <w:tr>
        <w:trPr>
          <w:trHeight w:val="130"/>
        </w:trPr>
        <w:tc>
          <w:tcPr>
            <w:tcW w:w="4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Loans and Leases Charged-Off</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r>
      <w:tr>
        <w:trPr>
          <w:trHeight w:val="126"/>
        </w:trPr>
        <w:tc>
          <w:tcPr>
            <w:tcW w:w="4600" w:type="dxa"/>
            <w:vAlign w:val="bottom"/>
          </w:tcPr>
          <w:p>
            <w:pPr>
              <w:ind w:left="60"/>
              <w:spacing w:after="0"/>
              <w:rPr>
                <w:sz w:val="20"/>
                <w:szCs w:val="20"/>
                <w:color w:val="auto"/>
              </w:rPr>
            </w:pPr>
            <w:r>
              <w:rPr>
                <w:rFonts w:ascii="Times New Roman" w:cs="Times New Roman" w:eastAsia="Times New Roman" w:hAnsi="Times New Roman"/>
                <w:sz w:val="9"/>
                <w:szCs w:val="9"/>
                <w:color w:val="auto"/>
              </w:rPr>
              <w:t>Commercial</w:t>
            </w: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34"/>
        </w:trPr>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Commercial and Industrial</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(229 )</w:t>
            </w:r>
          </w:p>
        </w:tc>
        <w:tc>
          <w:tcPr>
            <w:tcW w:w="8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(294 )</w:t>
            </w: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(196 )</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(987 )</w:t>
            </w:r>
          </w:p>
        </w:tc>
        <w:tc>
          <w:tcPr>
            <w:tcW w:w="4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(925 )</w:t>
            </w:r>
          </w:p>
        </w:tc>
      </w:tr>
      <w:tr>
        <w:trPr>
          <w:trHeight w:val="126"/>
        </w:trPr>
        <w:tc>
          <w:tcPr>
            <w:tcW w:w="4600" w:type="dxa"/>
            <w:vAlign w:val="bottom"/>
          </w:tcPr>
          <w:p>
            <w:pPr>
              <w:ind w:left="60"/>
              <w:spacing w:after="0"/>
              <w:rPr>
                <w:sz w:val="20"/>
                <w:szCs w:val="20"/>
                <w:color w:val="auto"/>
              </w:rPr>
            </w:pPr>
            <w:r>
              <w:rPr>
                <w:rFonts w:ascii="Times New Roman" w:cs="Times New Roman" w:eastAsia="Times New Roman" w:hAnsi="Times New Roman"/>
                <w:sz w:val="9"/>
                <w:szCs w:val="9"/>
                <w:color w:val="auto"/>
              </w:rPr>
              <w:t>Consumer</w:t>
            </w: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34"/>
        </w:trPr>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Residential Mortgage</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(6 )</w:t>
            </w:r>
          </w:p>
        </w:tc>
        <w:tc>
          <w:tcPr>
            <w:tcW w:w="4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(80 )</w:t>
            </w:r>
          </w:p>
        </w:tc>
      </w:tr>
      <w:tr>
        <w:trPr>
          <w:trHeight w:val="126"/>
        </w:trPr>
        <w:tc>
          <w:tcPr>
            <w:tcW w:w="46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Home Equity</w:t>
            </w:r>
          </w:p>
        </w:tc>
        <w:tc>
          <w:tcPr>
            <w:tcW w:w="160" w:type="dxa"/>
            <w:vAlign w:val="bottom"/>
          </w:tcPr>
          <w:p>
            <w:pPr>
              <w:spacing w:after="0"/>
              <w:rPr>
                <w:sz w:val="10"/>
                <w:szCs w:val="1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9"/>
                <w:szCs w:val="9"/>
                <w:color w:val="auto"/>
              </w:rPr>
              <w:t>(14 )</w:t>
            </w:r>
          </w:p>
        </w:tc>
        <w:tc>
          <w:tcPr>
            <w:tcW w:w="80" w:type="dxa"/>
            <w:vAlign w:val="bottom"/>
          </w:tcPr>
          <w:p>
            <w:pPr>
              <w:spacing w:after="0"/>
              <w:rPr>
                <w:sz w:val="10"/>
                <w:szCs w:val="10"/>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(13 )</w:t>
            </w:r>
          </w:p>
        </w:tc>
        <w:tc>
          <w:tcPr>
            <w:tcW w:w="180" w:type="dxa"/>
            <w:vAlign w:val="bottom"/>
          </w:tcPr>
          <w:p>
            <w:pPr>
              <w:spacing w:after="0"/>
              <w:rPr>
                <w:sz w:val="10"/>
                <w:szCs w:val="1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9"/>
                <w:szCs w:val="9"/>
                <w:color w:val="auto"/>
              </w:rPr>
              <w:t>(10 )</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9"/>
                <w:szCs w:val="9"/>
                <w:color w:val="auto"/>
              </w:rPr>
              <w:t>(82 )</w:t>
            </w:r>
          </w:p>
        </w:tc>
        <w:tc>
          <w:tcPr>
            <w:tcW w:w="400" w:type="dxa"/>
            <w:vAlign w:val="bottom"/>
          </w:tcPr>
          <w:p>
            <w:pPr>
              <w:spacing w:after="0"/>
              <w:rPr>
                <w:sz w:val="10"/>
                <w:szCs w:val="1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9"/>
                <w:szCs w:val="9"/>
                <w:color w:val="auto"/>
              </w:rPr>
              <w:t>(100 )</w:t>
            </w:r>
          </w:p>
        </w:tc>
      </w:tr>
      <w:tr>
        <w:trPr>
          <w:trHeight w:val="134"/>
        </w:trPr>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Automobile</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(938 )</w:t>
            </w:r>
          </w:p>
        </w:tc>
        <w:tc>
          <w:tcPr>
            <w:tcW w:w="8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(1,353 )</w:t>
            </w: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(1,171 )</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(5,247 )</w:t>
            </w:r>
          </w:p>
        </w:tc>
        <w:tc>
          <w:tcPr>
            <w:tcW w:w="4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(4,652 )</w:t>
            </w:r>
          </w:p>
        </w:tc>
      </w:tr>
      <w:tr>
        <w:trPr>
          <w:trHeight w:val="130"/>
        </w:trPr>
        <w:tc>
          <w:tcPr>
            <w:tcW w:w="4600" w:type="dxa"/>
            <w:vAlign w:val="bottom"/>
            <w:tcBorders>
              <w:bottom w:val="single" w:sz="8" w:color="auto"/>
            </w:tcBorders>
          </w:tcPr>
          <w:p>
            <w:pPr>
              <w:ind w:left="140"/>
              <w:spacing w:after="0" w:line="130" w:lineRule="exact"/>
              <w:rPr>
                <w:sz w:val="20"/>
                <w:szCs w:val="20"/>
                <w:color w:val="auto"/>
              </w:rPr>
            </w:pPr>
            <w:r>
              <w:rPr>
                <w:rFonts w:ascii="Times New Roman" w:cs="Times New Roman" w:eastAsia="Times New Roman" w:hAnsi="Times New Roman"/>
                <w:sz w:val="9"/>
                <w:szCs w:val="9"/>
                <w:color w:val="auto"/>
              </w:rPr>
              <w:t xml:space="preserve">Other </w:t>
            </w:r>
            <w:r>
              <w:rPr>
                <w:rFonts w:ascii="Times New Roman" w:cs="Times New Roman" w:eastAsia="Times New Roman" w:hAnsi="Times New Roman"/>
                <w:sz w:val="12"/>
                <w:szCs w:val="12"/>
                <w:color w:val="auto"/>
                <w:vertAlign w:val="superscript"/>
              </w:rPr>
              <w:t>1</w:t>
            </w: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9"/>
                <w:szCs w:val="9"/>
                <w:color w:val="auto"/>
              </w:rPr>
              <w:t>(2,349 )</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9"/>
                <w:szCs w:val="9"/>
                <w:color w:val="auto"/>
              </w:rPr>
              <w:t>(1,957 )</w:t>
            </w: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9"/>
                <w:szCs w:val="9"/>
                <w:color w:val="auto"/>
              </w:rPr>
              <w:t>(1,846 )</w:t>
            </w: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9"/>
                <w:szCs w:val="9"/>
                <w:color w:val="auto"/>
              </w:rPr>
              <w:t>(8,645 )</w:t>
            </w:r>
          </w:p>
        </w:tc>
        <w:tc>
          <w:tcPr>
            <w:tcW w:w="4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9"/>
                <w:szCs w:val="9"/>
                <w:color w:val="auto"/>
              </w:rPr>
              <w:t>(7,585 )</w:t>
            </w:r>
          </w:p>
        </w:tc>
      </w:tr>
      <w:tr>
        <w:trPr>
          <w:trHeight w:val="119"/>
        </w:trPr>
        <w:tc>
          <w:tcPr>
            <w:tcW w:w="46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Loans and Leases Charged-Off</w:t>
            </w:r>
          </w:p>
        </w:tc>
        <w:tc>
          <w:tcPr>
            <w:tcW w:w="16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(3,530 )</w:t>
            </w:r>
          </w:p>
        </w:tc>
        <w:tc>
          <w:tcPr>
            <w:tcW w:w="80" w:type="dxa"/>
            <w:vAlign w:val="bottom"/>
            <w:tcBorders>
              <w:bottom w:val="single" w:sz="8" w:color="auto"/>
            </w:tcBorders>
            <w:shd w:val="clear" w:color="auto" w:fill="CFF0FC"/>
          </w:tcPr>
          <w:p>
            <w:pPr>
              <w:spacing w:after="0"/>
              <w:rPr>
                <w:sz w:val="10"/>
                <w:szCs w:val="10"/>
                <w:color w:val="auto"/>
              </w:rPr>
            </w:pPr>
          </w:p>
        </w:tc>
        <w:tc>
          <w:tcPr>
            <w:tcW w:w="12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(3,617 )</w:t>
            </w:r>
          </w:p>
        </w:tc>
        <w:tc>
          <w:tcPr>
            <w:tcW w:w="18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(3,223 )</w:t>
            </w:r>
          </w:p>
        </w:tc>
        <w:tc>
          <w:tcPr>
            <w:tcW w:w="120" w:type="dxa"/>
            <w:vAlign w:val="bottom"/>
            <w:tcBorders>
              <w:bottom w:val="single" w:sz="8" w:color="auto"/>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(14,967 )</w:t>
            </w:r>
          </w:p>
        </w:tc>
        <w:tc>
          <w:tcPr>
            <w:tcW w:w="40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(13,342 )</w:t>
            </w:r>
          </w:p>
        </w:tc>
      </w:tr>
      <w:tr>
        <w:trPr>
          <w:trHeight w:val="121"/>
        </w:trPr>
        <w:tc>
          <w:tcPr>
            <w:tcW w:w="4600" w:type="dxa"/>
            <w:vAlign w:val="bottom"/>
          </w:tcPr>
          <w:p>
            <w:pPr>
              <w:spacing w:after="0"/>
              <w:rPr>
                <w:sz w:val="20"/>
                <w:szCs w:val="20"/>
                <w:color w:val="auto"/>
              </w:rPr>
            </w:pPr>
            <w:r>
              <w:rPr>
                <w:rFonts w:ascii="Times New Roman" w:cs="Times New Roman" w:eastAsia="Times New Roman" w:hAnsi="Times New Roman"/>
                <w:sz w:val="9"/>
                <w:szCs w:val="9"/>
                <w:color w:val="auto"/>
              </w:rPr>
              <w:t>Recoveries on Loans and Leases Previously Charged-Off</w:t>
            </w: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34"/>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Commercial</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r>
      <w:tr>
        <w:trPr>
          <w:trHeight w:val="126"/>
        </w:trPr>
        <w:tc>
          <w:tcPr>
            <w:tcW w:w="46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Commercial and Industrial</w:t>
            </w:r>
          </w:p>
        </w:tc>
        <w:tc>
          <w:tcPr>
            <w:tcW w:w="160" w:type="dxa"/>
            <w:vAlign w:val="bottom"/>
          </w:tcPr>
          <w:p>
            <w:pPr>
              <w:spacing w:after="0"/>
              <w:rPr>
                <w:sz w:val="10"/>
                <w:szCs w:val="10"/>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125</w:t>
            </w:r>
          </w:p>
        </w:tc>
        <w:tc>
          <w:tcPr>
            <w:tcW w:w="80" w:type="dxa"/>
            <w:vAlign w:val="bottom"/>
          </w:tcPr>
          <w:p>
            <w:pPr>
              <w:spacing w:after="0"/>
              <w:rPr>
                <w:sz w:val="10"/>
                <w:szCs w:val="10"/>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72</w:t>
            </w:r>
          </w:p>
        </w:tc>
        <w:tc>
          <w:tcPr>
            <w:tcW w:w="180" w:type="dxa"/>
            <w:vAlign w:val="bottom"/>
          </w:tcPr>
          <w:p>
            <w:pPr>
              <w:spacing w:after="0"/>
              <w:rPr>
                <w:sz w:val="10"/>
                <w:szCs w:val="10"/>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87</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350</w:t>
            </w:r>
          </w:p>
        </w:tc>
        <w:tc>
          <w:tcPr>
            <w:tcW w:w="400" w:type="dxa"/>
            <w:vAlign w:val="bottom"/>
          </w:tcPr>
          <w:p>
            <w:pPr>
              <w:spacing w:after="0"/>
              <w:rPr>
                <w:sz w:val="10"/>
                <w:szCs w:val="10"/>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9"/>
                <w:szCs w:val="9"/>
                <w:color w:val="auto"/>
              </w:rPr>
              <w:t>552</w:t>
            </w:r>
          </w:p>
        </w:tc>
      </w:tr>
      <w:tr>
        <w:trPr>
          <w:trHeight w:val="134"/>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Consumer</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r>
      <w:tr>
        <w:trPr>
          <w:trHeight w:val="126"/>
        </w:trPr>
        <w:tc>
          <w:tcPr>
            <w:tcW w:w="46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Residential Mortgage</w:t>
            </w:r>
          </w:p>
        </w:tc>
        <w:tc>
          <w:tcPr>
            <w:tcW w:w="160" w:type="dxa"/>
            <w:vAlign w:val="bottom"/>
          </w:tcPr>
          <w:p>
            <w:pPr>
              <w:spacing w:after="0"/>
              <w:rPr>
                <w:sz w:val="10"/>
                <w:szCs w:val="10"/>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301</w:t>
            </w:r>
          </w:p>
        </w:tc>
        <w:tc>
          <w:tcPr>
            <w:tcW w:w="80" w:type="dxa"/>
            <w:vAlign w:val="bottom"/>
          </w:tcPr>
          <w:p>
            <w:pPr>
              <w:spacing w:after="0"/>
              <w:rPr>
                <w:sz w:val="10"/>
                <w:szCs w:val="10"/>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69</w:t>
            </w:r>
          </w:p>
        </w:tc>
        <w:tc>
          <w:tcPr>
            <w:tcW w:w="180" w:type="dxa"/>
            <w:vAlign w:val="bottom"/>
          </w:tcPr>
          <w:p>
            <w:pPr>
              <w:spacing w:after="0"/>
              <w:rPr>
                <w:sz w:val="10"/>
                <w:szCs w:val="10"/>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63</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489</w:t>
            </w:r>
          </w:p>
        </w:tc>
        <w:tc>
          <w:tcPr>
            <w:tcW w:w="400" w:type="dxa"/>
            <w:vAlign w:val="bottom"/>
          </w:tcPr>
          <w:p>
            <w:pPr>
              <w:spacing w:after="0"/>
              <w:rPr>
                <w:sz w:val="10"/>
                <w:szCs w:val="10"/>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9"/>
                <w:szCs w:val="9"/>
                <w:color w:val="auto"/>
              </w:rPr>
              <w:t>1,193</w:t>
            </w:r>
          </w:p>
        </w:tc>
      </w:tr>
      <w:tr>
        <w:trPr>
          <w:trHeight w:val="134"/>
        </w:trPr>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Home Equity</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180</w:t>
            </w:r>
          </w:p>
        </w:tc>
        <w:tc>
          <w:tcPr>
            <w:tcW w:w="8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131</w:t>
            </w: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202</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1,073</w:t>
            </w:r>
          </w:p>
        </w:tc>
        <w:tc>
          <w:tcPr>
            <w:tcW w:w="4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1,500</w:t>
            </w:r>
          </w:p>
        </w:tc>
      </w:tr>
      <w:tr>
        <w:trPr>
          <w:trHeight w:val="126"/>
        </w:trPr>
        <w:tc>
          <w:tcPr>
            <w:tcW w:w="46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Automobile</w:t>
            </w:r>
          </w:p>
        </w:tc>
        <w:tc>
          <w:tcPr>
            <w:tcW w:w="160" w:type="dxa"/>
            <w:vAlign w:val="bottom"/>
          </w:tcPr>
          <w:p>
            <w:pPr>
              <w:spacing w:after="0"/>
              <w:rPr>
                <w:sz w:val="10"/>
                <w:szCs w:val="10"/>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612</w:t>
            </w:r>
          </w:p>
        </w:tc>
        <w:tc>
          <w:tcPr>
            <w:tcW w:w="80" w:type="dxa"/>
            <w:vAlign w:val="bottom"/>
          </w:tcPr>
          <w:p>
            <w:pPr>
              <w:spacing w:after="0"/>
              <w:rPr>
                <w:sz w:val="10"/>
                <w:szCs w:val="10"/>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721</w:t>
            </w:r>
          </w:p>
        </w:tc>
        <w:tc>
          <w:tcPr>
            <w:tcW w:w="180" w:type="dxa"/>
            <w:vAlign w:val="bottom"/>
          </w:tcPr>
          <w:p>
            <w:pPr>
              <w:spacing w:after="0"/>
              <w:rPr>
                <w:sz w:val="10"/>
                <w:szCs w:val="10"/>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412</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2,782</w:t>
            </w:r>
          </w:p>
        </w:tc>
        <w:tc>
          <w:tcPr>
            <w:tcW w:w="400" w:type="dxa"/>
            <w:vAlign w:val="bottom"/>
          </w:tcPr>
          <w:p>
            <w:pPr>
              <w:spacing w:after="0"/>
              <w:rPr>
                <w:sz w:val="10"/>
                <w:szCs w:val="10"/>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9"/>
                <w:szCs w:val="9"/>
                <w:color w:val="auto"/>
              </w:rPr>
              <w:t>2,276</w:t>
            </w:r>
          </w:p>
        </w:tc>
      </w:tr>
      <w:tr>
        <w:trPr>
          <w:trHeight w:val="134"/>
        </w:trPr>
        <w:tc>
          <w:tcPr>
            <w:tcW w:w="4600" w:type="dxa"/>
            <w:vAlign w:val="bottom"/>
            <w:tcBorders>
              <w:bottom w:val="single" w:sz="8" w:color="auto"/>
            </w:tcBorders>
            <w:shd w:val="clear" w:color="auto" w:fill="CFF0FC"/>
          </w:tcPr>
          <w:p>
            <w:pPr>
              <w:ind w:left="140"/>
              <w:spacing w:after="0" w:line="134" w:lineRule="exact"/>
              <w:rPr>
                <w:sz w:val="20"/>
                <w:szCs w:val="20"/>
                <w:color w:val="auto"/>
              </w:rPr>
            </w:pPr>
            <w:r>
              <w:rPr>
                <w:rFonts w:ascii="Times New Roman" w:cs="Times New Roman" w:eastAsia="Times New Roman" w:hAnsi="Times New Roman"/>
                <w:sz w:val="9"/>
                <w:szCs w:val="9"/>
                <w:color w:val="auto"/>
              </w:rPr>
              <w:t xml:space="preserve">Other </w:t>
            </w:r>
            <w:r>
              <w:rPr>
                <w:rFonts w:ascii="Times New Roman" w:cs="Times New Roman" w:eastAsia="Times New Roman" w:hAnsi="Times New Roman"/>
                <w:sz w:val="12"/>
                <w:szCs w:val="12"/>
                <w:color w:val="auto"/>
                <w:vertAlign w:val="superscript"/>
              </w:rPr>
              <w:t>1</w:t>
            </w:r>
          </w:p>
        </w:tc>
        <w:tc>
          <w:tcPr>
            <w:tcW w:w="16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588</w:t>
            </w:r>
          </w:p>
        </w:tc>
        <w:tc>
          <w:tcPr>
            <w:tcW w:w="8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575</w:t>
            </w:r>
          </w:p>
        </w:tc>
        <w:tc>
          <w:tcPr>
            <w:tcW w:w="18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604</w:t>
            </w:r>
          </w:p>
        </w:tc>
        <w:tc>
          <w:tcPr>
            <w:tcW w:w="12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2,455</w:t>
            </w:r>
          </w:p>
        </w:tc>
        <w:tc>
          <w:tcPr>
            <w:tcW w:w="40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2,702</w:t>
            </w:r>
          </w:p>
        </w:tc>
      </w:tr>
      <w:tr>
        <w:trPr>
          <w:trHeight w:val="119"/>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Total Recoveries on Loans and Leases Previously Charged-Off</w:t>
            </w: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1,806</w:t>
            </w: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1,568</w:t>
            </w: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1,368</w:t>
            </w: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7,149</w:t>
            </w:r>
          </w:p>
        </w:tc>
        <w:tc>
          <w:tcPr>
            <w:tcW w:w="4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color w:val="auto"/>
              </w:rPr>
              <w:t>8,223</w:t>
            </w:r>
          </w:p>
        </w:tc>
      </w:tr>
      <w:tr>
        <w:trPr>
          <w:trHeight w:val="125"/>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Net Charged-Off - Loans and Leases</w:t>
            </w:r>
          </w:p>
        </w:tc>
        <w:tc>
          <w:tcPr>
            <w:tcW w:w="160" w:type="dxa"/>
            <w:vAlign w:val="bottom"/>
            <w:shd w:val="clear" w:color="auto" w:fill="CFF0FC"/>
          </w:tcPr>
          <w:p>
            <w:pPr>
              <w:spacing w:after="0"/>
              <w:rPr>
                <w:sz w:val="10"/>
                <w:szCs w:val="10"/>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(1,724 )</w:t>
            </w:r>
          </w:p>
        </w:tc>
        <w:tc>
          <w:tcPr>
            <w:tcW w:w="80" w:type="dxa"/>
            <w:vAlign w:val="bottom"/>
            <w:shd w:val="clear" w:color="auto" w:fill="CFF0FC"/>
          </w:tcPr>
          <w:p>
            <w:pPr>
              <w:spacing w:after="0"/>
              <w:rPr>
                <w:sz w:val="10"/>
                <w:szCs w:val="10"/>
                <w:color w:val="auto"/>
              </w:rPr>
            </w:pPr>
          </w:p>
        </w:tc>
        <w:tc>
          <w:tcPr>
            <w:tcW w:w="1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(2,049 )</w:t>
            </w:r>
          </w:p>
        </w:tc>
        <w:tc>
          <w:tcPr>
            <w:tcW w:w="180" w:type="dxa"/>
            <w:vAlign w:val="bottom"/>
            <w:shd w:val="clear" w:color="auto" w:fill="CFF0FC"/>
          </w:tcPr>
          <w:p>
            <w:pPr>
              <w:spacing w:after="0"/>
              <w:rPr>
                <w:sz w:val="10"/>
                <w:szCs w:val="10"/>
                <w:color w:val="auto"/>
              </w:rPr>
            </w:pPr>
          </w:p>
        </w:tc>
        <w:tc>
          <w:tcPr>
            <w:tcW w:w="11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(1,855 )</w:t>
            </w: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9"/>
                <w:szCs w:val="9"/>
                <w:color w:val="auto"/>
              </w:rPr>
              <w:t>(7,818 )</w:t>
            </w:r>
          </w:p>
        </w:tc>
        <w:tc>
          <w:tcPr>
            <w:tcW w:w="400" w:type="dxa"/>
            <w:vAlign w:val="bottom"/>
            <w:shd w:val="clear" w:color="auto" w:fill="CFF0FC"/>
          </w:tcPr>
          <w:p>
            <w:pPr>
              <w:spacing w:after="0"/>
              <w:rPr>
                <w:sz w:val="10"/>
                <w:szCs w:val="10"/>
                <w:color w:val="auto"/>
              </w:rPr>
            </w:pPr>
          </w:p>
        </w:tc>
        <w:tc>
          <w:tcPr>
            <w:tcW w:w="9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(5,119 )</w:t>
            </w:r>
          </w:p>
        </w:tc>
      </w:tr>
      <w:tr>
        <w:trPr>
          <w:trHeight w:val="126"/>
        </w:trPr>
        <w:tc>
          <w:tcPr>
            <w:tcW w:w="4600" w:type="dxa"/>
            <w:vAlign w:val="bottom"/>
          </w:tcPr>
          <w:p>
            <w:pPr>
              <w:spacing w:after="0"/>
              <w:rPr>
                <w:sz w:val="20"/>
                <w:szCs w:val="20"/>
                <w:color w:val="auto"/>
              </w:rPr>
            </w:pPr>
            <w:r>
              <w:rPr>
                <w:rFonts w:ascii="Times New Roman" w:cs="Times New Roman" w:eastAsia="Times New Roman" w:hAnsi="Times New Roman"/>
                <w:sz w:val="9"/>
                <w:szCs w:val="9"/>
                <w:color w:val="auto"/>
              </w:rPr>
              <w:t>Net Charged-Off - Accrued Interest Receivable</w:t>
            </w:r>
          </w:p>
        </w:tc>
        <w:tc>
          <w:tcPr>
            <w:tcW w:w="160" w:type="dxa"/>
            <w:vAlign w:val="bottom"/>
          </w:tcPr>
          <w:p>
            <w:pPr>
              <w:spacing w:after="0"/>
              <w:rPr>
                <w:sz w:val="10"/>
                <w:szCs w:val="10"/>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0"/>
                <w:szCs w:val="1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9"/>
                <w:szCs w:val="9"/>
                <w:color w:val="auto"/>
              </w:rPr>
              <w:t>(25 )</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spacing w:after="0"/>
              <w:rPr>
                <w:sz w:val="10"/>
                <w:szCs w:val="1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9"/>
                <w:szCs w:val="9"/>
                <w:color w:val="auto"/>
              </w:rPr>
              <w:t>(131 )</w:t>
            </w:r>
          </w:p>
        </w:tc>
      </w:tr>
      <w:tr>
        <w:trPr>
          <w:trHeight w:val="134"/>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Provision for Credit Losses:</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r>
      <w:tr>
        <w:trPr>
          <w:trHeight w:val="126"/>
        </w:trPr>
        <w:tc>
          <w:tcPr>
            <w:tcW w:w="46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Loans and Leases</w:t>
            </w:r>
          </w:p>
        </w:tc>
        <w:tc>
          <w:tcPr>
            <w:tcW w:w="160" w:type="dxa"/>
            <w:vAlign w:val="bottom"/>
          </w:tcPr>
          <w:p>
            <w:pPr>
              <w:spacing w:after="0"/>
              <w:rPr>
                <w:sz w:val="10"/>
                <w:szCs w:val="10"/>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2,864</w:t>
            </w:r>
          </w:p>
        </w:tc>
        <w:tc>
          <w:tcPr>
            <w:tcW w:w="80" w:type="dxa"/>
            <w:vAlign w:val="bottom"/>
          </w:tcPr>
          <w:p>
            <w:pPr>
              <w:spacing w:after="0"/>
              <w:rPr>
                <w:sz w:val="10"/>
                <w:szCs w:val="10"/>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1,945</w:t>
            </w:r>
          </w:p>
        </w:tc>
        <w:tc>
          <w:tcPr>
            <w:tcW w:w="180" w:type="dxa"/>
            <w:vAlign w:val="bottom"/>
          </w:tcPr>
          <w:p>
            <w:pPr>
              <w:spacing w:after="0"/>
              <w:rPr>
                <w:sz w:val="10"/>
                <w:szCs w:val="1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9"/>
                <w:szCs w:val="9"/>
                <w:color w:val="auto"/>
              </w:rPr>
              <w:t>(142 )</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9,782</w:t>
            </w:r>
          </w:p>
        </w:tc>
        <w:tc>
          <w:tcPr>
            <w:tcW w:w="400" w:type="dxa"/>
            <w:vAlign w:val="bottom"/>
          </w:tcPr>
          <w:p>
            <w:pPr>
              <w:spacing w:after="0"/>
              <w:rPr>
                <w:sz w:val="10"/>
                <w:szCs w:val="10"/>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9"/>
                <w:szCs w:val="9"/>
                <w:color w:val="auto"/>
              </w:rPr>
              <w:t>(8,263 )</w:t>
            </w:r>
          </w:p>
        </w:tc>
      </w:tr>
      <w:tr>
        <w:trPr>
          <w:trHeight w:val="134"/>
        </w:trPr>
        <w:tc>
          <w:tcPr>
            <w:tcW w:w="4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Accrued Interest Receivable</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25</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FF0FC"/>
          </w:tcPr>
          <w:p>
            <w:pPr>
              <w:spacing w:after="0"/>
              <w:rPr>
                <w:sz w:val="11"/>
                <w:szCs w:val="11"/>
                <w:color w:val="auto"/>
              </w:rPr>
            </w:pPr>
          </w:p>
        </w:tc>
        <w:tc>
          <w:tcPr>
            <w:tcW w:w="9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(283 )</w:t>
            </w:r>
          </w:p>
        </w:tc>
      </w:tr>
      <w:tr>
        <w:trPr>
          <w:trHeight w:val="126"/>
        </w:trPr>
        <w:tc>
          <w:tcPr>
            <w:tcW w:w="4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9"/>
                <w:szCs w:val="9"/>
                <w:color w:val="auto"/>
              </w:rPr>
              <w:t>Unfunded Commitments</w:t>
            </w: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9"/>
                <w:szCs w:val="9"/>
                <w:color w:val="auto"/>
              </w:rPr>
              <w:t>(364 )</w:t>
            </w:r>
          </w:p>
        </w:tc>
        <w:tc>
          <w:tcPr>
            <w:tcW w:w="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55</w:t>
            </w: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317</w:t>
            </w: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9"/>
                <w:szCs w:val="9"/>
                <w:color w:val="auto"/>
              </w:rPr>
              <w:t>(782 )</w:t>
            </w:r>
          </w:p>
        </w:tc>
        <w:tc>
          <w:tcPr>
            <w:tcW w:w="4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color w:val="auto"/>
              </w:rPr>
              <w:t>746</w:t>
            </w:r>
          </w:p>
        </w:tc>
      </w:tr>
      <w:tr>
        <w:trPr>
          <w:trHeight w:val="122"/>
        </w:trPr>
        <w:tc>
          <w:tcPr>
            <w:tcW w:w="46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Provision for Credit Losses</w:t>
            </w:r>
          </w:p>
        </w:tc>
        <w:tc>
          <w:tcPr>
            <w:tcW w:w="16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2,500</w:t>
            </w:r>
          </w:p>
        </w:tc>
        <w:tc>
          <w:tcPr>
            <w:tcW w:w="80" w:type="dxa"/>
            <w:vAlign w:val="bottom"/>
            <w:tcBorders>
              <w:bottom w:val="single" w:sz="8" w:color="auto"/>
            </w:tcBorders>
            <w:shd w:val="clear" w:color="auto" w:fill="CFF0FC"/>
          </w:tcPr>
          <w:p>
            <w:pPr>
              <w:spacing w:after="0"/>
              <w:rPr>
                <w:sz w:val="10"/>
                <w:szCs w:val="10"/>
                <w:color w:val="auto"/>
              </w:rPr>
            </w:pPr>
          </w:p>
        </w:tc>
        <w:tc>
          <w:tcPr>
            <w:tcW w:w="12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2,000</w:t>
            </w:r>
          </w:p>
        </w:tc>
        <w:tc>
          <w:tcPr>
            <w:tcW w:w="18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200</w:t>
            </w:r>
          </w:p>
        </w:tc>
        <w:tc>
          <w:tcPr>
            <w:tcW w:w="120" w:type="dxa"/>
            <w:vAlign w:val="bottom"/>
            <w:tcBorders>
              <w:bottom w:val="single" w:sz="8" w:color="auto"/>
            </w:tcBorders>
            <w:shd w:val="clear" w:color="auto" w:fill="CFF0FC"/>
          </w:tcPr>
          <w:p>
            <w:pPr>
              <w:spacing w:after="0"/>
              <w:rPr>
                <w:sz w:val="10"/>
                <w:szCs w:val="10"/>
                <w:color w:val="auto"/>
              </w:rPr>
            </w:pPr>
          </w:p>
        </w:tc>
        <w:tc>
          <w:tcPr>
            <w:tcW w:w="280" w:type="dxa"/>
            <w:vAlign w:val="bottom"/>
            <w:tcBorders>
              <w:bottom w:val="single" w:sz="8" w:color="auto"/>
            </w:tcBorders>
            <w:shd w:val="clear" w:color="auto" w:fill="CFF0FC"/>
          </w:tcPr>
          <w:p>
            <w:pPr>
              <w:spacing w:after="0"/>
              <w:rPr>
                <w:sz w:val="10"/>
                <w:szCs w:val="10"/>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9,000</w:t>
            </w:r>
          </w:p>
        </w:tc>
        <w:tc>
          <w:tcPr>
            <w:tcW w:w="400" w:type="dxa"/>
            <w:vAlign w:val="bottom"/>
            <w:tcBorders>
              <w:bottom w:val="single" w:sz="8" w:color="auto"/>
            </w:tcBorders>
            <w:shd w:val="clear" w:color="auto" w:fill="CFF0FC"/>
          </w:tcPr>
          <w:p>
            <w:pPr>
              <w:spacing w:after="0"/>
              <w:rPr>
                <w:sz w:val="10"/>
                <w:szCs w:val="10"/>
                <w:color w:val="auto"/>
              </w:rPr>
            </w:pPr>
          </w:p>
        </w:tc>
        <w:tc>
          <w:tcPr>
            <w:tcW w:w="9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9"/>
                <w:szCs w:val="9"/>
                <w:color w:val="auto"/>
              </w:rPr>
              <w:t>(7,800 )</w:t>
            </w:r>
          </w:p>
        </w:tc>
      </w:tr>
      <w:tr>
        <w:trPr>
          <w:trHeight w:val="123"/>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Balance at End of Period</w:t>
            </w:r>
          </w:p>
        </w:tc>
        <w:tc>
          <w:tcPr>
            <w:tcW w:w="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152,429</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151,653</w:t>
            </w:r>
          </w:p>
        </w:tc>
        <w:tc>
          <w:tcPr>
            <w:tcW w:w="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151,247</w:t>
            </w:r>
          </w:p>
        </w:tc>
        <w:tc>
          <w:tcPr>
            <w:tcW w:w="4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152,429</w:t>
            </w:r>
          </w:p>
        </w:tc>
        <w:tc>
          <w:tcPr>
            <w:tcW w:w="4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color w:val="auto"/>
              </w:rPr>
              <w:t>151,247</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8"/>
        </w:trPr>
        <w:tc>
          <w:tcPr>
            <w:tcW w:w="4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3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Components</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r>
      <w:tr>
        <w:trPr>
          <w:trHeight w:val="126"/>
        </w:trPr>
        <w:tc>
          <w:tcPr>
            <w:tcW w:w="4600" w:type="dxa"/>
            <w:vAlign w:val="bottom"/>
          </w:tcPr>
          <w:p>
            <w:pPr>
              <w:ind w:left="140"/>
              <w:spacing w:after="0"/>
              <w:rPr>
                <w:sz w:val="20"/>
                <w:szCs w:val="20"/>
                <w:color w:val="auto"/>
              </w:rPr>
            </w:pPr>
            <w:r>
              <w:rPr>
                <w:rFonts w:ascii="Times New Roman" w:cs="Times New Roman" w:eastAsia="Times New Roman" w:hAnsi="Times New Roman"/>
                <w:sz w:val="9"/>
                <w:szCs w:val="9"/>
                <w:color w:val="auto"/>
              </w:rPr>
              <w:t>Allowance for Credit Losses - Loans and Leases</w:t>
            </w:r>
          </w:p>
        </w:tc>
        <w:tc>
          <w:tcPr>
            <w:tcW w:w="16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146,403</w:t>
            </w: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145,263</w:t>
            </w:r>
          </w:p>
        </w:tc>
        <w:tc>
          <w:tcPr>
            <w:tcW w:w="18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144,439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9"/>
                <w:szCs w:val="9"/>
                <w:color w:val="auto"/>
              </w:rPr>
              <w:t>146,403</w:t>
            </w:r>
          </w:p>
        </w:tc>
        <w:tc>
          <w:tcPr>
            <w:tcW w:w="400" w:type="dxa"/>
            <w:vAlign w:val="bottom"/>
          </w:tcPr>
          <w:p>
            <w:pPr>
              <w:jc w:val="right"/>
              <w:ind w:right="293"/>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9"/>
                <w:szCs w:val="9"/>
                <w:color w:val="auto"/>
              </w:rPr>
              <w:t>144,439</w:t>
            </w:r>
          </w:p>
        </w:tc>
      </w:tr>
      <w:tr>
        <w:trPr>
          <w:trHeight w:val="130"/>
        </w:trPr>
        <w:tc>
          <w:tcPr>
            <w:tcW w:w="46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Reserve for Unfunded Commitments</w:t>
            </w:r>
          </w:p>
        </w:tc>
        <w:tc>
          <w:tcPr>
            <w:tcW w:w="16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6,026</w:t>
            </w:r>
          </w:p>
        </w:tc>
        <w:tc>
          <w:tcPr>
            <w:tcW w:w="8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6,390</w:t>
            </w:r>
          </w:p>
        </w:tc>
        <w:tc>
          <w:tcPr>
            <w:tcW w:w="18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6,808</w:t>
            </w:r>
          </w:p>
        </w:tc>
        <w:tc>
          <w:tcPr>
            <w:tcW w:w="120" w:type="dxa"/>
            <w:vAlign w:val="bottom"/>
            <w:tcBorders>
              <w:bottom w:val="single" w:sz="8" w:color="auto"/>
            </w:tcBorders>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9"/>
                <w:szCs w:val="9"/>
                <w:color w:val="auto"/>
              </w:rPr>
              <w:t>6,026</w:t>
            </w:r>
          </w:p>
        </w:tc>
        <w:tc>
          <w:tcPr>
            <w:tcW w:w="40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9"/>
                <w:szCs w:val="9"/>
                <w:color w:val="auto"/>
              </w:rPr>
              <w:t>6,808</w:t>
            </w:r>
          </w:p>
        </w:tc>
      </w:tr>
      <w:tr>
        <w:trPr>
          <w:trHeight w:val="123"/>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Total Reserve for Credit Losses</w:t>
            </w:r>
          </w:p>
        </w:tc>
        <w:tc>
          <w:tcPr>
            <w:tcW w:w="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152,429</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151,653</w:t>
            </w:r>
          </w:p>
        </w:tc>
        <w:tc>
          <w:tcPr>
            <w:tcW w:w="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151,247</w:t>
            </w:r>
          </w:p>
        </w:tc>
        <w:tc>
          <w:tcPr>
            <w:tcW w:w="4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152,429</w:t>
            </w:r>
          </w:p>
        </w:tc>
        <w:tc>
          <w:tcPr>
            <w:tcW w:w="4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color w:val="auto"/>
              </w:rPr>
              <w:t>151,247</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8"/>
        </w:trPr>
        <w:tc>
          <w:tcPr>
            <w:tcW w:w="46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7"/>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Average Loans and Leases Outstanding</w:t>
            </w:r>
          </w:p>
        </w:tc>
        <w:tc>
          <w:tcPr>
            <w:tcW w:w="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9"/>
                <w:szCs w:val="9"/>
                <w:color w:val="auto"/>
                <w:w w:val="87"/>
              </w:rPr>
              <w:t>$</w:t>
            </w: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13,906,114</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13,903,214</w:t>
            </w:r>
          </w:p>
        </w:tc>
        <w:tc>
          <w:tcPr>
            <w:tcW w:w="1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color w:val="auto"/>
                <w:w w:val="87"/>
              </w:rPr>
              <w:t>$</w:t>
            </w:r>
          </w:p>
        </w:tc>
        <w:tc>
          <w:tcPr>
            <w:tcW w:w="11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13,452,791</w:t>
            </w:r>
          </w:p>
        </w:tc>
        <w:tc>
          <w:tcPr>
            <w:tcW w:w="4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9"/>
                <w:szCs w:val="9"/>
                <w:color w:val="auto"/>
              </w:rPr>
              <w:t>13,851,551</w:t>
            </w:r>
          </w:p>
        </w:tc>
        <w:tc>
          <w:tcPr>
            <w:tcW w:w="4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9"/>
                <w:szCs w:val="9"/>
                <w:color w:val="auto"/>
                <w:w w:val="87"/>
              </w:rPr>
              <w:t>$</w:t>
            </w: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color w:val="auto"/>
              </w:rPr>
              <w:t>12,896,510</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08"/>
        </w:trPr>
        <w:tc>
          <w:tcPr>
            <w:tcW w:w="46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r>
      <w:tr>
        <w:trPr>
          <w:trHeight w:val="126"/>
        </w:trPr>
        <w:tc>
          <w:tcPr>
            <w:tcW w:w="4600" w:type="dxa"/>
            <w:vAlign w:val="bottom"/>
          </w:tcPr>
          <w:p>
            <w:pPr>
              <w:spacing w:after="0"/>
              <w:rPr>
                <w:sz w:val="20"/>
                <w:szCs w:val="20"/>
                <w:color w:val="auto"/>
              </w:rPr>
            </w:pPr>
            <w:r>
              <w:rPr>
                <w:rFonts w:ascii="Times New Roman" w:cs="Times New Roman" w:eastAsia="Times New Roman" w:hAnsi="Times New Roman"/>
                <w:sz w:val="9"/>
                <w:szCs w:val="9"/>
                <w:color w:val="auto"/>
              </w:rPr>
              <w:t>Ratio of Net Loans and Leases Charged-Off to</w:t>
            </w: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34"/>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9"/>
                <w:szCs w:val="9"/>
                <w:color w:val="auto"/>
              </w:rPr>
              <w:t>Average Loans and Leases Outstanding (annualized)</w:t>
            </w:r>
          </w:p>
        </w:tc>
        <w:tc>
          <w:tcPr>
            <w:tcW w:w="16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0.05 %</w:t>
            </w:r>
          </w:p>
        </w:tc>
        <w:tc>
          <w:tcPr>
            <w:tcW w:w="80" w:type="dxa"/>
            <w:vAlign w:val="bottom"/>
            <w:shd w:val="clear" w:color="auto" w:fill="CFF0FC"/>
          </w:tcPr>
          <w:p>
            <w:pPr>
              <w:spacing w:after="0"/>
              <w:rPr>
                <w:sz w:val="11"/>
                <w:szCs w:val="1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0.06 %</w:t>
            </w: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0.05 %</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0.06 %</w:t>
            </w:r>
          </w:p>
        </w:tc>
        <w:tc>
          <w:tcPr>
            <w:tcW w:w="4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0.04 %</w:t>
            </w:r>
          </w:p>
        </w:tc>
      </w:tr>
      <w:tr>
        <w:trPr>
          <w:trHeight w:val="165"/>
        </w:trPr>
        <w:tc>
          <w:tcPr>
            <w:tcW w:w="4600" w:type="dxa"/>
            <w:vAlign w:val="bottom"/>
          </w:tcPr>
          <w:p>
            <w:pPr>
              <w:spacing w:after="0"/>
              <w:rPr>
                <w:sz w:val="20"/>
                <w:szCs w:val="20"/>
                <w:color w:val="auto"/>
              </w:rPr>
            </w:pPr>
            <w:r>
              <w:rPr>
                <w:rFonts w:ascii="Times New Roman" w:cs="Times New Roman" w:eastAsia="Times New Roman" w:hAnsi="Times New Roman"/>
                <w:sz w:val="9"/>
                <w:szCs w:val="9"/>
                <w:color w:val="auto"/>
              </w:rPr>
              <w:t xml:space="preserve">Ratio of Allowance for Credit Losses to Loans and Leases Outstanding </w:t>
            </w:r>
            <w:r>
              <w:rPr>
                <w:rFonts w:ascii="Times New Roman" w:cs="Times New Roman" w:eastAsia="Times New Roman" w:hAnsi="Times New Roman"/>
                <w:sz w:val="12"/>
                <w:szCs w:val="12"/>
                <w:color w:val="auto"/>
                <w:vertAlign w:val="superscript"/>
              </w:rPr>
              <w:t>2</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1.05 %</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1.04 %</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1.06 %</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1.05 %</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1.06 %</w:t>
            </w:r>
          </w:p>
        </w:tc>
      </w:tr>
    </w:tbl>
    <w:p>
      <w:pPr>
        <w:spacing w:after="0" w:line="66" w:lineRule="exact"/>
        <w:rPr>
          <w:sz w:val="20"/>
          <w:szCs w:val="20"/>
          <w:color w:val="auto"/>
        </w:rPr>
      </w:pPr>
    </w:p>
    <w:p>
      <w:pPr>
        <w:ind w:left="80" w:hanging="74"/>
        <w:spacing w:after="0"/>
        <w:tabs>
          <w:tab w:leader="none" w:pos="80" w:val="left"/>
        </w:tabs>
        <w:numPr>
          <w:ilvl w:val="0"/>
          <w:numId w:val="16"/>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Comprised of other revolving credit, installment, and lease financing.</w:t>
      </w:r>
    </w:p>
    <w:p>
      <w:pPr>
        <w:ind w:left="80" w:hanging="74"/>
        <w:spacing w:after="0" w:line="211" w:lineRule="auto"/>
        <w:tabs>
          <w:tab w:leader="none" w:pos="80" w:val="left"/>
        </w:tabs>
        <w:numPr>
          <w:ilvl w:val="0"/>
          <w:numId w:val="17"/>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The numerator comprises the Allowance for Credit Losses - Loans and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608330</wp:posOffset>
            </wp:positionV>
            <wp:extent cx="717486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Business Segments Selected Financial Information</w:t>
            </w:r>
          </w:p>
        </w:tc>
        <w:tc>
          <w:tcPr>
            <w:tcW w:w="7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Table 13a</w:t>
            </w:r>
          </w:p>
        </w:tc>
      </w:tr>
      <w:tr>
        <w:trPr>
          <w:trHeight w:val="136"/>
        </w:trPr>
        <w:tc>
          <w:tcPr>
            <w:tcW w:w="4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jc w:val="right"/>
              <w:ind w:right="44"/>
              <w:spacing w:after="0" w:line="136" w:lineRule="exact"/>
              <w:rPr>
                <w:sz w:val="20"/>
                <w:szCs w:val="20"/>
                <w:color w:val="auto"/>
              </w:rPr>
            </w:pPr>
            <w:r>
              <w:rPr>
                <w:rFonts w:ascii="Times New Roman" w:cs="Times New Roman" w:eastAsia="Times New Roman" w:hAnsi="Times New Roman"/>
                <w:sz w:val="13"/>
                <w:szCs w:val="13"/>
                <w:b w:val="1"/>
                <w:bCs w:val="1"/>
                <w:color w:val="auto"/>
              </w:rPr>
              <w:t>Consumer</w:t>
            </w:r>
          </w:p>
        </w:tc>
        <w:tc>
          <w:tcPr>
            <w:tcW w:w="440" w:type="dxa"/>
            <w:vAlign w:val="bottom"/>
          </w:tcPr>
          <w:p>
            <w:pPr>
              <w:spacing w:after="0"/>
              <w:rPr>
                <w:sz w:val="11"/>
                <w:szCs w:val="11"/>
                <w:color w:val="auto"/>
              </w:rPr>
            </w:pPr>
          </w:p>
        </w:tc>
        <w:tc>
          <w:tcPr>
            <w:tcW w:w="1120" w:type="dxa"/>
            <w:vAlign w:val="bottom"/>
          </w:tcPr>
          <w:p>
            <w:pPr>
              <w:jc w:val="right"/>
              <w:ind w:right="44"/>
              <w:spacing w:after="0" w:line="136"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520" w:type="dxa"/>
            <w:vAlign w:val="bottom"/>
          </w:tcPr>
          <w:p>
            <w:pPr>
              <w:spacing w:after="0"/>
              <w:rPr>
                <w:sz w:val="11"/>
                <w:szCs w:val="11"/>
                <w:color w:val="auto"/>
              </w:rPr>
            </w:pPr>
          </w:p>
        </w:tc>
        <w:tc>
          <w:tcPr>
            <w:tcW w:w="1080" w:type="dxa"/>
            <w:vAlign w:val="bottom"/>
          </w:tcPr>
          <w:p>
            <w:pPr>
              <w:jc w:val="right"/>
              <w:ind w:right="24"/>
              <w:spacing w:after="0" w:line="136"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580" w:type="dxa"/>
            <w:vAlign w:val="bottom"/>
          </w:tcPr>
          <w:p>
            <w:pPr>
              <w:spacing w:after="0"/>
              <w:rPr>
                <w:sz w:val="11"/>
                <w:szCs w:val="11"/>
                <w:color w:val="auto"/>
              </w:rPr>
            </w:pPr>
          </w:p>
        </w:tc>
        <w:tc>
          <w:tcPr>
            <w:tcW w:w="1300" w:type="dxa"/>
            <w:vAlign w:val="bottom"/>
          </w:tcPr>
          <w:p>
            <w:pPr>
              <w:jc w:val="right"/>
              <w:ind w:right="63"/>
              <w:spacing w:after="0" w:line="136" w:lineRule="exact"/>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4"/>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7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Banking</w:t>
            </w: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Banking</w:t>
            </w: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Three Months Ended December 31, 2023</w:t>
            </w:r>
          </w:p>
        </w:tc>
        <w:tc>
          <w:tcPr>
            <w:tcW w:w="78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r>
      <w:tr>
        <w:trPr>
          <w:trHeight w:val="142"/>
        </w:trPr>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Net Interest Income (Loss)</w:t>
            </w:r>
          </w:p>
        </w:tc>
        <w:tc>
          <w:tcPr>
            <w:tcW w:w="78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101,868</w:t>
            </w:r>
          </w:p>
        </w:tc>
        <w:tc>
          <w:tcPr>
            <w:tcW w:w="440" w:type="dxa"/>
            <w:vAlign w:val="bottom"/>
          </w:tcPr>
          <w:p>
            <w:pPr>
              <w:jc w:val="right"/>
              <w:ind w:right="28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51,663</w:t>
            </w:r>
          </w:p>
        </w:tc>
        <w:tc>
          <w:tcPr>
            <w:tcW w:w="520" w:type="dxa"/>
            <w:vAlign w:val="bottom"/>
          </w:tcPr>
          <w:p>
            <w:pPr>
              <w:jc w:val="right"/>
              <w:ind w:right="36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(37,746 )</w:t>
            </w:r>
          </w:p>
        </w:tc>
        <w:tc>
          <w:tcPr>
            <w:tcW w:w="580" w:type="dxa"/>
            <w:vAlign w:val="bottom"/>
          </w:tcPr>
          <w:p>
            <w:pPr>
              <w:jc w:val="right"/>
              <w:ind w:right="42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115,785</w:t>
            </w:r>
          </w:p>
        </w:tc>
      </w:tr>
      <w:tr>
        <w:trPr>
          <w:trHeight w:val="142"/>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7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1,738</w:t>
            </w:r>
          </w:p>
        </w:tc>
        <w:tc>
          <w:tcPr>
            <w:tcW w:w="44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5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777</w:t>
            </w:r>
          </w:p>
        </w:tc>
        <w:tc>
          <w:tcPr>
            <w:tcW w:w="5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rPr>
              <w:t>2,500</w:t>
            </w:r>
          </w:p>
        </w:tc>
      </w:tr>
      <w:tr>
        <w:trPr>
          <w:trHeight w:val="134"/>
        </w:trPr>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Net Interest Income (Loss) After Provision for Credit Losses</w:t>
            </w:r>
          </w:p>
        </w:tc>
        <w:tc>
          <w:tcPr>
            <w:tcW w:w="780" w:type="dxa"/>
            <w:vAlign w:val="bottom"/>
          </w:tcPr>
          <w:p>
            <w:pPr>
              <w:spacing w:after="0"/>
              <w:rPr>
                <w:sz w:val="11"/>
                <w:szCs w:val="11"/>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100,130</w:t>
            </w:r>
          </w:p>
        </w:tc>
        <w:tc>
          <w:tcPr>
            <w:tcW w:w="440" w:type="dxa"/>
            <w:vAlign w:val="bottom"/>
          </w:tcPr>
          <w:p>
            <w:pPr>
              <w:spacing w:after="0"/>
              <w:rPr>
                <w:sz w:val="11"/>
                <w:szCs w:val="11"/>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51,678</w:t>
            </w:r>
          </w:p>
        </w:tc>
        <w:tc>
          <w:tcPr>
            <w:tcW w:w="5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(38,523 )</w:t>
            </w:r>
          </w:p>
        </w:tc>
        <w:tc>
          <w:tcPr>
            <w:tcW w:w="580" w:type="dxa"/>
            <w:vAlign w:val="bottom"/>
          </w:tcPr>
          <w:p>
            <w:pPr>
              <w:spacing w:after="0"/>
              <w:rPr>
                <w:sz w:val="11"/>
                <w:szCs w:val="11"/>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113,285</w:t>
            </w:r>
          </w:p>
        </w:tc>
      </w:tr>
      <w:tr>
        <w:trPr>
          <w:trHeight w:val="14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78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32,247</w:t>
            </w:r>
          </w:p>
        </w:tc>
        <w:tc>
          <w:tcPr>
            <w:tcW w:w="4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7,944</w:t>
            </w:r>
          </w:p>
        </w:tc>
        <w:tc>
          <w:tcPr>
            <w:tcW w:w="5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2,092</w:t>
            </w:r>
          </w:p>
        </w:tc>
        <w:tc>
          <w:tcPr>
            <w:tcW w:w="58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rPr>
              <w:t>42,283</w:t>
            </w:r>
          </w:p>
        </w:tc>
      </w:tr>
      <w:tr>
        <w:trPr>
          <w:trHeight w:val="142"/>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7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(92,793 )</w:t>
            </w: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(18,958 )</w:t>
            </w: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(4,211 )</w:t>
            </w:r>
          </w:p>
        </w:tc>
        <w:tc>
          <w:tcPr>
            <w:tcW w:w="5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(115,962 )</w:t>
            </w:r>
          </w:p>
        </w:tc>
      </w:tr>
      <w:tr>
        <w:trPr>
          <w:trHeight w:val="13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Income (Loss) Before Income Taxes</w:t>
            </w:r>
          </w:p>
        </w:tc>
        <w:tc>
          <w:tcPr>
            <w:tcW w:w="78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39,584</w:t>
            </w:r>
          </w:p>
        </w:tc>
        <w:tc>
          <w:tcPr>
            <w:tcW w:w="44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40,664</w:t>
            </w:r>
          </w:p>
        </w:tc>
        <w:tc>
          <w:tcPr>
            <w:tcW w:w="5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(40,642 )</w:t>
            </w:r>
          </w:p>
        </w:tc>
        <w:tc>
          <w:tcPr>
            <w:tcW w:w="5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rPr>
              <w:t>39,606</w:t>
            </w:r>
          </w:p>
        </w:tc>
      </w:tr>
      <w:tr>
        <w:trPr>
          <w:trHeight w:val="142"/>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7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(10,165 )</w:t>
            </w: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(10,316 )</w:t>
            </w: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11,271</w:t>
            </w:r>
          </w:p>
        </w:tc>
        <w:tc>
          <w:tcPr>
            <w:tcW w:w="5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(9,210 )</w:t>
            </w:r>
          </w:p>
        </w:tc>
      </w:tr>
      <w:tr>
        <w:trPr>
          <w:trHeight w:val="174"/>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780" w:type="dxa"/>
            <w:vAlign w:val="bottom"/>
            <w:tcBorders>
              <w:bottom w:val="single" w:sz="8" w:color="auto"/>
            </w:tcBorders>
            <w:shd w:val="clear" w:color="auto" w:fill="CFF0FC"/>
          </w:tcPr>
          <w:p>
            <w:pPr>
              <w:jc w:val="right"/>
              <w:ind w:right="38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29,419</w:t>
            </w: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30,348</w:t>
            </w: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(29,371 )</w:t>
            </w: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rPr>
              <w:t>30,396</w:t>
            </w:r>
          </w:p>
        </w:tc>
      </w:tr>
      <w:tr>
        <w:trPr>
          <w:trHeight w:val="117"/>
        </w:trPr>
        <w:tc>
          <w:tcPr>
            <w:tcW w:w="4340" w:type="dxa"/>
            <w:vAlign w:val="bottom"/>
            <w:tcBorders>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Total Assets as of December 31, 2023</w:t>
            </w:r>
          </w:p>
        </w:tc>
        <w:tc>
          <w:tcPr>
            <w:tcW w:w="780" w:type="dxa"/>
            <w:vAlign w:val="bottom"/>
            <w:tcBorders>
              <w:bottom w:val="single" w:sz="8" w:color="auto"/>
            </w:tcBorders>
          </w:tcPr>
          <w:p>
            <w:pPr>
              <w:jc w:val="right"/>
              <w:ind w:right="38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44"/>
              <w:spacing w:after="0" w:line="118" w:lineRule="exact"/>
              <w:rPr>
                <w:sz w:val="20"/>
                <w:szCs w:val="20"/>
                <w:color w:val="auto"/>
              </w:rPr>
            </w:pPr>
            <w:r>
              <w:rPr>
                <w:rFonts w:ascii="Times New Roman" w:cs="Times New Roman" w:eastAsia="Times New Roman" w:hAnsi="Times New Roman"/>
                <w:sz w:val="11"/>
                <w:szCs w:val="11"/>
                <w:color w:val="auto"/>
              </w:rPr>
              <w:t>8,486,255</w:t>
            </w:r>
          </w:p>
        </w:tc>
        <w:tc>
          <w:tcPr>
            <w:tcW w:w="440" w:type="dxa"/>
            <w:vAlign w:val="bottom"/>
            <w:tcBorders>
              <w:bottom w:val="single" w:sz="8" w:color="auto"/>
            </w:tcBorders>
          </w:tcPr>
          <w:p>
            <w:pPr>
              <w:jc w:val="right"/>
              <w:ind w:right="28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44"/>
              <w:spacing w:after="0" w:line="118" w:lineRule="exact"/>
              <w:rPr>
                <w:sz w:val="20"/>
                <w:szCs w:val="20"/>
                <w:color w:val="auto"/>
              </w:rPr>
            </w:pPr>
            <w:r>
              <w:rPr>
                <w:rFonts w:ascii="Times New Roman" w:cs="Times New Roman" w:eastAsia="Times New Roman" w:hAnsi="Times New Roman"/>
                <w:sz w:val="11"/>
                <w:szCs w:val="11"/>
                <w:color w:val="auto"/>
              </w:rPr>
              <w:t>5,831,880</w:t>
            </w:r>
          </w:p>
        </w:tc>
        <w:tc>
          <w:tcPr>
            <w:tcW w:w="520" w:type="dxa"/>
            <w:vAlign w:val="bottom"/>
            <w:tcBorders>
              <w:bottom w:val="single" w:sz="8" w:color="auto"/>
            </w:tcBorders>
          </w:tcPr>
          <w:p>
            <w:pPr>
              <w:jc w:val="right"/>
              <w:ind w:right="36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24"/>
              <w:spacing w:after="0" w:line="118" w:lineRule="exact"/>
              <w:rPr>
                <w:sz w:val="20"/>
                <w:szCs w:val="20"/>
                <w:color w:val="auto"/>
              </w:rPr>
            </w:pPr>
            <w:r>
              <w:rPr>
                <w:rFonts w:ascii="Times New Roman" w:cs="Times New Roman" w:eastAsia="Times New Roman" w:hAnsi="Times New Roman"/>
                <w:sz w:val="11"/>
                <w:szCs w:val="11"/>
                <w:color w:val="auto"/>
              </w:rPr>
              <w:t>9,415,161</w:t>
            </w:r>
          </w:p>
        </w:tc>
        <w:tc>
          <w:tcPr>
            <w:tcW w:w="580" w:type="dxa"/>
            <w:vAlign w:val="bottom"/>
            <w:tcBorders>
              <w:bottom w:val="single" w:sz="8" w:color="auto"/>
            </w:tcBorders>
          </w:tcPr>
          <w:p>
            <w:pPr>
              <w:jc w:val="right"/>
              <w:ind w:right="42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ind w:right="63"/>
              <w:spacing w:after="0" w:line="118" w:lineRule="exact"/>
              <w:rPr>
                <w:sz w:val="20"/>
                <w:szCs w:val="20"/>
                <w:color w:val="auto"/>
              </w:rPr>
            </w:pPr>
            <w:r>
              <w:rPr>
                <w:rFonts w:ascii="Times New Roman" w:cs="Times New Roman" w:eastAsia="Times New Roman" w:hAnsi="Times New Roman"/>
                <w:sz w:val="11"/>
                <w:szCs w:val="11"/>
                <w:color w:val="auto"/>
              </w:rPr>
              <w:t>23,733,296</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7"/>
        </w:trPr>
        <w:tc>
          <w:tcPr>
            <w:tcW w:w="434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r>
      <w:tr>
        <w:trPr>
          <w:trHeight w:val="142"/>
        </w:trPr>
        <w:tc>
          <w:tcPr>
            <w:tcW w:w="4340" w:type="dxa"/>
            <w:vAlign w:val="bottom"/>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Three Months December 31, 2022 </w:t>
            </w:r>
            <w:r>
              <w:rPr>
                <w:rFonts w:ascii="Times New Roman" w:cs="Times New Roman" w:eastAsia="Times New Roman" w:hAnsi="Times New Roman"/>
                <w:sz w:val="14"/>
                <w:szCs w:val="14"/>
                <w:b w:val="1"/>
                <w:bCs w:val="1"/>
                <w:color w:val="auto"/>
                <w:vertAlign w:val="superscript"/>
              </w:rPr>
              <w:t>1</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Interest Income (Loss)</w:t>
            </w:r>
          </w:p>
        </w:tc>
        <w:tc>
          <w:tcPr>
            <w:tcW w:w="780" w:type="dxa"/>
            <w:vAlign w:val="bottom"/>
            <w:shd w:val="clear" w:color="auto" w:fill="CFF0FC"/>
          </w:tcPr>
          <w:p>
            <w:pPr>
              <w:jc w:val="right"/>
              <w:ind w:right="38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94,799</w:t>
            </w:r>
          </w:p>
        </w:tc>
        <w:tc>
          <w:tcPr>
            <w:tcW w:w="440" w:type="dxa"/>
            <w:vAlign w:val="bottom"/>
            <w:shd w:val="clear" w:color="auto" w:fill="CFF0FC"/>
          </w:tcPr>
          <w:p>
            <w:pPr>
              <w:jc w:val="right"/>
              <w:ind w:right="28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56,879</w:t>
            </w:r>
          </w:p>
        </w:tc>
        <w:tc>
          <w:tcPr>
            <w:tcW w:w="520" w:type="dxa"/>
            <w:vAlign w:val="bottom"/>
            <w:shd w:val="clear" w:color="auto" w:fill="CFF0FC"/>
          </w:tcPr>
          <w:p>
            <w:pPr>
              <w:jc w:val="right"/>
              <w:ind w:right="36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(10,940 )</w:t>
            </w:r>
          </w:p>
        </w:tc>
        <w:tc>
          <w:tcPr>
            <w:tcW w:w="580" w:type="dxa"/>
            <w:vAlign w:val="bottom"/>
            <w:shd w:val="clear" w:color="auto" w:fill="CFF0FC"/>
          </w:tcPr>
          <w:p>
            <w:pPr>
              <w:jc w:val="right"/>
              <w:ind w:right="42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rPr>
              <w:t>140,738</w:t>
            </w:r>
          </w:p>
        </w:tc>
      </w:tr>
      <w:tr>
        <w:trPr>
          <w:trHeight w:val="142"/>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7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1,861</w:t>
            </w: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(1,655 )</w:t>
            </w:r>
          </w:p>
        </w:tc>
        <w:tc>
          <w:tcPr>
            <w:tcW w:w="5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200</w:t>
            </w:r>
          </w:p>
        </w:tc>
      </w:tr>
      <w:tr>
        <w:trPr>
          <w:trHeight w:val="13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Interest Income (Loss) After Provision for Credit Losses</w:t>
            </w:r>
          </w:p>
        </w:tc>
        <w:tc>
          <w:tcPr>
            <w:tcW w:w="78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92,938</w:t>
            </w:r>
          </w:p>
        </w:tc>
        <w:tc>
          <w:tcPr>
            <w:tcW w:w="44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56,885</w:t>
            </w:r>
          </w:p>
        </w:tc>
        <w:tc>
          <w:tcPr>
            <w:tcW w:w="52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(9,285 )</w:t>
            </w:r>
          </w:p>
        </w:tc>
        <w:tc>
          <w:tcPr>
            <w:tcW w:w="580" w:type="dxa"/>
            <w:vAlign w:val="bottom"/>
            <w:shd w:val="clear" w:color="auto" w:fill="CFF0FC"/>
          </w:tcPr>
          <w:p>
            <w:pPr>
              <w:spacing w:after="0"/>
              <w:rPr>
                <w:sz w:val="11"/>
                <w:szCs w:val="11"/>
                <w:color w:val="auto"/>
              </w:rPr>
            </w:pPr>
          </w:p>
        </w:tc>
        <w:tc>
          <w:tcPr>
            <w:tcW w:w="130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rPr>
              <w:t>140,538</w:t>
            </w:r>
          </w:p>
        </w:tc>
      </w:tr>
      <w:tr>
        <w:trPr>
          <w:trHeight w:val="142"/>
        </w:trPr>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780" w:type="dxa"/>
            <w:vAlign w:val="bottom"/>
          </w:tcPr>
          <w:p>
            <w:pPr>
              <w:spacing w:after="0"/>
              <w:rPr>
                <w:sz w:val="12"/>
                <w:szCs w:val="12"/>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31,526</w:t>
            </w:r>
          </w:p>
        </w:tc>
        <w:tc>
          <w:tcPr>
            <w:tcW w:w="440" w:type="dxa"/>
            <w:vAlign w:val="bottom"/>
          </w:tcPr>
          <w:p>
            <w:pPr>
              <w:spacing w:after="0"/>
              <w:rPr>
                <w:sz w:val="12"/>
                <w:szCs w:val="12"/>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8,288</w:t>
            </w:r>
          </w:p>
        </w:tc>
        <w:tc>
          <w:tcPr>
            <w:tcW w:w="520" w:type="dxa"/>
            <w:vAlign w:val="bottom"/>
          </w:tcPr>
          <w:p>
            <w:pPr>
              <w:spacing w:after="0"/>
              <w:rPr>
                <w:sz w:val="12"/>
                <w:szCs w:val="12"/>
                <w:color w:val="auto"/>
              </w:rPr>
            </w:pP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1,358</w:t>
            </w:r>
          </w:p>
        </w:tc>
        <w:tc>
          <w:tcPr>
            <w:tcW w:w="580" w:type="dxa"/>
            <w:vAlign w:val="bottom"/>
          </w:tcPr>
          <w:p>
            <w:pPr>
              <w:spacing w:after="0"/>
              <w:rPr>
                <w:sz w:val="12"/>
                <w:szCs w:val="12"/>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41,172</w:t>
            </w:r>
          </w:p>
        </w:tc>
      </w:tr>
      <w:tr>
        <w:trPr>
          <w:trHeight w:val="142"/>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7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(82,286 )</w:t>
            </w:r>
          </w:p>
        </w:tc>
        <w:tc>
          <w:tcPr>
            <w:tcW w:w="44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(17,587 )</w:t>
            </w:r>
          </w:p>
        </w:tc>
        <w:tc>
          <w:tcPr>
            <w:tcW w:w="5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(2,830 )</w:t>
            </w:r>
          </w:p>
        </w:tc>
        <w:tc>
          <w:tcPr>
            <w:tcW w:w="5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(102,703 )</w:t>
            </w:r>
          </w:p>
        </w:tc>
      </w:tr>
      <w:tr>
        <w:trPr>
          <w:trHeight w:val="134"/>
        </w:trPr>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Income (Loss) Before Income Taxes</w:t>
            </w:r>
          </w:p>
        </w:tc>
        <w:tc>
          <w:tcPr>
            <w:tcW w:w="780" w:type="dxa"/>
            <w:vAlign w:val="bottom"/>
          </w:tcPr>
          <w:p>
            <w:pPr>
              <w:spacing w:after="0"/>
              <w:rPr>
                <w:sz w:val="11"/>
                <w:szCs w:val="11"/>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42,178</w:t>
            </w:r>
          </w:p>
        </w:tc>
        <w:tc>
          <w:tcPr>
            <w:tcW w:w="440" w:type="dxa"/>
            <w:vAlign w:val="bottom"/>
          </w:tcPr>
          <w:p>
            <w:pPr>
              <w:spacing w:after="0"/>
              <w:rPr>
                <w:sz w:val="11"/>
                <w:szCs w:val="11"/>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47,586</w:t>
            </w:r>
          </w:p>
        </w:tc>
        <w:tc>
          <w:tcPr>
            <w:tcW w:w="5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(10,757 )</w:t>
            </w:r>
          </w:p>
        </w:tc>
        <w:tc>
          <w:tcPr>
            <w:tcW w:w="580" w:type="dxa"/>
            <w:vAlign w:val="bottom"/>
          </w:tcPr>
          <w:p>
            <w:pPr>
              <w:spacing w:after="0"/>
              <w:rPr>
                <w:sz w:val="11"/>
                <w:szCs w:val="11"/>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79,007</w:t>
            </w:r>
          </w:p>
        </w:tc>
      </w:tr>
      <w:tr>
        <w:trPr>
          <w:trHeight w:val="142"/>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78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(10,840 )</w:t>
            </w:r>
          </w:p>
        </w:tc>
        <w:tc>
          <w:tcPr>
            <w:tcW w:w="44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(12,005 )</w:t>
            </w:r>
          </w:p>
        </w:tc>
        <w:tc>
          <w:tcPr>
            <w:tcW w:w="5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rPr>
              <w:t>5,145</w:t>
            </w:r>
          </w:p>
        </w:tc>
        <w:tc>
          <w:tcPr>
            <w:tcW w:w="5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(17,700 )</w:t>
            </w:r>
          </w:p>
        </w:tc>
      </w:tr>
      <w:tr>
        <w:trPr>
          <w:trHeight w:val="134"/>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7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31,338</w:t>
            </w:r>
          </w:p>
        </w:tc>
        <w:tc>
          <w:tcPr>
            <w:tcW w:w="4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35,581</w:t>
            </w:r>
          </w:p>
        </w:tc>
        <w:tc>
          <w:tcPr>
            <w:tcW w:w="52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(5,612 )</w:t>
            </w:r>
          </w:p>
        </w:tc>
        <w:tc>
          <w:tcPr>
            <w:tcW w:w="58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61,307</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57"/>
        </w:trPr>
        <w:tc>
          <w:tcPr>
            <w:tcW w:w="4340" w:type="dxa"/>
            <w:vAlign w:val="bottom"/>
            <w:tcBorders>
              <w:bottom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Total Assets as of December 31, 2022</w:t>
            </w:r>
          </w:p>
        </w:tc>
        <w:tc>
          <w:tcPr>
            <w:tcW w:w="780" w:type="dxa"/>
            <w:vAlign w:val="bottom"/>
            <w:tcBorders>
              <w:bottom w:val="single" w:sz="8" w:color="auto"/>
            </w:tcBorders>
            <w:shd w:val="clear" w:color="auto" w:fill="CFF0FC"/>
          </w:tcPr>
          <w:p>
            <w:pPr>
              <w:jc w:val="right"/>
              <w:ind w:right="38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FF0FC"/>
          </w:tcPr>
          <w:p>
            <w:pPr>
              <w:jc w:val="right"/>
              <w:ind w:right="44"/>
              <w:spacing w:after="0" w:line="118" w:lineRule="exact"/>
              <w:rPr>
                <w:sz w:val="20"/>
                <w:szCs w:val="20"/>
                <w:color w:val="auto"/>
              </w:rPr>
            </w:pPr>
            <w:r>
              <w:rPr>
                <w:rFonts w:ascii="Times New Roman" w:cs="Times New Roman" w:eastAsia="Times New Roman" w:hAnsi="Times New Roman"/>
                <w:sz w:val="11"/>
                <w:szCs w:val="11"/>
                <w:color w:val="auto"/>
              </w:rPr>
              <w:t>8,520,459</w:t>
            </w:r>
          </w:p>
        </w:tc>
        <w:tc>
          <w:tcPr>
            <w:tcW w:w="440" w:type="dxa"/>
            <w:vAlign w:val="bottom"/>
            <w:tcBorders>
              <w:bottom w:val="single" w:sz="8" w:color="auto"/>
            </w:tcBorders>
            <w:shd w:val="clear" w:color="auto" w:fill="CFF0FC"/>
          </w:tcPr>
          <w:p>
            <w:pPr>
              <w:jc w:val="right"/>
              <w:ind w:right="28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FF0FC"/>
          </w:tcPr>
          <w:p>
            <w:pPr>
              <w:jc w:val="right"/>
              <w:ind w:right="44"/>
              <w:spacing w:after="0" w:line="118" w:lineRule="exact"/>
              <w:rPr>
                <w:sz w:val="20"/>
                <w:szCs w:val="20"/>
                <w:color w:val="auto"/>
              </w:rPr>
            </w:pPr>
            <w:r>
              <w:rPr>
                <w:rFonts w:ascii="Times New Roman" w:cs="Times New Roman" w:eastAsia="Times New Roman" w:hAnsi="Times New Roman"/>
                <w:sz w:val="11"/>
                <w:szCs w:val="11"/>
                <w:color w:val="auto"/>
              </w:rPr>
              <w:t>5,522,916</w:t>
            </w:r>
          </w:p>
        </w:tc>
        <w:tc>
          <w:tcPr>
            <w:tcW w:w="520" w:type="dxa"/>
            <w:vAlign w:val="bottom"/>
            <w:tcBorders>
              <w:bottom w:val="single" w:sz="8" w:color="auto"/>
            </w:tcBorders>
            <w:shd w:val="clear" w:color="auto" w:fill="CFF0FC"/>
          </w:tcPr>
          <w:p>
            <w:pPr>
              <w:jc w:val="right"/>
              <w:ind w:right="36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FF0FC"/>
          </w:tcPr>
          <w:p>
            <w:pPr>
              <w:jc w:val="right"/>
              <w:ind w:right="24"/>
              <w:spacing w:after="0" w:line="118" w:lineRule="exact"/>
              <w:rPr>
                <w:sz w:val="20"/>
                <w:szCs w:val="20"/>
                <w:color w:val="auto"/>
              </w:rPr>
            </w:pPr>
            <w:r>
              <w:rPr>
                <w:rFonts w:ascii="Times New Roman" w:cs="Times New Roman" w:eastAsia="Times New Roman" w:hAnsi="Times New Roman"/>
                <w:sz w:val="11"/>
                <w:szCs w:val="11"/>
                <w:color w:val="auto"/>
              </w:rPr>
              <w:t>9,563,502</w:t>
            </w:r>
          </w:p>
        </w:tc>
        <w:tc>
          <w:tcPr>
            <w:tcW w:w="580" w:type="dxa"/>
            <w:vAlign w:val="bottom"/>
            <w:tcBorders>
              <w:bottom w:val="single" w:sz="8" w:color="auto"/>
            </w:tcBorders>
            <w:shd w:val="clear" w:color="auto" w:fill="CFF0FC"/>
          </w:tcPr>
          <w:p>
            <w:pPr>
              <w:jc w:val="right"/>
              <w:ind w:right="42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shd w:val="clear" w:color="auto" w:fill="CFF0FC"/>
          </w:tcPr>
          <w:p>
            <w:pPr>
              <w:jc w:val="right"/>
              <w:ind w:right="63"/>
              <w:spacing w:after="0" w:line="118" w:lineRule="exact"/>
              <w:rPr>
                <w:sz w:val="20"/>
                <w:szCs w:val="20"/>
                <w:color w:val="auto"/>
              </w:rPr>
            </w:pPr>
            <w:r>
              <w:rPr>
                <w:rFonts w:ascii="Times New Roman" w:cs="Times New Roman" w:eastAsia="Times New Roman" w:hAnsi="Times New Roman"/>
                <w:sz w:val="11"/>
                <w:szCs w:val="11"/>
                <w:color w:val="auto"/>
              </w:rPr>
              <w:t>23,606,877</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1 Certain prior period information has been reclassified to conform to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643890</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Business Segments Selected Financial Information</w:t>
            </w:r>
          </w:p>
        </w:tc>
        <w:tc>
          <w:tcPr>
            <w:tcW w:w="8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b w:val="1"/>
                <w:bCs w:val="1"/>
                <w:color w:val="auto"/>
              </w:rPr>
              <w:t>Table 13b</w:t>
            </w:r>
          </w:p>
        </w:tc>
      </w:tr>
      <w:tr>
        <w:trPr>
          <w:trHeight w:val="136"/>
        </w:trPr>
        <w:tc>
          <w:tcPr>
            <w:tcW w:w="4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jc w:val="right"/>
              <w:ind w:right="44"/>
              <w:spacing w:after="0" w:line="136" w:lineRule="exact"/>
              <w:rPr>
                <w:sz w:val="20"/>
                <w:szCs w:val="20"/>
                <w:color w:val="auto"/>
              </w:rPr>
            </w:pPr>
            <w:r>
              <w:rPr>
                <w:rFonts w:ascii="Times New Roman" w:cs="Times New Roman" w:eastAsia="Times New Roman" w:hAnsi="Times New Roman"/>
                <w:sz w:val="13"/>
                <w:szCs w:val="13"/>
                <w:b w:val="1"/>
                <w:bCs w:val="1"/>
                <w:color w:val="auto"/>
              </w:rPr>
              <w:t>Consumer</w:t>
            </w:r>
          </w:p>
        </w:tc>
        <w:tc>
          <w:tcPr>
            <w:tcW w:w="500" w:type="dxa"/>
            <w:vAlign w:val="bottom"/>
          </w:tcPr>
          <w:p>
            <w:pPr>
              <w:spacing w:after="0"/>
              <w:rPr>
                <w:sz w:val="11"/>
                <w:szCs w:val="11"/>
                <w:color w:val="auto"/>
              </w:rPr>
            </w:pPr>
          </w:p>
        </w:tc>
        <w:tc>
          <w:tcPr>
            <w:tcW w:w="1160" w:type="dxa"/>
            <w:vAlign w:val="bottom"/>
          </w:tcPr>
          <w:p>
            <w:pPr>
              <w:jc w:val="right"/>
              <w:ind w:right="44"/>
              <w:spacing w:after="0" w:line="136"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540" w:type="dxa"/>
            <w:vAlign w:val="bottom"/>
          </w:tcPr>
          <w:p>
            <w:pPr>
              <w:spacing w:after="0"/>
              <w:rPr>
                <w:sz w:val="11"/>
                <w:szCs w:val="11"/>
                <w:color w:val="auto"/>
              </w:rPr>
            </w:pPr>
          </w:p>
        </w:tc>
        <w:tc>
          <w:tcPr>
            <w:tcW w:w="1100" w:type="dxa"/>
            <w:vAlign w:val="bottom"/>
          </w:tcPr>
          <w:p>
            <w:pPr>
              <w:jc w:val="right"/>
              <w:ind w:right="44"/>
              <w:spacing w:after="0" w:line="136"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480" w:type="dxa"/>
            <w:vAlign w:val="bottom"/>
          </w:tcPr>
          <w:p>
            <w:pPr>
              <w:spacing w:after="0"/>
              <w:rPr>
                <w:sz w:val="11"/>
                <w:szCs w:val="11"/>
                <w:color w:val="auto"/>
              </w:rPr>
            </w:pPr>
          </w:p>
        </w:tc>
        <w:tc>
          <w:tcPr>
            <w:tcW w:w="1220" w:type="dxa"/>
            <w:vAlign w:val="bottom"/>
          </w:tcPr>
          <w:p>
            <w:pPr>
              <w:jc w:val="right"/>
              <w:ind w:right="63"/>
              <w:spacing w:after="0" w:line="136" w:lineRule="exact"/>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4"/>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(dollars in thousands)</w:t>
            </w: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Banking</w:t>
            </w: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Banking</w:t>
            </w: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4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80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142"/>
        </w:trPr>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Net Interest Income (Loss)</w:t>
            </w:r>
          </w:p>
        </w:tc>
        <w:tc>
          <w:tcPr>
            <w:tcW w:w="800" w:type="dxa"/>
            <w:vAlign w:val="bottom"/>
          </w:tcPr>
          <w:p>
            <w:pPr>
              <w:jc w:val="right"/>
              <w:ind w:right="40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400,380</w:t>
            </w:r>
          </w:p>
        </w:tc>
        <w:tc>
          <w:tcPr>
            <w:tcW w:w="500" w:type="dxa"/>
            <w:vAlign w:val="bottom"/>
          </w:tcPr>
          <w:p>
            <w:pPr>
              <w:jc w:val="right"/>
              <w:ind w:right="34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215,865</w:t>
            </w:r>
          </w:p>
        </w:tc>
        <w:tc>
          <w:tcPr>
            <w:tcW w:w="54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(119,220 )</w:t>
            </w:r>
          </w:p>
        </w:tc>
        <w:tc>
          <w:tcPr>
            <w:tcW w:w="48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497,025</w:t>
            </w:r>
          </w:p>
        </w:tc>
      </w:tr>
      <w:tr>
        <w:trPr>
          <w:trHeight w:val="142"/>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80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7,773</w:t>
            </w:r>
          </w:p>
        </w:tc>
        <w:tc>
          <w:tcPr>
            <w:tcW w:w="5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44</w:t>
            </w:r>
          </w:p>
        </w:tc>
        <w:tc>
          <w:tcPr>
            <w:tcW w:w="54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1,183</w:t>
            </w:r>
          </w:p>
        </w:tc>
        <w:tc>
          <w:tcPr>
            <w:tcW w:w="4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rPr>
              <w:t>9,000</w:t>
            </w:r>
          </w:p>
        </w:tc>
      </w:tr>
      <w:tr>
        <w:trPr>
          <w:trHeight w:val="134"/>
        </w:trPr>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Net Interest Income (Loss) After Provision for Credit Losses</w:t>
            </w:r>
          </w:p>
        </w:tc>
        <w:tc>
          <w:tcPr>
            <w:tcW w:w="800" w:type="dxa"/>
            <w:vAlign w:val="bottom"/>
          </w:tcPr>
          <w:p>
            <w:pPr>
              <w:spacing w:after="0"/>
              <w:rPr>
                <w:sz w:val="11"/>
                <w:szCs w:val="11"/>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392,607</w:t>
            </w:r>
          </w:p>
        </w:tc>
        <w:tc>
          <w:tcPr>
            <w:tcW w:w="500" w:type="dxa"/>
            <w:vAlign w:val="bottom"/>
          </w:tcPr>
          <w:p>
            <w:pPr>
              <w:spacing w:after="0"/>
              <w:rPr>
                <w:sz w:val="11"/>
                <w:szCs w:val="11"/>
                <w:color w:val="auto"/>
              </w:rPr>
            </w:pP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215,821</w:t>
            </w:r>
          </w:p>
        </w:tc>
        <w:tc>
          <w:tcPr>
            <w:tcW w:w="5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(120,403 )</w:t>
            </w:r>
          </w:p>
        </w:tc>
        <w:tc>
          <w:tcPr>
            <w:tcW w:w="480" w:type="dxa"/>
            <w:vAlign w:val="bottom"/>
          </w:tcPr>
          <w:p>
            <w:pPr>
              <w:spacing w:after="0"/>
              <w:rPr>
                <w:sz w:val="11"/>
                <w:szCs w:val="11"/>
                <w:color w:val="auto"/>
              </w:rPr>
            </w:pPr>
          </w:p>
        </w:tc>
        <w:tc>
          <w:tcPr>
            <w:tcW w:w="1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488,025</w:t>
            </w:r>
          </w:p>
        </w:tc>
      </w:tr>
      <w:tr>
        <w:trPr>
          <w:trHeight w:val="14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80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126,373</w:t>
            </w:r>
          </w:p>
        </w:tc>
        <w:tc>
          <w:tcPr>
            <w:tcW w:w="50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33,016</w:t>
            </w:r>
          </w:p>
        </w:tc>
        <w:tc>
          <w:tcPr>
            <w:tcW w:w="54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17,220</w:t>
            </w:r>
          </w:p>
        </w:tc>
        <w:tc>
          <w:tcPr>
            <w:tcW w:w="48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rPr>
              <w:t>176,609</w:t>
            </w:r>
          </w:p>
        </w:tc>
      </w:tr>
      <w:tr>
        <w:trPr>
          <w:trHeight w:val="142"/>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8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(340,336 )</w:t>
            </w:r>
          </w:p>
        </w:tc>
        <w:tc>
          <w:tcPr>
            <w:tcW w:w="5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(77,486 )</w:t>
            </w:r>
          </w:p>
        </w:tc>
        <w:tc>
          <w:tcPr>
            <w:tcW w:w="5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(19,696 )</w:t>
            </w:r>
          </w:p>
        </w:tc>
        <w:tc>
          <w:tcPr>
            <w:tcW w:w="4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(437,518 )</w:t>
            </w:r>
          </w:p>
        </w:tc>
      </w:tr>
      <w:tr>
        <w:trPr>
          <w:trHeight w:val="13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Income (Loss) Before Income Taxes</w:t>
            </w:r>
          </w:p>
        </w:tc>
        <w:tc>
          <w:tcPr>
            <w:tcW w:w="80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178,644</w:t>
            </w:r>
          </w:p>
        </w:tc>
        <w:tc>
          <w:tcPr>
            <w:tcW w:w="5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171,351</w:t>
            </w:r>
          </w:p>
        </w:tc>
        <w:tc>
          <w:tcPr>
            <w:tcW w:w="54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(122,879 )</w:t>
            </w:r>
          </w:p>
        </w:tc>
        <w:tc>
          <w:tcPr>
            <w:tcW w:w="4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rPr>
              <w:t>227,116</w:t>
            </w:r>
          </w:p>
        </w:tc>
      </w:tr>
      <w:tr>
        <w:trPr>
          <w:trHeight w:val="142"/>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8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(46,003 )</w:t>
            </w:r>
          </w:p>
        </w:tc>
        <w:tc>
          <w:tcPr>
            <w:tcW w:w="5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(42,806 )</w:t>
            </w:r>
          </w:p>
        </w:tc>
        <w:tc>
          <w:tcPr>
            <w:tcW w:w="5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32,895</w:t>
            </w:r>
          </w:p>
        </w:tc>
        <w:tc>
          <w:tcPr>
            <w:tcW w:w="4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(55,914 )</w:t>
            </w:r>
          </w:p>
        </w:tc>
      </w:tr>
      <w:tr>
        <w:trPr>
          <w:trHeight w:val="174"/>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800" w:type="dxa"/>
            <w:vAlign w:val="bottom"/>
            <w:tcBorders>
              <w:bottom w:val="single" w:sz="8" w:color="auto"/>
            </w:tcBorders>
            <w:shd w:val="clear" w:color="auto" w:fill="CFF0FC"/>
          </w:tcPr>
          <w:p>
            <w:pPr>
              <w:jc w:val="right"/>
              <w:ind w:right="40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132,641</w:t>
            </w: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128,545</w:t>
            </w: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(89,984 )</w:t>
            </w: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rPr>
              <w:t>171,202</w:t>
            </w:r>
          </w:p>
        </w:tc>
      </w:tr>
      <w:tr>
        <w:trPr>
          <w:trHeight w:val="117"/>
        </w:trPr>
        <w:tc>
          <w:tcPr>
            <w:tcW w:w="4340" w:type="dxa"/>
            <w:vAlign w:val="bottom"/>
            <w:tcBorders>
              <w:bottom w:val="single" w:sz="8" w:color="auto"/>
            </w:tcBorders>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Total Assets as of December 31, 2023</w:t>
            </w:r>
          </w:p>
        </w:tc>
        <w:tc>
          <w:tcPr>
            <w:tcW w:w="800" w:type="dxa"/>
            <w:vAlign w:val="bottom"/>
            <w:tcBorders>
              <w:bottom w:val="single" w:sz="8" w:color="auto"/>
            </w:tcBorders>
          </w:tcPr>
          <w:p>
            <w:pPr>
              <w:jc w:val="right"/>
              <w:ind w:right="40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44"/>
              <w:spacing w:after="0" w:line="118" w:lineRule="exact"/>
              <w:rPr>
                <w:sz w:val="20"/>
                <w:szCs w:val="20"/>
                <w:color w:val="auto"/>
              </w:rPr>
            </w:pPr>
            <w:r>
              <w:rPr>
                <w:rFonts w:ascii="Times New Roman" w:cs="Times New Roman" w:eastAsia="Times New Roman" w:hAnsi="Times New Roman"/>
                <w:sz w:val="11"/>
                <w:szCs w:val="11"/>
                <w:color w:val="auto"/>
              </w:rPr>
              <w:t>8,486,255</w:t>
            </w:r>
          </w:p>
        </w:tc>
        <w:tc>
          <w:tcPr>
            <w:tcW w:w="500" w:type="dxa"/>
            <w:vAlign w:val="bottom"/>
            <w:tcBorders>
              <w:bottom w:val="single" w:sz="8" w:color="auto"/>
            </w:tcBorders>
          </w:tcPr>
          <w:p>
            <w:pPr>
              <w:jc w:val="right"/>
              <w:ind w:right="34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ind w:right="44"/>
              <w:spacing w:after="0" w:line="118" w:lineRule="exact"/>
              <w:rPr>
                <w:sz w:val="20"/>
                <w:szCs w:val="20"/>
                <w:color w:val="auto"/>
              </w:rPr>
            </w:pPr>
            <w:r>
              <w:rPr>
                <w:rFonts w:ascii="Times New Roman" w:cs="Times New Roman" w:eastAsia="Times New Roman" w:hAnsi="Times New Roman"/>
                <w:sz w:val="11"/>
                <w:szCs w:val="11"/>
                <w:color w:val="auto"/>
              </w:rPr>
              <w:t>5,831,880</w:t>
            </w:r>
          </w:p>
        </w:tc>
        <w:tc>
          <w:tcPr>
            <w:tcW w:w="540" w:type="dxa"/>
            <w:vAlign w:val="bottom"/>
            <w:tcBorders>
              <w:bottom w:val="single" w:sz="8" w:color="auto"/>
            </w:tcBorders>
          </w:tcPr>
          <w:p>
            <w:pPr>
              <w:jc w:val="right"/>
              <w:ind w:right="38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44"/>
              <w:spacing w:after="0" w:line="118" w:lineRule="exact"/>
              <w:rPr>
                <w:sz w:val="20"/>
                <w:szCs w:val="20"/>
                <w:color w:val="auto"/>
              </w:rPr>
            </w:pPr>
            <w:r>
              <w:rPr>
                <w:rFonts w:ascii="Times New Roman" w:cs="Times New Roman" w:eastAsia="Times New Roman" w:hAnsi="Times New Roman"/>
                <w:sz w:val="11"/>
                <w:szCs w:val="11"/>
                <w:color w:val="auto"/>
              </w:rPr>
              <w:t>9,415,161</w:t>
            </w:r>
          </w:p>
        </w:tc>
        <w:tc>
          <w:tcPr>
            <w:tcW w:w="480" w:type="dxa"/>
            <w:vAlign w:val="bottom"/>
            <w:tcBorders>
              <w:bottom w:val="single" w:sz="8" w:color="auto"/>
            </w:tcBorders>
          </w:tcPr>
          <w:p>
            <w:pPr>
              <w:jc w:val="right"/>
              <w:ind w:right="32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tcPr>
          <w:p>
            <w:pPr>
              <w:jc w:val="right"/>
              <w:ind w:right="63"/>
              <w:spacing w:after="0" w:line="118" w:lineRule="exact"/>
              <w:rPr>
                <w:sz w:val="20"/>
                <w:szCs w:val="20"/>
                <w:color w:val="auto"/>
              </w:rPr>
            </w:pPr>
            <w:r>
              <w:rPr>
                <w:rFonts w:ascii="Times New Roman" w:cs="Times New Roman" w:eastAsia="Times New Roman" w:hAnsi="Times New Roman"/>
                <w:sz w:val="11"/>
                <w:szCs w:val="11"/>
                <w:color w:val="auto"/>
              </w:rPr>
              <w:t>23,733,296</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17"/>
        </w:trPr>
        <w:tc>
          <w:tcPr>
            <w:tcW w:w="43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r>
      <w:tr>
        <w:trPr>
          <w:trHeight w:val="142"/>
        </w:trPr>
        <w:tc>
          <w:tcPr>
            <w:tcW w:w="4340" w:type="dxa"/>
            <w:vAlign w:val="bottom"/>
          </w:tcPr>
          <w:p>
            <w:pPr>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Year Ended December 31, 2022 </w:t>
            </w:r>
            <w:r>
              <w:rPr>
                <w:rFonts w:ascii="Times New Roman" w:cs="Times New Roman" w:eastAsia="Times New Roman" w:hAnsi="Times New Roman"/>
                <w:sz w:val="14"/>
                <w:szCs w:val="14"/>
                <w:b w:val="1"/>
                <w:bCs w:val="1"/>
                <w:color w:val="auto"/>
                <w:vertAlign w:val="superscript"/>
              </w:rPr>
              <w:t>1</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2"/>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Interest Income</w:t>
            </w:r>
          </w:p>
        </w:tc>
        <w:tc>
          <w:tcPr>
            <w:tcW w:w="800" w:type="dxa"/>
            <w:vAlign w:val="bottom"/>
            <w:shd w:val="clear" w:color="auto" w:fill="CFF0FC"/>
          </w:tcPr>
          <w:p>
            <w:pPr>
              <w:jc w:val="right"/>
              <w:ind w:right="40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327,445</w:t>
            </w:r>
          </w:p>
        </w:tc>
        <w:tc>
          <w:tcPr>
            <w:tcW w:w="500" w:type="dxa"/>
            <w:vAlign w:val="bottom"/>
            <w:shd w:val="clear" w:color="auto" w:fill="CFF0FC"/>
          </w:tcPr>
          <w:p>
            <w:pPr>
              <w:jc w:val="right"/>
              <w:ind w:right="34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209,273</w:t>
            </w:r>
          </w:p>
        </w:tc>
        <w:tc>
          <w:tcPr>
            <w:tcW w:w="540" w:type="dxa"/>
            <w:vAlign w:val="bottom"/>
            <w:shd w:val="clear" w:color="auto" w:fill="CFF0FC"/>
          </w:tcPr>
          <w:p>
            <w:pPr>
              <w:jc w:val="right"/>
              <w:ind w:right="38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3,840</w:t>
            </w:r>
          </w:p>
        </w:tc>
        <w:tc>
          <w:tcPr>
            <w:tcW w:w="480" w:type="dxa"/>
            <w:vAlign w:val="bottom"/>
            <w:shd w:val="clear" w:color="auto" w:fill="CFF0FC"/>
          </w:tcPr>
          <w:p>
            <w:pPr>
              <w:jc w:val="right"/>
              <w:ind w:right="325"/>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rPr>
              <w:t>540,558</w:t>
            </w:r>
          </w:p>
        </w:tc>
      </w:tr>
      <w:tr>
        <w:trPr>
          <w:trHeight w:val="142"/>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8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5,324</w:t>
            </w:r>
          </w:p>
        </w:tc>
        <w:tc>
          <w:tcPr>
            <w:tcW w:w="5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(206 )</w:t>
            </w:r>
          </w:p>
        </w:tc>
        <w:tc>
          <w:tcPr>
            <w:tcW w:w="5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(12,918 )</w:t>
            </w:r>
          </w:p>
        </w:tc>
        <w:tc>
          <w:tcPr>
            <w:tcW w:w="4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(7,800 )</w:t>
            </w:r>
          </w:p>
        </w:tc>
      </w:tr>
      <w:tr>
        <w:trPr>
          <w:trHeight w:val="13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80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322,121</w:t>
            </w:r>
          </w:p>
        </w:tc>
        <w:tc>
          <w:tcPr>
            <w:tcW w:w="50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209,479</w:t>
            </w:r>
          </w:p>
        </w:tc>
        <w:tc>
          <w:tcPr>
            <w:tcW w:w="54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16,758</w:t>
            </w:r>
          </w:p>
        </w:tc>
        <w:tc>
          <w:tcPr>
            <w:tcW w:w="480" w:type="dxa"/>
            <w:vAlign w:val="bottom"/>
            <w:shd w:val="clear" w:color="auto" w:fill="CFF0FC"/>
          </w:tcPr>
          <w:p>
            <w:pPr>
              <w:spacing w:after="0"/>
              <w:rPr>
                <w:sz w:val="11"/>
                <w:szCs w:val="11"/>
                <w:color w:val="auto"/>
              </w:rPr>
            </w:pPr>
          </w:p>
        </w:tc>
        <w:tc>
          <w:tcPr>
            <w:tcW w:w="122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rPr>
              <w:t>548,358</w:t>
            </w:r>
          </w:p>
        </w:tc>
      </w:tr>
      <w:tr>
        <w:trPr>
          <w:trHeight w:val="142"/>
        </w:trPr>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800" w:type="dxa"/>
            <w:vAlign w:val="bottom"/>
          </w:tcPr>
          <w:p>
            <w:pPr>
              <w:spacing w:after="0"/>
              <w:rPr>
                <w:sz w:val="12"/>
                <w:szCs w:val="12"/>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126,337</w:t>
            </w:r>
          </w:p>
        </w:tc>
        <w:tc>
          <w:tcPr>
            <w:tcW w:w="500" w:type="dxa"/>
            <w:vAlign w:val="bottom"/>
          </w:tcPr>
          <w:p>
            <w:pPr>
              <w:spacing w:after="0"/>
              <w:rPr>
                <w:sz w:val="12"/>
                <w:szCs w:val="12"/>
                <w:color w:val="auto"/>
              </w:rPr>
            </w:pP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25,938</w:t>
            </w:r>
          </w:p>
        </w:tc>
        <w:tc>
          <w:tcPr>
            <w:tcW w:w="540" w:type="dxa"/>
            <w:vAlign w:val="bottom"/>
          </w:tcPr>
          <w:p>
            <w:pPr>
              <w:spacing w:after="0"/>
              <w:rPr>
                <w:sz w:val="12"/>
                <w:szCs w:val="12"/>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5,266</w:t>
            </w:r>
          </w:p>
        </w:tc>
        <w:tc>
          <w:tcPr>
            <w:tcW w:w="480" w:type="dxa"/>
            <w:vAlign w:val="bottom"/>
          </w:tcPr>
          <w:p>
            <w:pPr>
              <w:spacing w:after="0"/>
              <w:rPr>
                <w:sz w:val="12"/>
                <w:szCs w:val="12"/>
                <w:color w:val="auto"/>
              </w:rPr>
            </w:pPr>
          </w:p>
        </w:tc>
        <w:tc>
          <w:tcPr>
            <w:tcW w:w="1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157,541</w:t>
            </w:r>
          </w:p>
        </w:tc>
      </w:tr>
      <w:tr>
        <w:trPr>
          <w:trHeight w:val="142"/>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80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(330,140 )</w:t>
            </w:r>
          </w:p>
        </w:tc>
        <w:tc>
          <w:tcPr>
            <w:tcW w:w="5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(70,601 )</w:t>
            </w:r>
          </w:p>
        </w:tc>
        <w:tc>
          <w:tcPr>
            <w:tcW w:w="54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(14,524 )</w:t>
            </w:r>
          </w:p>
        </w:tc>
        <w:tc>
          <w:tcPr>
            <w:tcW w:w="4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(415,265 )</w:t>
            </w:r>
          </w:p>
        </w:tc>
      </w:tr>
      <w:tr>
        <w:trPr>
          <w:trHeight w:val="134"/>
        </w:trPr>
        <w:tc>
          <w:tcPr>
            <w:tcW w:w="434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800" w:type="dxa"/>
            <w:vAlign w:val="bottom"/>
          </w:tcPr>
          <w:p>
            <w:pPr>
              <w:spacing w:after="0"/>
              <w:rPr>
                <w:sz w:val="11"/>
                <w:szCs w:val="11"/>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118,318</w:t>
            </w:r>
          </w:p>
        </w:tc>
        <w:tc>
          <w:tcPr>
            <w:tcW w:w="500" w:type="dxa"/>
            <w:vAlign w:val="bottom"/>
          </w:tcPr>
          <w:p>
            <w:pPr>
              <w:spacing w:after="0"/>
              <w:rPr>
                <w:sz w:val="11"/>
                <w:szCs w:val="11"/>
                <w:color w:val="auto"/>
              </w:rPr>
            </w:pPr>
          </w:p>
        </w:tc>
        <w:tc>
          <w:tcPr>
            <w:tcW w:w="1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164,816</w:t>
            </w:r>
          </w:p>
        </w:tc>
        <w:tc>
          <w:tcPr>
            <w:tcW w:w="540" w:type="dxa"/>
            <w:vAlign w:val="bottom"/>
          </w:tcPr>
          <w:p>
            <w:pPr>
              <w:spacing w:after="0"/>
              <w:rPr>
                <w:sz w:val="11"/>
                <w:szCs w:val="11"/>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7,500</w:t>
            </w:r>
          </w:p>
        </w:tc>
        <w:tc>
          <w:tcPr>
            <w:tcW w:w="480" w:type="dxa"/>
            <w:vAlign w:val="bottom"/>
          </w:tcPr>
          <w:p>
            <w:pPr>
              <w:spacing w:after="0"/>
              <w:rPr>
                <w:sz w:val="11"/>
                <w:szCs w:val="11"/>
                <w:color w:val="auto"/>
              </w:rPr>
            </w:pPr>
          </w:p>
        </w:tc>
        <w:tc>
          <w:tcPr>
            <w:tcW w:w="1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290,634</w:t>
            </w:r>
          </w:p>
        </w:tc>
      </w:tr>
      <w:tr>
        <w:trPr>
          <w:trHeight w:val="142"/>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80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(29,954 )</w:t>
            </w:r>
          </w:p>
        </w:tc>
        <w:tc>
          <w:tcPr>
            <w:tcW w:w="50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(40,659 )</w:t>
            </w:r>
          </w:p>
        </w:tc>
        <w:tc>
          <w:tcPr>
            <w:tcW w:w="54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rPr>
              <w:t>5,783</w:t>
            </w:r>
          </w:p>
        </w:tc>
        <w:tc>
          <w:tcPr>
            <w:tcW w:w="48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(64,830 )</w:t>
            </w:r>
          </w:p>
        </w:tc>
      </w:tr>
      <w:tr>
        <w:trPr>
          <w:trHeight w:val="134"/>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8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88,364</w:t>
            </w:r>
          </w:p>
        </w:tc>
        <w:tc>
          <w:tcPr>
            <w:tcW w:w="5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124,157</w:t>
            </w:r>
          </w:p>
        </w:tc>
        <w:tc>
          <w:tcPr>
            <w:tcW w:w="5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rPr>
              <w:t>13,283</w:t>
            </w:r>
          </w:p>
        </w:tc>
        <w:tc>
          <w:tcPr>
            <w:tcW w:w="4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225,804</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57"/>
        </w:trPr>
        <w:tc>
          <w:tcPr>
            <w:tcW w:w="4340" w:type="dxa"/>
            <w:vAlign w:val="bottom"/>
            <w:tcBorders>
              <w:bottom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Total Assets as of December 31, 2022</w:t>
            </w:r>
          </w:p>
        </w:tc>
        <w:tc>
          <w:tcPr>
            <w:tcW w:w="800" w:type="dxa"/>
            <w:vAlign w:val="bottom"/>
            <w:tcBorders>
              <w:bottom w:val="single" w:sz="8" w:color="auto"/>
            </w:tcBorders>
            <w:shd w:val="clear" w:color="auto" w:fill="CFF0FC"/>
          </w:tcPr>
          <w:p>
            <w:pPr>
              <w:jc w:val="right"/>
              <w:ind w:right="40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FF0FC"/>
          </w:tcPr>
          <w:p>
            <w:pPr>
              <w:jc w:val="right"/>
              <w:ind w:right="44"/>
              <w:spacing w:after="0" w:line="118" w:lineRule="exact"/>
              <w:rPr>
                <w:sz w:val="20"/>
                <w:szCs w:val="20"/>
                <w:color w:val="auto"/>
              </w:rPr>
            </w:pPr>
            <w:r>
              <w:rPr>
                <w:rFonts w:ascii="Times New Roman" w:cs="Times New Roman" w:eastAsia="Times New Roman" w:hAnsi="Times New Roman"/>
                <w:sz w:val="11"/>
                <w:szCs w:val="11"/>
                <w:color w:val="auto"/>
              </w:rPr>
              <w:t>8,520,459</w:t>
            </w:r>
          </w:p>
        </w:tc>
        <w:tc>
          <w:tcPr>
            <w:tcW w:w="500" w:type="dxa"/>
            <w:vAlign w:val="bottom"/>
            <w:tcBorders>
              <w:bottom w:val="single" w:sz="8" w:color="auto"/>
            </w:tcBorders>
            <w:shd w:val="clear" w:color="auto" w:fill="CFF0FC"/>
          </w:tcPr>
          <w:p>
            <w:pPr>
              <w:jc w:val="right"/>
              <w:ind w:right="34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FF0FC"/>
          </w:tcPr>
          <w:p>
            <w:pPr>
              <w:jc w:val="right"/>
              <w:ind w:right="44"/>
              <w:spacing w:after="0" w:line="118" w:lineRule="exact"/>
              <w:rPr>
                <w:sz w:val="20"/>
                <w:szCs w:val="20"/>
                <w:color w:val="auto"/>
              </w:rPr>
            </w:pPr>
            <w:r>
              <w:rPr>
                <w:rFonts w:ascii="Times New Roman" w:cs="Times New Roman" w:eastAsia="Times New Roman" w:hAnsi="Times New Roman"/>
                <w:sz w:val="11"/>
                <w:szCs w:val="11"/>
                <w:color w:val="auto"/>
              </w:rPr>
              <w:t>5,522,916</w:t>
            </w:r>
          </w:p>
        </w:tc>
        <w:tc>
          <w:tcPr>
            <w:tcW w:w="540" w:type="dxa"/>
            <w:vAlign w:val="bottom"/>
            <w:tcBorders>
              <w:bottom w:val="single" w:sz="8" w:color="auto"/>
            </w:tcBorders>
            <w:shd w:val="clear" w:color="auto" w:fill="CFF0FC"/>
          </w:tcPr>
          <w:p>
            <w:pPr>
              <w:jc w:val="right"/>
              <w:ind w:right="38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FF0FC"/>
          </w:tcPr>
          <w:p>
            <w:pPr>
              <w:jc w:val="right"/>
              <w:ind w:right="44"/>
              <w:spacing w:after="0" w:line="118" w:lineRule="exact"/>
              <w:rPr>
                <w:sz w:val="20"/>
                <w:szCs w:val="20"/>
                <w:color w:val="auto"/>
              </w:rPr>
            </w:pPr>
            <w:r>
              <w:rPr>
                <w:rFonts w:ascii="Times New Roman" w:cs="Times New Roman" w:eastAsia="Times New Roman" w:hAnsi="Times New Roman"/>
                <w:sz w:val="11"/>
                <w:szCs w:val="11"/>
                <w:color w:val="auto"/>
              </w:rPr>
              <w:t>9,563,502</w:t>
            </w:r>
          </w:p>
        </w:tc>
        <w:tc>
          <w:tcPr>
            <w:tcW w:w="480" w:type="dxa"/>
            <w:vAlign w:val="bottom"/>
            <w:tcBorders>
              <w:bottom w:val="single" w:sz="8" w:color="auto"/>
            </w:tcBorders>
            <w:shd w:val="clear" w:color="auto" w:fill="CFF0FC"/>
          </w:tcPr>
          <w:p>
            <w:pPr>
              <w:jc w:val="right"/>
              <w:ind w:right="325"/>
              <w:spacing w:after="0" w:line="118"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FF0FC"/>
          </w:tcPr>
          <w:p>
            <w:pPr>
              <w:jc w:val="right"/>
              <w:ind w:right="63"/>
              <w:spacing w:after="0" w:line="118" w:lineRule="exact"/>
              <w:rPr>
                <w:sz w:val="20"/>
                <w:szCs w:val="20"/>
                <w:color w:val="auto"/>
              </w:rPr>
            </w:pPr>
            <w:r>
              <w:rPr>
                <w:rFonts w:ascii="Times New Roman" w:cs="Times New Roman" w:eastAsia="Times New Roman" w:hAnsi="Times New Roman"/>
                <w:sz w:val="11"/>
                <w:szCs w:val="11"/>
                <w:color w:val="auto"/>
              </w:rPr>
              <w:t>23,606,877</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1 Certain prior period information has been reclassified to conform to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643890</wp:posOffset>
            </wp:positionV>
            <wp:extent cx="717486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Selected Quarterly Financial Data</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Table 14</w:t>
            </w:r>
          </w:p>
        </w:tc>
      </w:tr>
      <w:tr>
        <w:trPr>
          <w:trHeight w:val="146"/>
        </w:trPr>
        <w:tc>
          <w:tcPr>
            <w:tcW w:w="38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105"/>
              <w:spacing w:after="0" w:line="146" w:lineRule="exact"/>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3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136"/>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285"/>
              <w:spacing w:after="0" w:line="13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40" w:type="dxa"/>
            <w:vAlign w:val="bottom"/>
          </w:tcPr>
          <w:p>
            <w:pPr>
              <w:spacing w:after="0"/>
              <w:rPr>
                <w:sz w:val="11"/>
                <w:szCs w:val="11"/>
                <w:color w:val="auto"/>
              </w:rPr>
            </w:pPr>
          </w:p>
        </w:tc>
        <w:tc>
          <w:tcPr>
            <w:tcW w:w="1160" w:type="dxa"/>
            <w:vAlign w:val="bottom"/>
          </w:tcPr>
          <w:p>
            <w:pPr>
              <w:jc w:val="right"/>
              <w:ind w:right="245"/>
              <w:spacing w:after="0" w:line="136"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ind w:right="405"/>
              <w:spacing w:after="0" w:line="136"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80" w:type="dxa"/>
            <w:vAlign w:val="bottom"/>
          </w:tcPr>
          <w:p>
            <w:pPr>
              <w:spacing w:after="0"/>
              <w:rPr>
                <w:sz w:val="11"/>
                <w:szCs w:val="11"/>
                <w:color w:val="auto"/>
              </w:rPr>
            </w:pPr>
          </w:p>
        </w:tc>
        <w:tc>
          <w:tcPr>
            <w:tcW w:w="1080" w:type="dxa"/>
            <w:vAlign w:val="bottom"/>
          </w:tcPr>
          <w:p>
            <w:pPr>
              <w:jc w:val="right"/>
              <w:ind w:right="345"/>
              <w:spacing w:after="0" w:line="136"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340" w:type="dxa"/>
            <w:vAlign w:val="bottom"/>
          </w:tcPr>
          <w:p>
            <w:pPr>
              <w:spacing w:after="0"/>
              <w:rPr>
                <w:sz w:val="11"/>
                <w:szCs w:val="11"/>
                <w:color w:val="auto"/>
              </w:rPr>
            </w:pPr>
          </w:p>
        </w:tc>
        <w:tc>
          <w:tcPr>
            <w:tcW w:w="1140" w:type="dxa"/>
            <w:vAlign w:val="bottom"/>
          </w:tcPr>
          <w:p>
            <w:pPr>
              <w:jc w:val="right"/>
              <w:ind w:right="264"/>
              <w:spacing w:after="0" w:line="136"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1"/>
                <w:szCs w:val="11"/>
                <w:color w:val="auto"/>
              </w:rPr>
            </w:pPr>
          </w:p>
        </w:tc>
      </w:tr>
      <w:tr>
        <w:trPr>
          <w:trHeight w:val="16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(dollars in thousands, except per share amounts)</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3"/>
                <w:szCs w:val="13"/>
                <w:b w:val="1"/>
                <w:bCs w:val="1"/>
                <w:color w:val="auto"/>
              </w:rPr>
              <w:t>2023</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Borders>
              <w:bottom w:val="single" w:sz="8" w:color="auto"/>
            </w:tcBorders>
          </w:tcPr>
          <w:p>
            <w:pPr>
              <w:spacing w:after="0"/>
              <w:rPr>
                <w:sz w:val="14"/>
                <w:szCs w:val="14"/>
                <w:color w:val="auto"/>
              </w:rPr>
            </w:pPr>
          </w:p>
        </w:tc>
      </w:tr>
      <w:tr>
        <w:trPr>
          <w:trHeight w:val="134"/>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Quarterly Operating Results</w:t>
            </w:r>
          </w:p>
        </w:tc>
        <w:tc>
          <w:tcPr>
            <w:tcW w:w="1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r>
      <w:tr>
        <w:trPr>
          <w:trHeight w:val="142"/>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Interest Income</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Interest and Fees on Loans and Leases</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158,324</w:t>
            </w:r>
          </w:p>
        </w:tc>
        <w:tc>
          <w:tcPr>
            <w:tcW w:w="3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151,245</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144,541</w:t>
            </w:r>
          </w:p>
        </w:tc>
        <w:tc>
          <w:tcPr>
            <w:tcW w:w="3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136,501</w:t>
            </w:r>
          </w:p>
        </w:tc>
        <w:tc>
          <w:tcPr>
            <w:tcW w:w="3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128,683</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Income on Investment Securities</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Available-for-Sale</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22,782</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23,552</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23,301</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23,893</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18,476</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Held-to-Maturity</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22,589</w:t>
            </w:r>
          </w:p>
        </w:tc>
        <w:tc>
          <w:tcPr>
            <w:tcW w:w="340" w:type="dxa"/>
            <w:vAlign w:val="bottom"/>
          </w:tcPr>
          <w:p>
            <w:pPr>
              <w:spacing w:after="0"/>
              <w:rPr>
                <w:sz w:val="12"/>
                <w:szCs w:val="12"/>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22,838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23,375</w:t>
            </w:r>
          </w:p>
        </w:tc>
        <w:tc>
          <w:tcPr>
            <w:tcW w:w="380" w:type="dxa"/>
            <w:vAlign w:val="bottom"/>
          </w:tcPr>
          <w:p>
            <w:pPr>
              <w:spacing w:after="0"/>
              <w:rPr>
                <w:sz w:val="12"/>
                <w:szCs w:val="12"/>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23,948</w:t>
            </w:r>
          </w:p>
        </w:tc>
        <w:tc>
          <w:tcPr>
            <w:tcW w:w="340" w:type="dxa"/>
            <w:vAlign w:val="bottom"/>
          </w:tcPr>
          <w:p>
            <w:pPr>
              <w:spacing w:after="0"/>
              <w:rPr>
                <w:sz w:val="12"/>
                <w:szCs w:val="12"/>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23,708</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Deposits</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23</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18</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18</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27</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13</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Funds Sold</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5,705</w:t>
            </w:r>
          </w:p>
        </w:tc>
        <w:tc>
          <w:tcPr>
            <w:tcW w:w="340" w:type="dxa"/>
            <w:vAlign w:val="bottom"/>
          </w:tcPr>
          <w:p>
            <w:pPr>
              <w:spacing w:after="0"/>
              <w:rPr>
                <w:sz w:val="12"/>
                <w:szCs w:val="12"/>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12,828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6,395</w:t>
            </w:r>
          </w:p>
        </w:tc>
        <w:tc>
          <w:tcPr>
            <w:tcW w:w="380" w:type="dxa"/>
            <w:vAlign w:val="bottom"/>
          </w:tcPr>
          <w:p>
            <w:pPr>
              <w:spacing w:after="0"/>
              <w:rPr>
                <w:sz w:val="12"/>
                <w:szCs w:val="12"/>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3,366</w:t>
            </w:r>
          </w:p>
        </w:tc>
        <w:tc>
          <w:tcPr>
            <w:tcW w:w="340" w:type="dxa"/>
            <w:vAlign w:val="bottom"/>
          </w:tcPr>
          <w:p>
            <w:pPr>
              <w:spacing w:after="0"/>
              <w:rPr>
                <w:sz w:val="12"/>
                <w:szCs w:val="12"/>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1,093</w:t>
            </w:r>
          </w:p>
        </w:tc>
        <w:tc>
          <w:tcPr>
            <w:tcW w:w="200" w:type="dxa"/>
            <w:vAlign w:val="bottom"/>
          </w:tcPr>
          <w:p>
            <w:pPr>
              <w:spacing w:after="0"/>
              <w:rPr>
                <w:sz w:val="12"/>
                <w:szCs w:val="12"/>
                <w:color w:val="auto"/>
              </w:rPr>
            </w:pPr>
          </w:p>
        </w:tc>
      </w:tr>
      <w:tr>
        <w:trPr>
          <w:trHeight w:val="142"/>
        </w:trPr>
        <w:tc>
          <w:tcPr>
            <w:tcW w:w="38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924</w:t>
            </w:r>
          </w:p>
        </w:tc>
        <w:tc>
          <w:tcPr>
            <w:tcW w:w="3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1,464</w:t>
            </w:r>
          </w:p>
        </w:tc>
        <w:tc>
          <w:tcPr>
            <w:tcW w:w="18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2,121</w:t>
            </w:r>
          </w:p>
        </w:tc>
        <w:tc>
          <w:tcPr>
            <w:tcW w:w="3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597</w:t>
            </w:r>
          </w:p>
        </w:tc>
        <w:tc>
          <w:tcPr>
            <w:tcW w:w="3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340</w:t>
            </w:r>
          </w:p>
        </w:tc>
        <w:tc>
          <w:tcPr>
            <w:tcW w:w="200" w:type="dxa"/>
            <w:vAlign w:val="bottom"/>
            <w:tcBorders>
              <w:bottom w:val="single" w:sz="8" w:color="auto"/>
            </w:tcBorders>
            <w:shd w:val="clear" w:color="auto" w:fill="CFF0FC"/>
          </w:tcPr>
          <w:p>
            <w:pPr>
              <w:spacing w:after="0"/>
              <w:rPr>
                <w:sz w:val="12"/>
                <w:szCs w:val="12"/>
                <w:color w:val="auto"/>
              </w:rPr>
            </w:pPr>
          </w:p>
        </w:tc>
      </w:tr>
      <w:tr>
        <w:trPr>
          <w:trHeight w:val="1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Interest Income</w:t>
            </w: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210,347</w:t>
            </w: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211,945</w:t>
            </w: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199,751</w:t>
            </w: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188,332</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172,313</w:t>
            </w:r>
          </w:p>
        </w:tc>
        <w:tc>
          <w:tcPr>
            <w:tcW w:w="200" w:type="dxa"/>
            <w:vAlign w:val="bottom"/>
            <w:tcBorders>
              <w:bottom w:val="single" w:sz="8" w:color="auto"/>
            </w:tcBorders>
          </w:tcPr>
          <w:p>
            <w:pPr>
              <w:spacing w:after="0"/>
              <w:rPr>
                <w:sz w:val="11"/>
                <w:szCs w:val="11"/>
                <w:color w:val="auto"/>
              </w:rPr>
            </w:pPr>
          </w:p>
        </w:tc>
      </w:tr>
      <w:tr>
        <w:trPr>
          <w:trHeight w:val="134"/>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1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r>
      <w:tr>
        <w:trPr>
          <w:trHeight w:val="142"/>
        </w:trPr>
        <w:tc>
          <w:tcPr>
            <w:tcW w:w="3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Deposits</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87,121</w:t>
            </w:r>
          </w:p>
        </w:tc>
        <w:tc>
          <w:tcPr>
            <w:tcW w:w="340" w:type="dxa"/>
            <w:vAlign w:val="bottom"/>
          </w:tcPr>
          <w:p>
            <w:pPr>
              <w:spacing w:after="0"/>
              <w:rPr>
                <w:sz w:val="12"/>
                <w:szCs w:val="12"/>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72,153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53,779</w:t>
            </w:r>
          </w:p>
        </w:tc>
        <w:tc>
          <w:tcPr>
            <w:tcW w:w="380" w:type="dxa"/>
            <w:vAlign w:val="bottom"/>
          </w:tcPr>
          <w:p>
            <w:pPr>
              <w:spacing w:after="0"/>
              <w:rPr>
                <w:sz w:val="12"/>
                <w:szCs w:val="12"/>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37,794</w:t>
            </w:r>
          </w:p>
        </w:tc>
        <w:tc>
          <w:tcPr>
            <w:tcW w:w="340" w:type="dxa"/>
            <w:vAlign w:val="bottom"/>
          </w:tcPr>
          <w:p>
            <w:pPr>
              <w:spacing w:after="0"/>
              <w:rPr>
                <w:sz w:val="12"/>
                <w:szCs w:val="12"/>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23,494</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1,459</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4,034</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5,436</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5,377</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4,289</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Funds Purchased</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2"/>
                <w:szCs w:val="12"/>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184</w:t>
            </w:r>
          </w:p>
        </w:tc>
        <w:tc>
          <w:tcPr>
            <w:tcW w:w="380" w:type="dxa"/>
            <w:vAlign w:val="bottom"/>
          </w:tcPr>
          <w:p>
            <w:pPr>
              <w:spacing w:after="0"/>
              <w:rPr>
                <w:sz w:val="12"/>
                <w:szCs w:val="12"/>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704</w:t>
            </w:r>
          </w:p>
        </w:tc>
        <w:tc>
          <w:tcPr>
            <w:tcW w:w="340" w:type="dxa"/>
            <w:vAlign w:val="bottom"/>
          </w:tcPr>
          <w:p>
            <w:pPr>
              <w:spacing w:after="0"/>
              <w:rPr>
                <w:sz w:val="12"/>
                <w:szCs w:val="12"/>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318</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Short-Term Borrowings</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2,510</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3,203</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1,978</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Other Debt</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5,982</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14,821</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13,494</w:t>
            </w:r>
          </w:p>
        </w:tc>
        <w:tc>
          <w:tcPr>
            <w:tcW w:w="3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5,299</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1,496</w:t>
            </w:r>
          </w:p>
        </w:tc>
        <w:tc>
          <w:tcPr>
            <w:tcW w:w="200" w:type="dxa"/>
            <w:vAlign w:val="bottom"/>
            <w:tcBorders>
              <w:bottom w:val="single" w:sz="8" w:color="auto"/>
            </w:tcBorders>
          </w:tcPr>
          <w:p>
            <w:pPr>
              <w:spacing w:after="0"/>
              <w:rPr>
                <w:sz w:val="12"/>
                <w:szCs w:val="12"/>
                <w:color w:val="auto"/>
              </w:rPr>
            </w:pPr>
          </w:p>
        </w:tc>
      </w:tr>
      <w:tr>
        <w:trPr>
          <w:trHeight w:val="134"/>
        </w:trPr>
        <w:tc>
          <w:tcPr>
            <w:tcW w:w="38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Interest Expense</w:t>
            </w:r>
          </w:p>
        </w:tc>
        <w:tc>
          <w:tcPr>
            <w:tcW w:w="14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94,562</w:t>
            </w:r>
          </w:p>
        </w:tc>
        <w:tc>
          <w:tcPr>
            <w:tcW w:w="34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91,008</w:t>
            </w:r>
          </w:p>
        </w:tc>
        <w:tc>
          <w:tcPr>
            <w:tcW w:w="18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75,403</w:t>
            </w:r>
          </w:p>
        </w:tc>
        <w:tc>
          <w:tcPr>
            <w:tcW w:w="38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52,377</w:t>
            </w:r>
          </w:p>
        </w:tc>
        <w:tc>
          <w:tcPr>
            <w:tcW w:w="34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31,575</w:t>
            </w:r>
          </w:p>
        </w:tc>
        <w:tc>
          <w:tcPr>
            <w:tcW w:w="200" w:type="dxa"/>
            <w:vAlign w:val="bottom"/>
            <w:tcBorders>
              <w:bottom w:val="single" w:sz="8" w:color="auto"/>
            </w:tcBorders>
            <w:shd w:val="clear" w:color="auto" w:fill="CFF0FC"/>
          </w:tcPr>
          <w:p>
            <w:pPr>
              <w:spacing w:after="0"/>
              <w:rPr>
                <w:sz w:val="11"/>
                <w:szCs w:val="11"/>
                <w:color w:val="auto"/>
              </w:rPr>
            </w:pPr>
          </w:p>
        </w:tc>
      </w:tr>
      <w:tr>
        <w:trPr>
          <w:trHeight w:val="134"/>
        </w:trPr>
        <w:tc>
          <w:tcPr>
            <w:tcW w:w="38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Net Interest Income</w:t>
            </w:r>
          </w:p>
        </w:tc>
        <w:tc>
          <w:tcPr>
            <w:tcW w:w="140" w:type="dxa"/>
            <w:vAlign w:val="bottom"/>
          </w:tcPr>
          <w:p>
            <w:pPr>
              <w:spacing w:after="0"/>
              <w:rPr>
                <w:sz w:val="11"/>
                <w:szCs w:val="11"/>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115,785</w:t>
            </w:r>
          </w:p>
        </w:tc>
        <w:tc>
          <w:tcPr>
            <w:tcW w:w="340" w:type="dxa"/>
            <w:vAlign w:val="bottom"/>
          </w:tcPr>
          <w:p>
            <w:pPr>
              <w:spacing w:after="0"/>
              <w:rPr>
                <w:sz w:val="11"/>
                <w:szCs w:val="11"/>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120,937</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124,348</w:t>
            </w:r>
          </w:p>
        </w:tc>
        <w:tc>
          <w:tcPr>
            <w:tcW w:w="380" w:type="dxa"/>
            <w:vAlign w:val="bottom"/>
          </w:tcPr>
          <w:p>
            <w:pPr>
              <w:spacing w:after="0"/>
              <w:rPr>
                <w:sz w:val="11"/>
                <w:szCs w:val="11"/>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135,955</w:t>
            </w:r>
          </w:p>
        </w:tc>
        <w:tc>
          <w:tcPr>
            <w:tcW w:w="340" w:type="dxa"/>
            <w:vAlign w:val="bottom"/>
          </w:tcPr>
          <w:p>
            <w:pPr>
              <w:spacing w:after="0"/>
              <w:rPr>
                <w:sz w:val="11"/>
                <w:szCs w:val="11"/>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140,738</w:t>
            </w:r>
          </w:p>
        </w:tc>
        <w:tc>
          <w:tcPr>
            <w:tcW w:w="200" w:type="dxa"/>
            <w:vAlign w:val="bottom"/>
          </w:tcPr>
          <w:p>
            <w:pPr>
              <w:spacing w:after="0"/>
              <w:rPr>
                <w:sz w:val="11"/>
                <w:szCs w:val="11"/>
                <w:color w:val="auto"/>
              </w:rPr>
            </w:pPr>
          </w:p>
        </w:tc>
      </w:tr>
      <w:tr>
        <w:trPr>
          <w:trHeight w:val="142"/>
        </w:trPr>
        <w:tc>
          <w:tcPr>
            <w:tcW w:w="38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2,500</w:t>
            </w:r>
          </w:p>
        </w:tc>
        <w:tc>
          <w:tcPr>
            <w:tcW w:w="3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2,000</w:t>
            </w:r>
          </w:p>
        </w:tc>
        <w:tc>
          <w:tcPr>
            <w:tcW w:w="18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2,500</w:t>
            </w:r>
          </w:p>
        </w:tc>
        <w:tc>
          <w:tcPr>
            <w:tcW w:w="3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2,000</w:t>
            </w:r>
          </w:p>
        </w:tc>
        <w:tc>
          <w:tcPr>
            <w:tcW w:w="3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200</w:t>
            </w:r>
          </w:p>
        </w:tc>
        <w:tc>
          <w:tcPr>
            <w:tcW w:w="200" w:type="dxa"/>
            <w:vAlign w:val="bottom"/>
            <w:tcBorders>
              <w:bottom w:val="single" w:sz="8" w:color="auto"/>
            </w:tcBorders>
            <w:shd w:val="clear" w:color="auto" w:fill="CFF0FC"/>
          </w:tcPr>
          <w:p>
            <w:pPr>
              <w:spacing w:after="0"/>
              <w:rPr>
                <w:sz w:val="12"/>
                <w:szCs w:val="12"/>
                <w:color w:val="auto"/>
              </w:rPr>
            </w:pPr>
          </w:p>
        </w:tc>
      </w:tr>
      <w:tr>
        <w:trPr>
          <w:trHeight w:val="1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Net Interest Income After Provision for Credit Losses</w:t>
            </w: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113,285</w:t>
            </w: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118,937</w:t>
            </w: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121,848</w:t>
            </w: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133,955</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140,538</w:t>
            </w:r>
          </w:p>
        </w:tc>
        <w:tc>
          <w:tcPr>
            <w:tcW w:w="200" w:type="dxa"/>
            <w:vAlign w:val="bottom"/>
            <w:tcBorders>
              <w:bottom w:val="single" w:sz="8" w:color="auto"/>
            </w:tcBorders>
          </w:tcPr>
          <w:p>
            <w:pPr>
              <w:spacing w:after="0"/>
              <w:rPr>
                <w:sz w:val="11"/>
                <w:szCs w:val="11"/>
                <w:color w:val="auto"/>
              </w:rPr>
            </w:pPr>
          </w:p>
        </w:tc>
      </w:tr>
      <w:tr>
        <w:trPr>
          <w:trHeight w:val="134"/>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Noninterest Income</w:t>
            </w:r>
          </w:p>
        </w:tc>
        <w:tc>
          <w:tcPr>
            <w:tcW w:w="1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r>
      <w:tr>
        <w:trPr>
          <w:trHeight w:val="142"/>
        </w:trPr>
        <w:tc>
          <w:tcPr>
            <w:tcW w:w="3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Trust and Asset Management</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11,144</w:t>
            </w:r>
          </w:p>
        </w:tc>
        <w:tc>
          <w:tcPr>
            <w:tcW w:w="340" w:type="dxa"/>
            <w:vAlign w:val="bottom"/>
          </w:tcPr>
          <w:p>
            <w:pPr>
              <w:spacing w:after="0"/>
              <w:rPr>
                <w:sz w:val="12"/>
                <w:szCs w:val="12"/>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10,548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11,215</w:t>
            </w:r>
          </w:p>
        </w:tc>
        <w:tc>
          <w:tcPr>
            <w:tcW w:w="380" w:type="dxa"/>
            <w:vAlign w:val="bottom"/>
          </w:tcPr>
          <w:p>
            <w:pPr>
              <w:spacing w:after="0"/>
              <w:rPr>
                <w:sz w:val="12"/>
                <w:szCs w:val="12"/>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10,690</w:t>
            </w:r>
          </w:p>
        </w:tc>
        <w:tc>
          <w:tcPr>
            <w:tcW w:w="340" w:type="dxa"/>
            <w:vAlign w:val="bottom"/>
          </w:tcPr>
          <w:p>
            <w:pPr>
              <w:spacing w:after="0"/>
              <w:rPr>
                <w:sz w:val="12"/>
                <w:szCs w:val="12"/>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10,652</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Mortgage Banking</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1,016</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1,059</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1,176</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1,004</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991</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Service Charges on Deposit Accounts</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7,949</w:t>
            </w:r>
          </w:p>
        </w:tc>
        <w:tc>
          <w:tcPr>
            <w:tcW w:w="340" w:type="dxa"/>
            <w:vAlign w:val="bottom"/>
          </w:tcPr>
          <w:p>
            <w:pPr>
              <w:spacing w:after="0"/>
              <w:rPr>
                <w:sz w:val="12"/>
                <w:szCs w:val="12"/>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7,843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7,587</w:t>
            </w:r>
          </w:p>
        </w:tc>
        <w:tc>
          <w:tcPr>
            <w:tcW w:w="380" w:type="dxa"/>
            <w:vAlign w:val="bottom"/>
          </w:tcPr>
          <w:p>
            <w:pPr>
              <w:spacing w:after="0"/>
              <w:rPr>
                <w:sz w:val="12"/>
                <w:szCs w:val="12"/>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7,737</w:t>
            </w:r>
          </w:p>
        </w:tc>
        <w:tc>
          <w:tcPr>
            <w:tcW w:w="340" w:type="dxa"/>
            <w:vAlign w:val="bottom"/>
          </w:tcPr>
          <w:p>
            <w:pPr>
              <w:spacing w:after="0"/>
              <w:rPr>
                <w:sz w:val="12"/>
                <w:szCs w:val="12"/>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7,513</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Fees, Exchange, and Other Service Charges</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13,774</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13,824</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14,150</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13,808</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13,906</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Investment Securities Losses, Net</w:t>
            </w:r>
          </w:p>
        </w:tc>
        <w:tc>
          <w:tcPr>
            <w:tcW w:w="140" w:type="dxa"/>
            <w:vAlign w:val="bottom"/>
          </w:tcPr>
          <w:p>
            <w:pPr>
              <w:spacing w:after="0"/>
              <w:rPr>
                <w:sz w:val="12"/>
                <w:szCs w:val="12"/>
                <w:color w:val="auto"/>
              </w:rPr>
            </w:pPr>
          </w:p>
        </w:tc>
        <w:tc>
          <w:tcPr>
            <w:tcW w:w="11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(1,619 )</w:t>
            </w:r>
          </w:p>
        </w:tc>
        <w:tc>
          <w:tcPr>
            <w:tcW w:w="3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(6,734 )</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(1,310 )</w:t>
            </w:r>
          </w:p>
        </w:tc>
        <w:tc>
          <w:tcPr>
            <w:tcW w:w="3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(1,792 )</w:t>
            </w:r>
          </w:p>
        </w:tc>
        <w:tc>
          <w:tcPr>
            <w:tcW w:w="340" w:type="dxa"/>
            <w:vAlign w:val="bottom"/>
          </w:tcPr>
          <w:p>
            <w:pPr>
              <w:spacing w:after="0"/>
              <w:rPr>
                <w:sz w:val="12"/>
                <w:szCs w:val="12"/>
                <w:color w:val="auto"/>
              </w:rPr>
            </w:pPr>
          </w:p>
        </w:tc>
        <w:tc>
          <w:tcPr>
            <w:tcW w:w="11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(1,124 )</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Annuity and Insurance</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1,271</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1,156</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1,038</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1,271</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1,087</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Bank-Owned Life Insurance</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3,176</w:t>
            </w:r>
          </w:p>
        </w:tc>
        <w:tc>
          <w:tcPr>
            <w:tcW w:w="340" w:type="dxa"/>
            <w:vAlign w:val="bottom"/>
          </w:tcPr>
          <w:p>
            <w:pPr>
              <w:spacing w:after="0"/>
              <w:rPr>
                <w:sz w:val="12"/>
                <w:szCs w:val="12"/>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2,749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2,876</w:t>
            </w:r>
          </w:p>
        </w:tc>
        <w:tc>
          <w:tcPr>
            <w:tcW w:w="380" w:type="dxa"/>
            <w:vAlign w:val="bottom"/>
          </w:tcPr>
          <w:p>
            <w:pPr>
              <w:spacing w:after="0"/>
              <w:rPr>
                <w:sz w:val="12"/>
                <w:szCs w:val="12"/>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2,842</w:t>
            </w:r>
          </w:p>
        </w:tc>
        <w:tc>
          <w:tcPr>
            <w:tcW w:w="340" w:type="dxa"/>
            <w:vAlign w:val="bottom"/>
          </w:tcPr>
          <w:p>
            <w:pPr>
              <w:spacing w:after="0"/>
              <w:rPr>
                <w:sz w:val="12"/>
                <w:szCs w:val="12"/>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2,475</w:t>
            </w:r>
          </w:p>
        </w:tc>
        <w:tc>
          <w:tcPr>
            <w:tcW w:w="200" w:type="dxa"/>
            <w:vAlign w:val="bottom"/>
          </w:tcPr>
          <w:p>
            <w:pPr>
              <w:spacing w:after="0"/>
              <w:rPr>
                <w:sz w:val="12"/>
                <w:szCs w:val="12"/>
                <w:color w:val="auto"/>
              </w:rPr>
            </w:pPr>
          </w:p>
        </w:tc>
      </w:tr>
      <w:tr>
        <w:trPr>
          <w:trHeight w:val="142"/>
        </w:trPr>
        <w:tc>
          <w:tcPr>
            <w:tcW w:w="38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5,572</w:t>
            </w:r>
          </w:p>
        </w:tc>
        <w:tc>
          <w:tcPr>
            <w:tcW w:w="3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19,889</w:t>
            </w:r>
          </w:p>
        </w:tc>
        <w:tc>
          <w:tcPr>
            <w:tcW w:w="18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6,523</w:t>
            </w:r>
          </w:p>
        </w:tc>
        <w:tc>
          <w:tcPr>
            <w:tcW w:w="3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5,177</w:t>
            </w:r>
          </w:p>
        </w:tc>
        <w:tc>
          <w:tcPr>
            <w:tcW w:w="3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5,672</w:t>
            </w:r>
          </w:p>
        </w:tc>
        <w:tc>
          <w:tcPr>
            <w:tcW w:w="200" w:type="dxa"/>
            <w:vAlign w:val="bottom"/>
            <w:tcBorders>
              <w:bottom w:val="single" w:sz="8" w:color="auto"/>
            </w:tcBorders>
            <w:shd w:val="clear" w:color="auto" w:fill="CFF0FC"/>
          </w:tcPr>
          <w:p>
            <w:pPr>
              <w:spacing w:after="0"/>
              <w:rPr>
                <w:sz w:val="12"/>
                <w:szCs w:val="12"/>
                <w:color w:val="auto"/>
              </w:rPr>
            </w:pPr>
          </w:p>
        </w:tc>
      </w:tr>
      <w:tr>
        <w:trPr>
          <w:trHeight w:val="1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Total Noninterest Income</w:t>
            </w: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42,283</w:t>
            </w: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50,334</w:t>
            </w: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43,255</w:t>
            </w: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40,737</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41,172</w:t>
            </w:r>
          </w:p>
        </w:tc>
        <w:tc>
          <w:tcPr>
            <w:tcW w:w="200" w:type="dxa"/>
            <w:vAlign w:val="bottom"/>
            <w:tcBorders>
              <w:bottom w:val="single" w:sz="8" w:color="auto"/>
            </w:tcBorders>
          </w:tcPr>
          <w:p>
            <w:pPr>
              <w:spacing w:after="0"/>
              <w:rPr>
                <w:sz w:val="11"/>
                <w:szCs w:val="11"/>
                <w:color w:val="auto"/>
              </w:rPr>
            </w:pPr>
          </w:p>
        </w:tc>
      </w:tr>
      <w:tr>
        <w:trPr>
          <w:trHeight w:val="134"/>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Noninterest Expense</w:t>
            </w:r>
          </w:p>
        </w:tc>
        <w:tc>
          <w:tcPr>
            <w:tcW w:w="1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r>
      <w:tr>
        <w:trPr>
          <w:trHeight w:val="142"/>
        </w:trPr>
        <w:tc>
          <w:tcPr>
            <w:tcW w:w="3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Salaries and Benefits</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53,991</w:t>
            </w:r>
          </w:p>
        </w:tc>
        <w:tc>
          <w:tcPr>
            <w:tcW w:w="340" w:type="dxa"/>
            <w:vAlign w:val="bottom"/>
          </w:tcPr>
          <w:p>
            <w:pPr>
              <w:spacing w:after="0"/>
              <w:rPr>
                <w:sz w:val="12"/>
                <w:szCs w:val="12"/>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58,825</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56,175</w:t>
            </w:r>
          </w:p>
        </w:tc>
        <w:tc>
          <w:tcPr>
            <w:tcW w:w="380" w:type="dxa"/>
            <w:vAlign w:val="bottom"/>
          </w:tcPr>
          <w:p>
            <w:pPr>
              <w:spacing w:after="0"/>
              <w:rPr>
                <w:sz w:val="12"/>
                <w:szCs w:val="12"/>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65,088</w:t>
            </w:r>
          </w:p>
        </w:tc>
        <w:tc>
          <w:tcPr>
            <w:tcW w:w="340" w:type="dxa"/>
            <w:vAlign w:val="bottom"/>
          </w:tcPr>
          <w:p>
            <w:pPr>
              <w:spacing w:after="0"/>
              <w:rPr>
                <w:sz w:val="12"/>
                <w:szCs w:val="12"/>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57,639</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Net Occupancy</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9,734</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10,327</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9,991</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9,872</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9,499</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Net Equipment</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9,826</w:t>
            </w:r>
          </w:p>
        </w:tc>
        <w:tc>
          <w:tcPr>
            <w:tcW w:w="340" w:type="dxa"/>
            <w:vAlign w:val="bottom"/>
          </w:tcPr>
          <w:p>
            <w:pPr>
              <w:spacing w:after="0"/>
              <w:rPr>
                <w:sz w:val="12"/>
                <w:szCs w:val="12"/>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9,477</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10,573</w:t>
            </w:r>
          </w:p>
        </w:tc>
        <w:tc>
          <w:tcPr>
            <w:tcW w:w="380" w:type="dxa"/>
            <w:vAlign w:val="bottom"/>
          </w:tcPr>
          <w:p>
            <w:pPr>
              <w:spacing w:after="0"/>
              <w:rPr>
                <w:sz w:val="12"/>
                <w:szCs w:val="12"/>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10,375</w:t>
            </w:r>
          </w:p>
        </w:tc>
        <w:tc>
          <w:tcPr>
            <w:tcW w:w="340" w:type="dxa"/>
            <w:vAlign w:val="bottom"/>
          </w:tcPr>
          <w:p>
            <w:pPr>
              <w:spacing w:after="0"/>
              <w:rPr>
                <w:sz w:val="12"/>
                <w:szCs w:val="12"/>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9,942</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Data Processing</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4,948</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4,706</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4,599</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4,583</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4,579</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Professional Fees</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5,079</w:t>
            </w:r>
          </w:p>
        </w:tc>
        <w:tc>
          <w:tcPr>
            <w:tcW w:w="340" w:type="dxa"/>
            <w:vAlign w:val="bottom"/>
          </w:tcPr>
          <w:p>
            <w:pPr>
              <w:spacing w:after="0"/>
              <w:rPr>
                <w:sz w:val="12"/>
                <w:szCs w:val="12"/>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3,846</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4,651</w:t>
            </w:r>
          </w:p>
        </w:tc>
        <w:tc>
          <w:tcPr>
            <w:tcW w:w="380" w:type="dxa"/>
            <w:vAlign w:val="bottom"/>
          </w:tcPr>
          <w:p>
            <w:pPr>
              <w:spacing w:after="0"/>
              <w:rPr>
                <w:sz w:val="12"/>
                <w:szCs w:val="12"/>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3,883</w:t>
            </w:r>
          </w:p>
        </w:tc>
        <w:tc>
          <w:tcPr>
            <w:tcW w:w="340" w:type="dxa"/>
            <w:vAlign w:val="bottom"/>
          </w:tcPr>
          <w:p>
            <w:pPr>
              <w:spacing w:after="0"/>
              <w:rPr>
                <w:sz w:val="12"/>
                <w:szCs w:val="12"/>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3,958</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FDIC Insurance</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18,545</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3,361</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3,173</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3,234</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1,774</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13,839</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15,059</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14,874</w:t>
            </w:r>
          </w:p>
        </w:tc>
        <w:tc>
          <w:tcPr>
            <w:tcW w:w="3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14,884</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15,312</w:t>
            </w:r>
          </w:p>
        </w:tc>
        <w:tc>
          <w:tcPr>
            <w:tcW w:w="200" w:type="dxa"/>
            <w:vAlign w:val="bottom"/>
            <w:tcBorders>
              <w:bottom w:val="single" w:sz="8" w:color="auto"/>
            </w:tcBorders>
          </w:tcPr>
          <w:p>
            <w:pPr>
              <w:spacing w:after="0"/>
              <w:rPr>
                <w:sz w:val="12"/>
                <w:szCs w:val="12"/>
                <w:color w:val="auto"/>
              </w:rPr>
            </w:pPr>
          </w:p>
        </w:tc>
      </w:tr>
      <w:tr>
        <w:trPr>
          <w:trHeight w:val="134"/>
        </w:trPr>
        <w:tc>
          <w:tcPr>
            <w:tcW w:w="38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Total Noninterest Expense</w:t>
            </w:r>
          </w:p>
        </w:tc>
        <w:tc>
          <w:tcPr>
            <w:tcW w:w="14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115,962</w:t>
            </w:r>
          </w:p>
        </w:tc>
        <w:tc>
          <w:tcPr>
            <w:tcW w:w="34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105,601</w:t>
            </w:r>
          </w:p>
        </w:tc>
        <w:tc>
          <w:tcPr>
            <w:tcW w:w="180" w:type="dxa"/>
            <w:vAlign w:val="bottom"/>
            <w:tcBorders>
              <w:bottom w:val="single" w:sz="8" w:color="auto"/>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104,036</w:t>
            </w:r>
          </w:p>
        </w:tc>
        <w:tc>
          <w:tcPr>
            <w:tcW w:w="38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111,919</w:t>
            </w:r>
          </w:p>
        </w:tc>
        <w:tc>
          <w:tcPr>
            <w:tcW w:w="34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102,703</w:t>
            </w:r>
          </w:p>
        </w:tc>
        <w:tc>
          <w:tcPr>
            <w:tcW w:w="200" w:type="dxa"/>
            <w:vAlign w:val="bottom"/>
            <w:tcBorders>
              <w:bottom w:val="single" w:sz="8" w:color="auto"/>
            </w:tcBorders>
            <w:shd w:val="clear" w:color="auto" w:fill="CFF0FC"/>
          </w:tcPr>
          <w:p>
            <w:pPr>
              <w:spacing w:after="0"/>
              <w:rPr>
                <w:sz w:val="11"/>
                <w:szCs w:val="11"/>
                <w:color w:val="auto"/>
              </w:rPr>
            </w:pPr>
          </w:p>
        </w:tc>
      </w:tr>
      <w:tr>
        <w:trPr>
          <w:trHeight w:val="134"/>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Income Before Provision for Income Taxes</w:t>
            </w:r>
          </w:p>
        </w:tc>
        <w:tc>
          <w:tcPr>
            <w:tcW w:w="140" w:type="dxa"/>
            <w:vAlign w:val="bottom"/>
          </w:tcPr>
          <w:p>
            <w:pPr>
              <w:spacing w:after="0"/>
              <w:rPr>
                <w:sz w:val="11"/>
                <w:szCs w:val="11"/>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39,606</w:t>
            </w:r>
          </w:p>
        </w:tc>
        <w:tc>
          <w:tcPr>
            <w:tcW w:w="340" w:type="dxa"/>
            <w:vAlign w:val="bottom"/>
          </w:tcPr>
          <w:p>
            <w:pPr>
              <w:spacing w:after="0"/>
              <w:rPr>
                <w:sz w:val="11"/>
                <w:szCs w:val="11"/>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63,670</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61,067</w:t>
            </w:r>
          </w:p>
        </w:tc>
        <w:tc>
          <w:tcPr>
            <w:tcW w:w="380" w:type="dxa"/>
            <w:vAlign w:val="bottom"/>
          </w:tcPr>
          <w:p>
            <w:pPr>
              <w:spacing w:after="0"/>
              <w:rPr>
                <w:sz w:val="11"/>
                <w:szCs w:val="11"/>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62,773</w:t>
            </w:r>
          </w:p>
        </w:tc>
        <w:tc>
          <w:tcPr>
            <w:tcW w:w="340" w:type="dxa"/>
            <w:vAlign w:val="bottom"/>
          </w:tcPr>
          <w:p>
            <w:pPr>
              <w:spacing w:after="0"/>
              <w:rPr>
                <w:sz w:val="11"/>
                <w:szCs w:val="11"/>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79,007</w:t>
            </w:r>
          </w:p>
        </w:tc>
        <w:tc>
          <w:tcPr>
            <w:tcW w:w="200" w:type="dxa"/>
            <w:vAlign w:val="bottom"/>
          </w:tcPr>
          <w:p>
            <w:pPr>
              <w:spacing w:after="0"/>
              <w:rPr>
                <w:sz w:val="11"/>
                <w:szCs w:val="11"/>
                <w:color w:val="auto"/>
              </w:rPr>
            </w:pPr>
          </w:p>
        </w:tc>
      </w:tr>
      <w:tr>
        <w:trPr>
          <w:trHeight w:val="142"/>
        </w:trPr>
        <w:tc>
          <w:tcPr>
            <w:tcW w:w="38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1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9,210</w:t>
            </w:r>
          </w:p>
        </w:tc>
        <w:tc>
          <w:tcPr>
            <w:tcW w:w="340" w:type="dxa"/>
            <w:vAlign w:val="bottom"/>
            <w:tcBorders>
              <w:bottom w:val="single" w:sz="8" w:color="auto"/>
            </w:tcBorders>
            <w:shd w:val="clear" w:color="auto" w:fill="CFF0FC"/>
          </w:tcPr>
          <w:p>
            <w:pPr>
              <w:spacing w:after="0"/>
              <w:rPr>
                <w:sz w:val="12"/>
                <w:szCs w:val="12"/>
                <w:color w:val="auto"/>
              </w:rPr>
            </w:pPr>
          </w:p>
        </w:tc>
        <w:tc>
          <w:tcPr>
            <w:tcW w:w="11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15,767</w:t>
            </w:r>
          </w:p>
        </w:tc>
        <w:tc>
          <w:tcPr>
            <w:tcW w:w="180" w:type="dxa"/>
            <w:vAlign w:val="bottom"/>
            <w:tcBorders>
              <w:bottom w:val="single" w:sz="8" w:color="auto"/>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15,006</w:t>
            </w:r>
          </w:p>
        </w:tc>
        <w:tc>
          <w:tcPr>
            <w:tcW w:w="38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15,931</w:t>
            </w:r>
          </w:p>
        </w:tc>
        <w:tc>
          <w:tcPr>
            <w:tcW w:w="34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17,700</w:t>
            </w:r>
          </w:p>
        </w:tc>
        <w:tc>
          <w:tcPr>
            <w:tcW w:w="200" w:type="dxa"/>
            <w:vAlign w:val="bottom"/>
            <w:tcBorders>
              <w:bottom w:val="single" w:sz="8" w:color="auto"/>
            </w:tcBorders>
            <w:shd w:val="clear" w:color="auto" w:fill="CFF0FC"/>
          </w:tcPr>
          <w:p>
            <w:pPr>
              <w:spacing w:after="0"/>
              <w:rPr>
                <w:sz w:val="12"/>
                <w:szCs w:val="12"/>
                <w:color w:val="auto"/>
              </w:rPr>
            </w:pPr>
          </w:p>
        </w:tc>
      </w:tr>
      <w:tr>
        <w:trPr>
          <w:trHeight w:val="1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Net Income</w:t>
            </w: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30,396</w:t>
            </w:r>
          </w:p>
        </w:tc>
        <w:tc>
          <w:tcPr>
            <w:tcW w:w="3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47,903</w:t>
            </w: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46,061</w:t>
            </w:r>
          </w:p>
        </w:tc>
        <w:tc>
          <w:tcPr>
            <w:tcW w:w="3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46,842</w:t>
            </w:r>
          </w:p>
        </w:tc>
        <w:tc>
          <w:tcPr>
            <w:tcW w:w="3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61,307</w:t>
            </w:r>
          </w:p>
        </w:tc>
        <w:tc>
          <w:tcPr>
            <w:tcW w:w="200" w:type="dxa"/>
            <w:vAlign w:val="bottom"/>
            <w:tcBorders>
              <w:bottom w:val="single" w:sz="8" w:color="auto"/>
            </w:tcBorders>
          </w:tcPr>
          <w:p>
            <w:pPr>
              <w:spacing w:after="0"/>
              <w:rPr>
                <w:sz w:val="11"/>
                <w:szCs w:val="1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17"/>
        </w:trPr>
        <w:tc>
          <w:tcPr>
            <w:tcW w:w="3820" w:type="dxa"/>
            <w:vAlign w:val="bottom"/>
            <w:tcBorders>
              <w:bottom w:val="single" w:sz="8" w:color="auto"/>
            </w:tcBorders>
            <w:shd w:val="clear" w:color="auto" w:fill="CFF0FC"/>
          </w:tcPr>
          <w:p>
            <w:pPr>
              <w:spacing w:after="0" w:line="118" w:lineRule="exact"/>
              <w:rPr>
                <w:sz w:val="20"/>
                <w:szCs w:val="20"/>
                <w:color w:val="auto"/>
              </w:rPr>
            </w:pPr>
            <w:r>
              <w:rPr>
                <w:rFonts w:ascii="Times New Roman" w:cs="Times New Roman" w:eastAsia="Times New Roman" w:hAnsi="Times New Roman"/>
                <w:sz w:val="11"/>
                <w:szCs w:val="11"/>
                <w:color w:val="auto"/>
              </w:rPr>
              <w:t>Preferred Stock Dividends</w:t>
            </w:r>
          </w:p>
        </w:tc>
        <w:tc>
          <w:tcPr>
            <w:tcW w:w="14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65"/>
              <w:spacing w:after="0" w:line="118" w:lineRule="exact"/>
              <w:rPr>
                <w:sz w:val="20"/>
                <w:szCs w:val="20"/>
                <w:color w:val="auto"/>
              </w:rPr>
            </w:pPr>
            <w:r>
              <w:rPr>
                <w:rFonts w:ascii="Times New Roman" w:cs="Times New Roman" w:eastAsia="Times New Roman" w:hAnsi="Times New Roman"/>
                <w:sz w:val="11"/>
                <w:szCs w:val="11"/>
                <w:color w:val="auto"/>
              </w:rPr>
              <w:t>1,969</w:t>
            </w:r>
          </w:p>
        </w:tc>
        <w:tc>
          <w:tcPr>
            <w:tcW w:w="340" w:type="dxa"/>
            <w:vAlign w:val="bottom"/>
            <w:tcBorders>
              <w:bottom w:val="single" w:sz="8" w:color="auto"/>
            </w:tcBorders>
            <w:shd w:val="clear" w:color="auto" w:fill="CFF0FC"/>
          </w:tcPr>
          <w:p>
            <w:pPr>
              <w:spacing w:after="0"/>
              <w:rPr>
                <w:sz w:val="10"/>
                <w:szCs w:val="10"/>
                <w:color w:val="auto"/>
              </w:rPr>
            </w:pPr>
          </w:p>
        </w:tc>
        <w:tc>
          <w:tcPr>
            <w:tcW w:w="1160" w:type="dxa"/>
            <w:vAlign w:val="bottom"/>
            <w:tcBorders>
              <w:bottom w:val="single" w:sz="8" w:color="auto"/>
            </w:tcBorders>
            <w:shd w:val="clear" w:color="auto" w:fill="CFF0FC"/>
          </w:tcPr>
          <w:p>
            <w:pPr>
              <w:jc w:val="right"/>
              <w:ind w:right="45"/>
              <w:spacing w:after="0" w:line="118" w:lineRule="exact"/>
              <w:rPr>
                <w:sz w:val="20"/>
                <w:szCs w:val="20"/>
                <w:color w:val="auto"/>
              </w:rPr>
            </w:pPr>
            <w:r>
              <w:rPr>
                <w:rFonts w:ascii="Times New Roman" w:cs="Times New Roman" w:eastAsia="Times New Roman" w:hAnsi="Times New Roman"/>
                <w:sz w:val="11"/>
                <w:szCs w:val="11"/>
                <w:color w:val="auto"/>
              </w:rPr>
              <w:t>1,969</w:t>
            </w:r>
          </w:p>
        </w:tc>
        <w:tc>
          <w:tcPr>
            <w:tcW w:w="180" w:type="dxa"/>
            <w:vAlign w:val="bottom"/>
            <w:tcBorders>
              <w:bottom w:val="single" w:sz="8" w:color="auto"/>
            </w:tcBorders>
            <w:shd w:val="clear" w:color="auto" w:fill="CFF0FC"/>
          </w:tcPr>
          <w:p>
            <w:pPr>
              <w:spacing w:after="0"/>
              <w:rPr>
                <w:sz w:val="10"/>
                <w:szCs w:val="10"/>
                <w:color w:val="auto"/>
              </w:rPr>
            </w:pPr>
          </w:p>
        </w:tc>
        <w:tc>
          <w:tcPr>
            <w:tcW w:w="260" w:type="dxa"/>
            <w:vAlign w:val="bottom"/>
            <w:tcBorders>
              <w:bottom w:val="single" w:sz="8" w:color="auto"/>
            </w:tcBorders>
            <w:shd w:val="clear" w:color="auto" w:fill="CFF0FC"/>
          </w:tcPr>
          <w:p>
            <w:pPr>
              <w:spacing w:after="0"/>
              <w:rPr>
                <w:sz w:val="10"/>
                <w:szCs w:val="10"/>
                <w:color w:val="auto"/>
              </w:rPr>
            </w:pPr>
          </w:p>
        </w:tc>
        <w:tc>
          <w:tcPr>
            <w:tcW w:w="1060" w:type="dxa"/>
            <w:vAlign w:val="bottom"/>
            <w:tcBorders>
              <w:bottom w:val="single" w:sz="8" w:color="auto"/>
            </w:tcBorders>
            <w:shd w:val="clear" w:color="auto" w:fill="CFF0FC"/>
          </w:tcPr>
          <w:p>
            <w:pPr>
              <w:jc w:val="right"/>
              <w:ind w:right="45"/>
              <w:spacing w:after="0" w:line="118" w:lineRule="exact"/>
              <w:rPr>
                <w:sz w:val="20"/>
                <w:szCs w:val="20"/>
                <w:color w:val="auto"/>
              </w:rPr>
            </w:pPr>
            <w:r>
              <w:rPr>
                <w:rFonts w:ascii="Times New Roman" w:cs="Times New Roman" w:eastAsia="Times New Roman" w:hAnsi="Times New Roman"/>
                <w:sz w:val="11"/>
                <w:szCs w:val="11"/>
                <w:color w:val="auto"/>
              </w:rPr>
              <w:t>1,969</w:t>
            </w:r>
          </w:p>
        </w:tc>
        <w:tc>
          <w:tcPr>
            <w:tcW w:w="380" w:type="dxa"/>
            <w:vAlign w:val="bottom"/>
            <w:tcBorders>
              <w:bottom w:val="single" w:sz="8" w:color="auto"/>
            </w:tcBorders>
            <w:shd w:val="clear" w:color="auto" w:fill="CFF0FC"/>
          </w:tcPr>
          <w:p>
            <w:pPr>
              <w:spacing w:after="0"/>
              <w:rPr>
                <w:sz w:val="10"/>
                <w:szCs w:val="10"/>
                <w:color w:val="auto"/>
              </w:rPr>
            </w:pPr>
          </w:p>
        </w:tc>
        <w:tc>
          <w:tcPr>
            <w:tcW w:w="1080" w:type="dxa"/>
            <w:vAlign w:val="bottom"/>
            <w:tcBorders>
              <w:bottom w:val="single" w:sz="8" w:color="auto"/>
            </w:tcBorders>
            <w:shd w:val="clear" w:color="auto" w:fill="CFF0FC"/>
          </w:tcPr>
          <w:p>
            <w:pPr>
              <w:jc w:val="right"/>
              <w:ind w:right="45"/>
              <w:spacing w:after="0" w:line="118" w:lineRule="exact"/>
              <w:rPr>
                <w:sz w:val="20"/>
                <w:szCs w:val="20"/>
                <w:color w:val="auto"/>
              </w:rPr>
            </w:pPr>
            <w:r>
              <w:rPr>
                <w:rFonts w:ascii="Times New Roman" w:cs="Times New Roman" w:eastAsia="Times New Roman" w:hAnsi="Times New Roman"/>
                <w:sz w:val="11"/>
                <w:szCs w:val="11"/>
                <w:color w:val="auto"/>
              </w:rPr>
              <w:t>1,969</w:t>
            </w:r>
          </w:p>
        </w:tc>
        <w:tc>
          <w:tcPr>
            <w:tcW w:w="340" w:type="dxa"/>
            <w:vAlign w:val="bottom"/>
            <w:tcBorders>
              <w:bottom w:val="single" w:sz="8" w:color="auto"/>
            </w:tcBorders>
            <w:shd w:val="clear" w:color="auto" w:fill="CFF0FC"/>
          </w:tcPr>
          <w:p>
            <w:pPr>
              <w:spacing w:after="0"/>
              <w:rPr>
                <w:sz w:val="10"/>
                <w:szCs w:val="10"/>
                <w:color w:val="auto"/>
              </w:rPr>
            </w:pPr>
          </w:p>
        </w:tc>
        <w:tc>
          <w:tcPr>
            <w:tcW w:w="1140" w:type="dxa"/>
            <w:vAlign w:val="bottom"/>
            <w:tcBorders>
              <w:bottom w:val="single" w:sz="8" w:color="auto"/>
            </w:tcBorders>
            <w:shd w:val="clear" w:color="auto" w:fill="CFF0FC"/>
          </w:tcPr>
          <w:p>
            <w:pPr>
              <w:jc w:val="right"/>
              <w:ind w:right="64"/>
              <w:spacing w:after="0" w:line="118" w:lineRule="exact"/>
              <w:rPr>
                <w:sz w:val="20"/>
                <w:szCs w:val="20"/>
                <w:color w:val="auto"/>
              </w:rPr>
            </w:pPr>
            <w:r>
              <w:rPr>
                <w:rFonts w:ascii="Times New Roman" w:cs="Times New Roman" w:eastAsia="Times New Roman" w:hAnsi="Times New Roman"/>
                <w:sz w:val="11"/>
                <w:szCs w:val="11"/>
                <w:color w:val="auto"/>
              </w:rPr>
              <w:t>1,969</w:t>
            </w:r>
          </w:p>
        </w:tc>
        <w:tc>
          <w:tcPr>
            <w:tcW w:w="200" w:type="dxa"/>
            <w:vAlign w:val="bottom"/>
            <w:tcBorders>
              <w:bottom w:val="single" w:sz="8" w:color="auto"/>
            </w:tcBorders>
            <w:shd w:val="clear" w:color="auto" w:fill="CFF0FC"/>
          </w:tcPr>
          <w:p>
            <w:pPr>
              <w:spacing w:after="0"/>
              <w:rPr>
                <w:sz w:val="10"/>
                <w:szCs w:val="10"/>
                <w:color w:val="auto"/>
              </w:rPr>
            </w:pPr>
          </w:p>
        </w:tc>
      </w:tr>
      <w:tr>
        <w:trPr>
          <w:trHeight w:val="1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Net Income Available to Common Shareholders</w:t>
            </w: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28,427</w:t>
            </w:r>
          </w:p>
        </w:tc>
        <w:tc>
          <w:tcPr>
            <w:tcW w:w="3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45,934</w:t>
            </w: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44,092</w:t>
            </w:r>
          </w:p>
        </w:tc>
        <w:tc>
          <w:tcPr>
            <w:tcW w:w="3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rPr>
              <w:t>44,873</w:t>
            </w:r>
          </w:p>
        </w:tc>
        <w:tc>
          <w:tcPr>
            <w:tcW w:w="3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rPr>
              <w:t>59,338</w:t>
            </w:r>
          </w:p>
        </w:tc>
        <w:tc>
          <w:tcPr>
            <w:tcW w:w="200" w:type="dxa"/>
            <w:vAlign w:val="bottom"/>
            <w:tcBorders>
              <w:bottom w:val="single" w:sz="8" w:color="auto"/>
            </w:tcBorders>
          </w:tcPr>
          <w:p>
            <w:pPr>
              <w:spacing w:after="0"/>
              <w:rPr>
                <w:sz w:val="11"/>
                <w:szCs w:val="1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17"/>
        </w:trPr>
        <w:tc>
          <w:tcPr>
            <w:tcW w:w="3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r>
      <w:tr>
        <w:trPr>
          <w:trHeight w:val="142"/>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Basic Earnings Per Common Share</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0.72</w:t>
            </w:r>
          </w:p>
        </w:tc>
        <w:tc>
          <w:tcPr>
            <w:tcW w:w="3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1.17</w:t>
            </w:r>
          </w:p>
        </w:tc>
        <w:tc>
          <w:tcPr>
            <w:tcW w:w="180" w:type="dxa"/>
            <w:vAlign w:val="bottom"/>
          </w:tcPr>
          <w:p>
            <w:pPr>
              <w:spacing w:after="0"/>
              <w:rPr>
                <w:sz w:val="12"/>
                <w:szCs w:val="12"/>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1.12</w:t>
            </w:r>
          </w:p>
        </w:tc>
        <w:tc>
          <w:tcPr>
            <w:tcW w:w="3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1.14</w:t>
            </w:r>
          </w:p>
        </w:tc>
        <w:tc>
          <w:tcPr>
            <w:tcW w:w="3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1.51</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Diluted Earnings Per Common Share</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0.72</w:t>
            </w:r>
          </w:p>
        </w:tc>
        <w:tc>
          <w:tcPr>
            <w:tcW w:w="3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1.17</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1.12</w:t>
            </w:r>
          </w:p>
        </w:tc>
        <w:tc>
          <w:tcPr>
            <w:tcW w:w="3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1.14</w:t>
            </w:r>
          </w:p>
        </w:tc>
        <w:tc>
          <w:tcPr>
            <w:tcW w:w="34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1.50</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Balance Sheet Totals</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Loans and Leases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13,965,026</w:t>
            </w:r>
          </w:p>
        </w:tc>
        <w:tc>
          <w:tcPr>
            <w:tcW w:w="3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13,919,491</w:t>
            </w:r>
          </w:p>
        </w:tc>
        <w:tc>
          <w:tcPr>
            <w:tcW w:w="180" w:type="dxa"/>
            <w:vAlign w:val="bottom"/>
          </w:tcPr>
          <w:p>
            <w:pPr>
              <w:spacing w:after="0"/>
              <w:rPr>
                <w:sz w:val="12"/>
                <w:szCs w:val="12"/>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13,914,889</w:t>
            </w:r>
          </w:p>
        </w:tc>
        <w:tc>
          <w:tcPr>
            <w:tcW w:w="3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13,824,522</w:t>
            </w:r>
          </w:p>
        </w:tc>
        <w:tc>
          <w:tcPr>
            <w:tcW w:w="3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13,646,420</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23,733,296</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23,549,785</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24,947,936</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23,931,977</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23,606,877</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Total Deposits</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21,055,045</w:t>
            </w:r>
          </w:p>
        </w:tc>
        <w:tc>
          <w:tcPr>
            <w:tcW w:w="340" w:type="dxa"/>
            <w:vAlign w:val="bottom"/>
          </w:tcPr>
          <w:p>
            <w:pPr>
              <w:spacing w:after="0"/>
              <w:rPr>
                <w:sz w:val="12"/>
                <w:szCs w:val="12"/>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20,802,309</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20,508,615</w:t>
            </w:r>
          </w:p>
        </w:tc>
        <w:tc>
          <w:tcPr>
            <w:tcW w:w="380" w:type="dxa"/>
            <w:vAlign w:val="bottom"/>
          </w:tcPr>
          <w:p>
            <w:pPr>
              <w:spacing w:after="0"/>
              <w:rPr>
                <w:sz w:val="12"/>
                <w:szCs w:val="12"/>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20,491,300</w:t>
            </w:r>
          </w:p>
        </w:tc>
        <w:tc>
          <w:tcPr>
            <w:tcW w:w="340" w:type="dxa"/>
            <w:vAlign w:val="bottom"/>
          </w:tcPr>
          <w:p>
            <w:pPr>
              <w:spacing w:after="0"/>
              <w:rPr>
                <w:sz w:val="12"/>
                <w:szCs w:val="12"/>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20,615,696</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Total Shareholders' Equity</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1,414,242</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1,363,840</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1,358,279</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1,354,430</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1,316,995</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Performance Ratios</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Return on Average Assets</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0.51</w:t>
            </w:r>
          </w:p>
        </w:tc>
        <w:tc>
          <w:tcPr>
            <w:tcW w:w="34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0.78</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0.77</w:t>
            </w:r>
          </w:p>
        </w:tc>
        <w:tc>
          <w:tcPr>
            <w:tcW w:w="380" w:type="dxa"/>
            <w:vAlign w:val="bottom"/>
          </w:tcPr>
          <w:p>
            <w:pPr>
              <w:jc w:val="right"/>
              <w:ind w:right="185"/>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0.80</w:t>
            </w:r>
          </w:p>
        </w:tc>
        <w:tc>
          <w:tcPr>
            <w:tcW w:w="34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1.05</w:t>
            </w:r>
          </w:p>
        </w:tc>
        <w:tc>
          <w:tcPr>
            <w:tcW w:w="2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Return on Average Shareholders' Equity</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8.86</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13.92</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13.55</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14.25</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18.91</w:t>
            </w:r>
          </w:p>
        </w:tc>
        <w:tc>
          <w:tcPr>
            <w:tcW w:w="200" w:type="dxa"/>
            <w:vAlign w:val="bottom"/>
            <w:shd w:val="clear" w:color="auto" w:fill="CFF0FC"/>
          </w:tcPr>
          <w:p>
            <w:pPr>
              <w:spacing w:after="0"/>
              <w:rPr>
                <w:sz w:val="12"/>
                <w:szCs w:val="12"/>
                <w:color w:val="auto"/>
              </w:rPr>
            </w:pPr>
          </w:p>
        </w:tc>
      </w:tr>
      <w:tr>
        <w:trPr>
          <w:trHeight w:val="142"/>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Return on Average Common Equity</w:t>
            </w:r>
          </w:p>
        </w:tc>
        <w:tc>
          <w:tcPr>
            <w:tcW w:w="140" w:type="dxa"/>
            <w:vAlign w:val="bottom"/>
          </w:tcPr>
          <w:p>
            <w:pPr>
              <w:spacing w:after="0"/>
              <w:rPr>
                <w:sz w:val="12"/>
                <w:szCs w:val="12"/>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9.55</w:t>
            </w:r>
          </w:p>
        </w:tc>
        <w:tc>
          <w:tcPr>
            <w:tcW w:w="340" w:type="dxa"/>
            <w:vAlign w:val="bottom"/>
          </w:tcPr>
          <w:p>
            <w:pPr>
              <w:spacing w:after="0"/>
              <w:rPr>
                <w:sz w:val="12"/>
                <w:szCs w:val="12"/>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15.38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14.95</w:t>
            </w:r>
          </w:p>
        </w:tc>
        <w:tc>
          <w:tcPr>
            <w:tcW w:w="380" w:type="dxa"/>
            <w:vAlign w:val="bottom"/>
          </w:tcPr>
          <w:p>
            <w:pPr>
              <w:spacing w:after="0"/>
              <w:rPr>
                <w:sz w:val="12"/>
                <w:szCs w:val="12"/>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15.79</w:t>
            </w:r>
          </w:p>
        </w:tc>
        <w:tc>
          <w:tcPr>
            <w:tcW w:w="340" w:type="dxa"/>
            <w:vAlign w:val="bottom"/>
          </w:tcPr>
          <w:p>
            <w:pPr>
              <w:spacing w:after="0"/>
              <w:rPr>
                <w:sz w:val="12"/>
                <w:szCs w:val="12"/>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21.28</w:t>
            </w:r>
          </w:p>
        </w:tc>
        <w:tc>
          <w:tcPr>
            <w:tcW w:w="200" w:type="dxa"/>
            <w:vAlign w:val="bottom"/>
          </w:tcPr>
          <w:p>
            <w:pPr>
              <w:spacing w:after="0"/>
              <w:rPr>
                <w:sz w:val="12"/>
                <w:szCs w:val="12"/>
                <w:color w:val="auto"/>
              </w:rPr>
            </w:pPr>
          </w:p>
        </w:tc>
      </w:tr>
      <w:tr>
        <w:trPr>
          <w:trHeight w:val="142"/>
        </w:trPr>
        <w:tc>
          <w:tcPr>
            <w:tcW w:w="3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1"/>
                <w:szCs w:val="11"/>
                <w:color w:val="auto"/>
              </w:rPr>
              <w:t xml:space="preserve">Efficiency Ratio </w:t>
            </w:r>
            <w:r>
              <w:rPr>
                <w:rFonts w:ascii="Times New Roman" w:cs="Times New Roman" w:eastAsia="Times New Roman" w:hAnsi="Times New Roman"/>
                <w:sz w:val="14"/>
                <w:szCs w:val="14"/>
                <w:color w:val="auto"/>
                <w:vertAlign w:val="superscript"/>
              </w:rPr>
              <w:t>1</w:t>
            </w: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rPr>
              <w:t>73.36</w:t>
            </w:r>
          </w:p>
        </w:tc>
        <w:tc>
          <w:tcPr>
            <w:tcW w:w="34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61.66</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62.07</w:t>
            </w:r>
          </w:p>
        </w:tc>
        <w:tc>
          <w:tcPr>
            <w:tcW w:w="38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rPr>
              <w:t>63.34</w:t>
            </w: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rPr>
              <w:t>56.46</w:t>
            </w:r>
          </w:p>
        </w:tc>
        <w:tc>
          <w:tcPr>
            <w:tcW w:w="200" w:type="dxa"/>
            <w:vAlign w:val="bottom"/>
            <w:shd w:val="clear" w:color="auto" w:fill="CFF0FC"/>
          </w:tcPr>
          <w:p>
            <w:pPr>
              <w:spacing w:after="0"/>
              <w:rPr>
                <w:sz w:val="12"/>
                <w:szCs w:val="12"/>
                <w:color w:val="auto"/>
              </w:rPr>
            </w:pPr>
          </w:p>
        </w:tc>
      </w:tr>
      <w:tr>
        <w:trPr>
          <w:trHeight w:val="195"/>
        </w:trPr>
        <w:tc>
          <w:tcPr>
            <w:tcW w:w="38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2</w:t>
            </w:r>
          </w:p>
        </w:tc>
        <w:tc>
          <w:tcPr>
            <w:tcW w:w="140" w:type="dxa"/>
            <w:vAlign w:val="bottom"/>
          </w:tcPr>
          <w:p>
            <w:pPr>
              <w:spacing w:after="0"/>
              <w:rPr>
                <w:sz w:val="16"/>
                <w:szCs w:val="16"/>
                <w:color w:val="auto"/>
              </w:rPr>
            </w:pPr>
          </w:p>
        </w:tc>
        <w:tc>
          <w:tcPr>
            <w:tcW w:w="116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2.13</w:t>
            </w:r>
          </w:p>
        </w:tc>
        <w:tc>
          <w:tcPr>
            <w:tcW w:w="340" w:type="dxa"/>
            <w:vAlign w:val="bottom"/>
          </w:tcPr>
          <w:p>
            <w:pPr>
              <w:spacing w:after="0"/>
              <w:rPr>
                <w:sz w:val="16"/>
                <w:szCs w:val="16"/>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2.13</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2.22</w:t>
            </w:r>
          </w:p>
        </w:tc>
        <w:tc>
          <w:tcPr>
            <w:tcW w:w="380" w:type="dxa"/>
            <w:vAlign w:val="bottom"/>
          </w:tcPr>
          <w:p>
            <w:pPr>
              <w:spacing w:after="0"/>
              <w:rPr>
                <w:sz w:val="16"/>
                <w:szCs w:val="16"/>
                <w:color w:val="auto"/>
              </w:rPr>
            </w:pPr>
          </w:p>
        </w:tc>
        <w:tc>
          <w:tcPr>
            <w:tcW w:w="108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2.47</w:t>
            </w:r>
          </w:p>
        </w:tc>
        <w:tc>
          <w:tcPr>
            <w:tcW w:w="340" w:type="dxa"/>
            <w:vAlign w:val="bottom"/>
          </w:tcPr>
          <w:p>
            <w:pPr>
              <w:spacing w:after="0"/>
              <w:rPr>
                <w:sz w:val="16"/>
                <w:szCs w:val="16"/>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2.60</w:t>
            </w:r>
          </w:p>
        </w:tc>
        <w:tc>
          <w:tcPr>
            <w:tcW w:w="200" w:type="dxa"/>
            <w:vAlign w:val="bottom"/>
          </w:tcPr>
          <w:p>
            <w:pPr>
              <w:spacing w:after="0"/>
              <w:rPr>
                <w:sz w:val="16"/>
                <w:szCs w:val="16"/>
                <w:color w:val="auto"/>
              </w:rPr>
            </w:pPr>
          </w:p>
        </w:tc>
      </w:tr>
    </w:tbl>
    <w:p>
      <w:pPr>
        <w:spacing w:after="0" w:line="61" w:lineRule="exact"/>
        <w:rPr>
          <w:sz w:val="20"/>
          <w:szCs w:val="20"/>
          <w:color w:val="auto"/>
        </w:rPr>
      </w:pPr>
    </w:p>
    <w:p>
      <w:pPr>
        <w:ind w:left="80" w:hanging="74"/>
        <w:spacing w:after="0"/>
        <w:tabs>
          <w:tab w:leader="none" w:pos="80" w:val="left"/>
        </w:tabs>
        <w:numPr>
          <w:ilvl w:val="0"/>
          <w:numId w:val="18"/>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Efficiency ratio is defined as noninterest expense divided by total revenue (net interest income and noninterest income).</w:t>
      </w:r>
    </w:p>
    <w:p>
      <w:pPr>
        <w:ind w:left="80" w:hanging="74"/>
        <w:spacing w:after="0" w:line="211" w:lineRule="auto"/>
        <w:tabs>
          <w:tab w:leader="none" w:pos="80" w:val="left"/>
        </w:tabs>
        <w:numPr>
          <w:ilvl w:val="0"/>
          <w:numId w:val="19"/>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Net interest margin is defined as net interest income, on a taxable-equivalent basis, as a percentage of average 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608330</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06"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Bank of Hawai‘i Corporation and Subsidiaries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b w:val="1"/>
                <w:bCs w:val="1"/>
                <w:color w:val="auto"/>
              </w:rPr>
              <w:t>Hawaii Economic Trends</w:t>
            </w:r>
          </w:p>
        </w:tc>
        <w:tc>
          <w:tcPr>
            <w:tcW w:w="4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Table 15</w:t>
            </w:r>
          </w:p>
        </w:tc>
      </w:tr>
      <w:tr>
        <w:trPr>
          <w:trHeight w:val="116"/>
        </w:trPr>
        <w:tc>
          <w:tcPr>
            <w:tcW w:w="34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9"/>
                <w:szCs w:val="9"/>
                <w:b w:val="1"/>
                <w:bCs w:val="1"/>
                <w:color w:val="auto"/>
              </w:rPr>
              <w:t>Eleven Months Ended</w:t>
            </w:r>
          </w:p>
        </w:tc>
        <w:tc>
          <w:tcPr>
            <w:tcW w:w="5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Year Ended</w:t>
            </w:r>
          </w:p>
        </w:tc>
        <w:tc>
          <w:tcPr>
            <w:tcW w:w="6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r>
        <w:trPr>
          <w:trHeight w:val="125"/>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(dollars in millions; jobs in thousands)</w:t>
            </w:r>
          </w:p>
        </w:tc>
        <w:tc>
          <w:tcPr>
            <w:tcW w:w="4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9"/>
                <w:szCs w:val="9"/>
                <w:b w:val="1"/>
                <w:bCs w:val="1"/>
                <w:color w:val="auto"/>
              </w:rPr>
              <w:t>November 30, 2023</w:t>
            </w: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9"/>
                <w:szCs w:val="9"/>
                <w:b w:val="1"/>
                <w:bCs w:val="1"/>
                <w:color w:val="auto"/>
              </w:rPr>
              <w:t>December 31, 2022</w:t>
            </w: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3"/>
          </w:tcPr>
          <w:p>
            <w:pPr>
              <w:jc w:val="center"/>
              <w:ind w:left="33"/>
              <w:spacing w:after="0"/>
              <w:rPr>
                <w:sz w:val="20"/>
                <w:szCs w:val="20"/>
                <w:color w:val="auto"/>
              </w:rPr>
            </w:pPr>
            <w:r>
              <w:rPr>
                <w:rFonts w:ascii="Times New Roman" w:cs="Times New Roman" w:eastAsia="Times New Roman" w:hAnsi="Times New Roman"/>
                <w:sz w:val="9"/>
                <w:szCs w:val="9"/>
                <w:b w:val="1"/>
                <w:bCs w:val="1"/>
                <w:color w:val="auto"/>
              </w:rPr>
              <w:t>December 31, 2021</w:t>
            </w:r>
          </w:p>
        </w:tc>
        <w:tc>
          <w:tcPr>
            <w:tcW w:w="240" w:type="dxa"/>
            <w:vAlign w:val="bottom"/>
            <w:tcBorders>
              <w:bottom w:val="single" w:sz="8" w:color="auto"/>
            </w:tcBorders>
          </w:tcPr>
          <w:p>
            <w:pPr>
              <w:spacing w:after="0"/>
              <w:rPr>
                <w:sz w:val="10"/>
                <w:szCs w:val="10"/>
                <w:color w:val="auto"/>
              </w:rPr>
            </w:pPr>
          </w:p>
        </w:tc>
      </w:tr>
      <w:tr>
        <w:trPr>
          <w:trHeight w:val="125"/>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Hawaii Economic Trends</w:t>
            </w:r>
          </w:p>
        </w:tc>
        <w:tc>
          <w:tcPr>
            <w:tcW w:w="42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r>
      <w:tr>
        <w:trPr>
          <w:trHeight w:val="130"/>
        </w:trPr>
        <w:tc>
          <w:tcPr>
            <w:tcW w:w="3460" w:type="dxa"/>
            <w:vAlign w:val="bottom"/>
          </w:tcPr>
          <w:p>
            <w:pPr>
              <w:ind w:left="60"/>
              <w:spacing w:after="0" w:line="130" w:lineRule="exact"/>
              <w:rPr>
                <w:sz w:val="20"/>
                <w:szCs w:val="20"/>
                <w:color w:val="auto"/>
              </w:rPr>
            </w:pPr>
            <w:r>
              <w:rPr>
                <w:rFonts w:ascii="Times New Roman" w:cs="Times New Roman" w:eastAsia="Times New Roman" w:hAnsi="Times New Roman"/>
                <w:sz w:val="9"/>
                <w:szCs w:val="9"/>
                <w:color w:val="auto"/>
              </w:rPr>
              <w:t xml:space="preserve">State General Fund Revenues </w:t>
            </w:r>
            <w:r>
              <w:rPr>
                <w:rFonts w:ascii="Times New Roman" w:cs="Times New Roman" w:eastAsia="Times New Roman" w:hAnsi="Times New Roman"/>
                <w:sz w:val="12"/>
                <w:szCs w:val="12"/>
                <w:color w:val="auto"/>
                <w:vertAlign w:val="superscript"/>
              </w:rPr>
              <w:t>1</w:t>
            </w:r>
          </w:p>
        </w:tc>
        <w:tc>
          <w:tcPr>
            <w:tcW w:w="420" w:type="dxa"/>
            <w:vAlign w:val="bottom"/>
          </w:tcPr>
          <w:p>
            <w:pPr>
              <w:jc w:val="right"/>
              <w:ind w:right="313"/>
              <w:spacing w:after="0"/>
              <w:rPr>
                <w:sz w:val="20"/>
                <w:szCs w:val="20"/>
                <w:color w:val="auto"/>
              </w:rPr>
            </w:pPr>
            <w:r>
              <w:rPr>
                <w:rFonts w:ascii="Times New Roman" w:cs="Times New Roman" w:eastAsia="Times New Roman" w:hAnsi="Times New Roman"/>
                <w:sz w:val="9"/>
                <w:szCs w:val="9"/>
                <w:color w:val="auto"/>
                <w:w w:val="87"/>
              </w:rPr>
              <w:t>$</w:t>
            </w:r>
          </w:p>
        </w:tc>
        <w:tc>
          <w:tcPr>
            <w:tcW w:w="1580" w:type="dxa"/>
            <w:vAlign w:val="bottom"/>
          </w:tcPr>
          <w:p>
            <w:pPr>
              <w:jc w:val="right"/>
              <w:ind w:right="813"/>
              <w:spacing w:after="0"/>
              <w:rPr>
                <w:sz w:val="20"/>
                <w:szCs w:val="20"/>
                <w:color w:val="auto"/>
              </w:rPr>
            </w:pPr>
            <w:r>
              <w:rPr>
                <w:rFonts w:ascii="Times New Roman" w:cs="Times New Roman" w:eastAsia="Times New Roman" w:hAnsi="Times New Roman"/>
                <w:sz w:val="9"/>
                <w:szCs w:val="9"/>
                <w:color w:val="auto"/>
              </w:rPr>
              <w:t>8,726.1</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0.6</w:t>
            </w:r>
          </w:p>
        </w:tc>
        <w:tc>
          <w:tcPr>
            <w:tcW w:w="860" w:type="dxa"/>
            <w:vAlign w:val="bottom"/>
            <w:gridSpan w:val="2"/>
          </w:tcPr>
          <w:p>
            <w:pPr>
              <w:jc w:val="right"/>
              <w:ind w:right="553"/>
              <w:spacing w:after="0"/>
              <w:rPr>
                <w:sz w:val="20"/>
                <w:szCs w:val="20"/>
                <w:color w:val="auto"/>
              </w:rPr>
            </w:pPr>
            <w:r>
              <w:rPr>
                <w:rFonts w:ascii="Times New Roman" w:cs="Times New Roman" w:eastAsia="Times New Roman" w:hAnsi="Times New Roman"/>
                <w:sz w:val="9"/>
                <w:szCs w:val="9"/>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9,441.3</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16.0</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8,137.9</w:t>
            </w:r>
          </w:p>
        </w:tc>
        <w:tc>
          <w:tcPr>
            <w:tcW w:w="600" w:type="dxa"/>
            <w:vAlign w:val="bottom"/>
          </w:tcPr>
          <w:p>
            <w:pPr>
              <w:spacing w:after="0"/>
              <w:rPr>
                <w:sz w:val="11"/>
                <w:szCs w:val="11"/>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26.9</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r>
      <w:tr>
        <w:trPr>
          <w:trHeight w:val="130"/>
        </w:trPr>
        <w:tc>
          <w:tcPr>
            <w:tcW w:w="3460" w:type="dxa"/>
            <w:vAlign w:val="bottom"/>
            <w:shd w:val="clear" w:color="auto" w:fill="CFF0FC"/>
          </w:tcPr>
          <w:p>
            <w:pPr>
              <w:ind w:left="60"/>
              <w:spacing w:after="0" w:line="130" w:lineRule="exact"/>
              <w:rPr>
                <w:sz w:val="20"/>
                <w:szCs w:val="20"/>
                <w:color w:val="auto"/>
              </w:rPr>
            </w:pPr>
            <w:r>
              <w:rPr>
                <w:rFonts w:ascii="Times New Roman" w:cs="Times New Roman" w:eastAsia="Times New Roman" w:hAnsi="Times New Roman"/>
                <w:sz w:val="9"/>
                <w:szCs w:val="9"/>
                <w:color w:val="auto"/>
              </w:rPr>
              <w:t xml:space="preserve">General Excise and Use Tax Revenue </w:t>
            </w:r>
            <w:r>
              <w:rPr>
                <w:rFonts w:ascii="Times New Roman" w:cs="Times New Roman" w:eastAsia="Times New Roman" w:hAnsi="Times New Roman"/>
                <w:sz w:val="12"/>
                <w:szCs w:val="12"/>
                <w:color w:val="auto"/>
                <w:vertAlign w:val="superscript"/>
              </w:rPr>
              <w:t>1</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9"/>
                <w:szCs w:val="9"/>
                <w:color w:val="auto"/>
              </w:rPr>
              <w:t>4,118.7</w:t>
            </w:r>
          </w:p>
        </w:tc>
        <w:tc>
          <w:tcPr>
            <w:tcW w:w="58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5.2</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4,263.4</w:t>
            </w: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18.3</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3,604.3</w:t>
            </w: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18.6</w:t>
            </w:r>
          </w:p>
        </w:tc>
        <w:tc>
          <w:tcPr>
            <w:tcW w:w="240" w:type="dxa"/>
            <w:vAlign w:val="bottom"/>
            <w:shd w:val="clear" w:color="auto" w:fill="CFF0FC"/>
          </w:tcPr>
          <w:p>
            <w:pPr>
              <w:spacing w:after="0"/>
              <w:rPr>
                <w:sz w:val="11"/>
                <w:szCs w:val="11"/>
                <w:color w:val="auto"/>
              </w:rPr>
            </w:pPr>
          </w:p>
        </w:tc>
      </w:tr>
      <w:tr>
        <w:trPr>
          <w:trHeight w:val="165"/>
        </w:trPr>
        <w:tc>
          <w:tcPr>
            <w:tcW w:w="3460" w:type="dxa"/>
            <w:vAlign w:val="bottom"/>
          </w:tcPr>
          <w:p>
            <w:pPr>
              <w:ind w:left="60"/>
              <w:spacing w:after="0"/>
              <w:rPr>
                <w:sz w:val="20"/>
                <w:szCs w:val="20"/>
                <w:color w:val="auto"/>
              </w:rPr>
            </w:pPr>
            <w:r>
              <w:rPr>
                <w:rFonts w:ascii="Times New Roman" w:cs="Times New Roman" w:eastAsia="Times New Roman" w:hAnsi="Times New Roman"/>
                <w:sz w:val="9"/>
                <w:szCs w:val="9"/>
                <w:color w:val="auto"/>
              </w:rPr>
              <w:t xml:space="preserve">Jobs </w:t>
            </w:r>
            <w:r>
              <w:rPr>
                <w:rFonts w:ascii="Times New Roman" w:cs="Times New Roman" w:eastAsia="Times New Roman" w:hAnsi="Times New Roman"/>
                <w:sz w:val="12"/>
                <w:szCs w:val="12"/>
                <w:color w:val="auto"/>
                <w:vertAlign w:val="superscript"/>
              </w:rPr>
              <w:t>2</w:t>
            </w:r>
          </w:p>
        </w:tc>
        <w:tc>
          <w:tcPr>
            <w:tcW w:w="420" w:type="dxa"/>
            <w:vAlign w:val="bottom"/>
          </w:tcPr>
          <w:p>
            <w:pPr>
              <w:spacing w:after="0"/>
              <w:rPr>
                <w:sz w:val="14"/>
                <w:szCs w:val="14"/>
                <w:color w:val="auto"/>
              </w:rPr>
            </w:pPr>
          </w:p>
        </w:tc>
        <w:tc>
          <w:tcPr>
            <w:tcW w:w="1580" w:type="dxa"/>
            <w:vAlign w:val="bottom"/>
          </w:tcPr>
          <w:p>
            <w:pPr>
              <w:jc w:val="right"/>
              <w:ind w:right="813"/>
              <w:spacing w:after="0"/>
              <w:rPr>
                <w:sz w:val="20"/>
                <w:szCs w:val="20"/>
                <w:color w:val="auto"/>
              </w:rPr>
            </w:pPr>
            <w:r>
              <w:rPr>
                <w:rFonts w:ascii="Times New Roman" w:cs="Times New Roman" w:eastAsia="Times New Roman" w:hAnsi="Times New Roman"/>
                <w:sz w:val="9"/>
                <w:szCs w:val="9"/>
                <w:color w:val="auto"/>
              </w:rPr>
              <w:t>655.6</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654.5</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642.6</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95"/>
        </w:trPr>
        <w:tc>
          <w:tcPr>
            <w:tcW w:w="3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r>
        <w:trPr>
          <w:trHeight w:val="119"/>
        </w:trPr>
        <w:tc>
          <w:tcPr>
            <w:tcW w:w="3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Borders>
              <w:bottom w:val="single" w:sz="8" w:color="auto"/>
            </w:tcBorders>
          </w:tcPr>
          <w:p>
            <w:pPr>
              <w:jc w:val="center"/>
              <w:ind w:left="273"/>
              <w:spacing w:after="0"/>
              <w:rPr>
                <w:sz w:val="20"/>
                <w:szCs w:val="20"/>
                <w:color w:val="auto"/>
              </w:rPr>
            </w:pPr>
            <w:r>
              <w:rPr>
                <w:rFonts w:ascii="Times New Roman" w:cs="Times New Roman" w:eastAsia="Times New Roman" w:hAnsi="Times New Roman"/>
                <w:sz w:val="9"/>
                <w:szCs w:val="9"/>
                <w:b w:val="1"/>
                <w:bCs w:val="1"/>
                <w:color w:val="auto"/>
              </w:rPr>
              <w:t>November 30,</w:t>
            </w:r>
          </w:p>
        </w:tc>
        <w:tc>
          <w:tcPr>
            <w:tcW w:w="4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r>
        <w:trPr>
          <w:trHeight w:val="122"/>
        </w:trPr>
        <w:tc>
          <w:tcPr>
            <w:tcW w:w="3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left="293"/>
              <w:spacing w:after="0"/>
              <w:rPr>
                <w:sz w:val="20"/>
                <w:szCs w:val="20"/>
                <w:color w:val="auto"/>
              </w:rPr>
            </w:pPr>
            <w:r>
              <w:rPr>
                <w:rFonts w:ascii="Times New Roman" w:cs="Times New Roman" w:eastAsia="Times New Roman" w:hAnsi="Times New Roman"/>
                <w:sz w:val="9"/>
                <w:szCs w:val="9"/>
                <w:b w:val="1"/>
                <w:bCs w:val="1"/>
                <w:color w:val="auto"/>
                <w:w w:val="99"/>
              </w:rPr>
              <w:t>2023</w:t>
            </w: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2022</w:t>
            </w:r>
          </w:p>
        </w:tc>
        <w:tc>
          <w:tcPr>
            <w:tcW w:w="6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9"/>
                <w:szCs w:val="9"/>
                <w:b w:val="1"/>
                <w:bCs w:val="1"/>
                <w:color w:val="auto"/>
              </w:rPr>
              <w:t>2021</w:t>
            </w:r>
          </w:p>
        </w:tc>
        <w:tc>
          <w:tcPr>
            <w:tcW w:w="240" w:type="dxa"/>
            <w:vAlign w:val="bottom"/>
            <w:tcBorders>
              <w:bottom w:val="single" w:sz="8" w:color="auto"/>
            </w:tcBorders>
          </w:tcPr>
          <w:p>
            <w:pPr>
              <w:spacing w:after="0"/>
              <w:rPr>
                <w:sz w:val="10"/>
                <w:szCs w:val="10"/>
                <w:color w:val="auto"/>
              </w:rPr>
            </w:pPr>
          </w:p>
        </w:tc>
      </w:tr>
      <w:tr>
        <w:trPr>
          <w:trHeight w:val="125"/>
        </w:trPr>
        <w:tc>
          <w:tcPr>
            <w:tcW w:w="346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9"/>
                <w:szCs w:val="9"/>
                <w:b w:val="1"/>
                <w:bCs w:val="1"/>
                <w:color w:val="auto"/>
              </w:rPr>
              <w:t xml:space="preserve">Unemployment, seasonally adjusted </w:t>
            </w:r>
            <w:r>
              <w:rPr>
                <w:rFonts w:ascii="Times New Roman" w:cs="Times New Roman" w:eastAsia="Times New Roman" w:hAnsi="Times New Roman"/>
                <w:sz w:val="12"/>
                <w:szCs w:val="12"/>
                <w:color w:val="auto"/>
                <w:vertAlign w:val="superscript"/>
              </w:rPr>
              <w:t>3</w:t>
            </w:r>
          </w:p>
        </w:tc>
        <w:tc>
          <w:tcPr>
            <w:tcW w:w="42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r>
      <w:tr>
        <w:trPr>
          <w:trHeight w:val="126"/>
        </w:trPr>
        <w:tc>
          <w:tcPr>
            <w:tcW w:w="34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Statewide</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2.9</w:t>
            </w:r>
          </w:p>
        </w:tc>
        <w:tc>
          <w:tcPr>
            <w:tcW w:w="18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w:t>
            </w:r>
          </w:p>
        </w:tc>
        <w:tc>
          <w:tcPr>
            <w:tcW w:w="600" w:type="dxa"/>
            <w:vAlign w:val="bottom"/>
          </w:tcPr>
          <w:p>
            <w:pPr>
              <w:jc w:val="right"/>
              <w:ind w:right="353"/>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3.2</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r>
      <w:tr>
        <w:trPr>
          <w:trHeight w:val="134"/>
        </w:trPr>
        <w:tc>
          <w:tcPr>
            <w:tcW w:w="3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Honolulu County</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2.6</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3.3</w:t>
            </w: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3.7</w:t>
            </w:r>
          </w:p>
        </w:tc>
        <w:tc>
          <w:tcPr>
            <w:tcW w:w="240" w:type="dxa"/>
            <w:vAlign w:val="bottom"/>
            <w:shd w:val="clear" w:color="auto" w:fill="CFF0FC"/>
          </w:tcPr>
          <w:p>
            <w:pPr>
              <w:spacing w:after="0"/>
              <w:rPr>
                <w:sz w:val="11"/>
                <w:szCs w:val="11"/>
                <w:color w:val="auto"/>
              </w:rPr>
            </w:pPr>
          </w:p>
        </w:tc>
      </w:tr>
      <w:tr>
        <w:trPr>
          <w:trHeight w:val="126"/>
        </w:trPr>
        <w:tc>
          <w:tcPr>
            <w:tcW w:w="34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Hawaii County</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1.9</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w:t>
            </w: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1.8</w:t>
            </w:r>
          </w:p>
        </w:tc>
        <w:tc>
          <w:tcPr>
            <w:tcW w:w="240" w:type="dxa"/>
            <w:vAlign w:val="bottom"/>
          </w:tcPr>
          <w:p>
            <w:pPr>
              <w:spacing w:after="0"/>
              <w:rPr>
                <w:sz w:val="10"/>
                <w:szCs w:val="10"/>
                <w:color w:val="auto"/>
              </w:rPr>
            </w:pPr>
          </w:p>
        </w:tc>
      </w:tr>
      <w:tr>
        <w:trPr>
          <w:trHeight w:val="134"/>
        </w:trPr>
        <w:tc>
          <w:tcPr>
            <w:tcW w:w="3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9"/>
                <w:szCs w:val="9"/>
                <w:color w:val="auto"/>
              </w:rPr>
              <w:t>Maui County</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5.9</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4.5</w:t>
            </w: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2.4</w:t>
            </w:r>
          </w:p>
        </w:tc>
        <w:tc>
          <w:tcPr>
            <w:tcW w:w="240" w:type="dxa"/>
            <w:vAlign w:val="bottom"/>
            <w:shd w:val="clear" w:color="auto" w:fill="CFF0FC"/>
          </w:tcPr>
          <w:p>
            <w:pPr>
              <w:spacing w:after="0"/>
              <w:rPr>
                <w:sz w:val="11"/>
                <w:szCs w:val="11"/>
                <w:color w:val="auto"/>
              </w:rPr>
            </w:pPr>
          </w:p>
        </w:tc>
      </w:tr>
      <w:tr>
        <w:trPr>
          <w:trHeight w:val="123"/>
        </w:trPr>
        <w:tc>
          <w:tcPr>
            <w:tcW w:w="3460" w:type="dxa"/>
            <w:vAlign w:val="bottom"/>
          </w:tcPr>
          <w:p>
            <w:pPr>
              <w:ind w:left="100"/>
              <w:spacing w:after="0"/>
              <w:rPr>
                <w:sz w:val="20"/>
                <w:szCs w:val="20"/>
                <w:color w:val="auto"/>
              </w:rPr>
            </w:pPr>
            <w:r>
              <w:rPr>
                <w:rFonts w:ascii="Times New Roman" w:cs="Times New Roman" w:eastAsia="Times New Roman" w:hAnsi="Times New Roman"/>
                <w:sz w:val="9"/>
                <w:szCs w:val="9"/>
                <w:color w:val="auto"/>
              </w:rPr>
              <w:t>Kauai County</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1.9</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w:t>
            </w: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2.7</w:t>
            </w:r>
          </w:p>
        </w:tc>
        <w:tc>
          <w:tcPr>
            <w:tcW w:w="240" w:type="dxa"/>
            <w:vAlign w:val="bottom"/>
          </w:tcPr>
          <w:p>
            <w:pPr>
              <w:spacing w:after="0"/>
              <w:rPr>
                <w:sz w:val="10"/>
                <w:szCs w:val="10"/>
                <w:color w:val="auto"/>
              </w:rPr>
            </w:pPr>
          </w:p>
        </w:tc>
      </w:tr>
      <w:tr>
        <w:trPr>
          <w:trHeight w:val="138"/>
        </w:trPr>
        <w:tc>
          <w:tcPr>
            <w:tcW w:w="3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r>
      <w:tr>
        <w:trPr>
          <w:trHeight w:val="116"/>
        </w:trPr>
        <w:tc>
          <w:tcPr>
            <w:tcW w:w="3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December 31,</w:t>
            </w:r>
          </w:p>
        </w:tc>
        <w:tc>
          <w:tcPr>
            <w:tcW w:w="6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r>
        <w:trPr>
          <w:trHeight w:val="125"/>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(1-year percentage change, except months of inventory)</w:t>
            </w:r>
          </w:p>
        </w:tc>
        <w:tc>
          <w:tcPr>
            <w:tcW w:w="4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9"/>
                <w:szCs w:val="9"/>
                <w:b w:val="1"/>
                <w:bCs w:val="1"/>
                <w:color w:val="auto"/>
              </w:rPr>
              <w:t>2023</w:t>
            </w:r>
          </w:p>
        </w:tc>
        <w:tc>
          <w:tcPr>
            <w:tcW w:w="3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9"/>
                <w:szCs w:val="9"/>
                <w:b w:val="1"/>
                <w:bCs w:val="1"/>
                <w:color w:val="auto"/>
                <w:w w:val="99"/>
              </w:rPr>
              <w:t>2022</w:t>
            </w: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9"/>
                <w:szCs w:val="9"/>
                <w:b w:val="1"/>
                <w:bCs w:val="1"/>
                <w:color w:val="auto"/>
              </w:rPr>
              <w:t>2021</w:t>
            </w:r>
          </w:p>
        </w:tc>
        <w:tc>
          <w:tcPr>
            <w:tcW w:w="6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9"/>
                <w:szCs w:val="9"/>
                <w:b w:val="1"/>
                <w:bCs w:val="1"/>
                <w:color w:val="auto"/>
                <w:w w:val="99"/>
              </w:rPr>
              <w:t>2020</w:t>
            </w:r>
          </w:p>
        </w:tc>
        <w:tc>
          <w:tcPr>
            <w:tcW w:w="240" w:type="dxa"/>
            <w:vAlign w:val="bottom"/>
            <w:tcBorders>
              <w:bottom w:val="single" w:sz="8" w:color="auto"/>
            </w:tcBorders>
          </w:tcPr>
          <w:p>
            <w:pPr>
              <w:spacing w:after="0"/>
              <w:rPr>
                <w:sz w:val="10"/>
                <w:szCs w:val="10"/>
                <w:color w:val="auto"/>
              </w:rPr>
            </w:pPr>
          </w:p>
        </w:tc>
      </w:tr>
      <w:tr>
        <w:trPr>
          <w:trHeight w:val="125"/>
        </w:trPr>
        <w:tc>
          <w:tcPr>
            <w:tcW w:w="346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9"/>
                <w:szCs w:val="9"/>
                <w:b w:val="1"/>
                <w:bCs w:val="1"/>
                <w:color w:val="auto"/>
              </w:rPr>
              <w:t xml:space="preserve">Housing Trends (Single Family Oahu) </w:t>
            </w:r>
            <w:r>
              <w:rPr>
                <w:rFonts w:ascii="Times New Roman" w:cs="Times New Roman" w:eastAsia="Times New Roman" w:hAnsi="Times New Roman"/>
                <w:sz w:val="12"/>
                <w:szCs w:val="12"/>
                <w:color w:val="auto"/>
                <w:vertAlign w:val="superscript"/>
              </w:rPr>
              <w:t>4</w:t>
            </w:r>
          </w:p>
        </w:tc>
        <w:tc>
          <w:tcPr>
            <w:tcW w:w="42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r>
      <w:tr>
        <w:trPr>
          <w:trHeight w:val="126"/>
        </w:trPr>
        <w:tc>
          <w:tcPr>
            <w:tcW w:w="3460" w:type="dxa"/>
            <w:vAlign w:val="bottom"/>
          </w:tcPr>
          <w:p>
            <w:pPr>
              <w:ind w:left="60"/>
              <w:spacing w:after="0"/>
              <w:rPr>
                <w:sz w:val="20"/>
                <w:szCs w:val="20"/>
                <w:color w:val="auto"/>
              </w:rPr>
            </w:pPr>
            <w:r>
              <w:rPr>
                <w:rFonts w:ascii="Times New Roman" w:cs="Times New Roman" w:eastAsia="Times New Roman" w:hAnsi="Times New Roman"/>
                <w:sz w:val="9"/>
                <w:szCs w:val="9"/>
                <w:color w:val="auto"/>
              </w:rPr>
              <w:t>Median Home Price</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(5.0 )</w:t>
            </w:r>
          </w:p>
        </w:tc>
        <w:tc>
          <w:tcPr>
            <w:tcW w:w="260" w:type="dxa"/>
            <w:vAlign w:val="bottom"/>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11.6</w:t>
            </w:r>
          </w:p>
        </w:tc>
        <w:tc>
          <w:tcPr>
            <w:tcW w:w="18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19.3</w:t>
            </w:r>
          </w:p>
        </w:tc>
        <w:tc>
          <w:tcPr>
            <w:tcW w:w="600" w:type="dxa"/>
            <w:vAlign w:val="bottom"/>
          </w:tcPr>
          <w:p>
            <w:pPr>
              <w:jc w:val="right"/>
              <w:ind w:right="353"/>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5.2</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9"/>
                <w:szCs w:val="9"/>
                <w:color w:val="auto"/>
              </w:rPr>
              <w:t>%</w:t>
            </w:r>
          </w:p>
        </w:tc>
      </w:tr>
      <w:tr>
        <w:trPr>
          <w:trHeight w:val="134"/>
        </w:trPr>
        <w:tc>
          <w:tcPr>
            <w:tcW w:w="3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9"/>
                <w:szCs w:val="9"/>
                <w:color w:val="auto"/>
              </w:rPr>
              <w:t>Home Sales Volume (units)</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(26.3 )</w:t>
            </w:r>
          </w:p>
        </w:tc>
        <w:tc>
          <w:tcPr>
            <w:tcW w:w="2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9"/>
                <w:szCs w:val="9"/>
                <w:color w:val="auto"/>
              </w:rPr>
              <w:t>%</w:t>
            </w: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9"/>
                <w:szCs w:val="9"/>
                <w:color w:val="auto"/>
              </w:rPr>
              <w:t>(23.2 )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9"/>
                <w:szCs w:val="9"/>
                <w:color w:val="auto"/>
              </w:rPr>
              <w:t>%</w:t>
            </w: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17.9</w:t>
            </w:r>
          </w:p>
        </w:tc>
        <w:tc>
          <w:tcPr>
            <w:tcW w:w="600" w:type="dxa"/>
            <w:vAlign w:val="bottom"/>
            <w:shd w:val="clear" w:color="auto" w:fill="CFF0FC"/>
          </w:tcPr>
          <w:p>
            <w:pPr>
              <w:jc w:val="right"/>
              <w:ind w:right="353"/>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2.3</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9"/>
                <w:szCs w:val="9"/>
                <w:color w:val="auto"/>
              </w:rPr>
              <w:t>%</w:t>
            </w:r>
          </w:p>
        </w:tc>
      </w:tr>
      <w:tr>
        <w:trPr>
          <w:trHeight w:val="123"/>
        </w:trPr>
        <w:tc>
          <w:tcPr>
            <w:tcW w:w="3460" w:type="dxa"/>
            <w:vAlign w:val="bottom"/>
          </w:tcPr>
          <w:p>
            <w:pPr>
              <w:ind w:left="60"/>
              <w:spacing w:after="0"/>
              <w:rPr>
                <w:sz w:val="20"/>
                <w:szCs w:val="20"/>
                <w:color w:val="auto"/>
              </w:rPr>
            </w:pPr>
            <w:r>
              <w:rPr>
                <w:rFonts w:ascii="Times New Roman" w:cs="Times New Roman" w:eastAsia="Times New Roman" w:hAnsi="Times New Roman"/>
                <w:sz w:val="9"/>
                <w:szCs w:val="9"/>
                <w:color w:val="auto"/>
              </w:rPr>
              <w:t>Months of Inventory</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2.8</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2.1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0.8</w:t>
            </w: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1.4</w:t>
            </w:r>
          </w:p>
        </w:tc>
        <w:tc>
          <w:tcPr>
            <w:tcW w:w="240" w:type="dxa"/>
            <w:vAlign w:val="bottom"/>
          </w:tcPr>
          <w:p>
            <w:pPr>
              <w:spacing w:after="0"/>
              <w:rPr>
                <w:sz w:val="10"/>
                <w:szCs w:val="10"/>
                <w:color w:val="auto"/>
              </w:rPr>
            </w:pPr>
          </w:p>
        </w:tc>
      </w:tr>
      <w:tr>
        <w:trPr>
          <w:trHeight w:val="138"/>
        </w:trPr>
        <w:tc>
          <w:tcPr>
            <w:tcW w:w="34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r>
      <w:tr>
        <w:trPr>
          <w:trHeight w:val="116"/>
        </w:trPr>
        <w:tc>
          <w:tcPr>
            <w:tcW w:w="3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560" w:type="dxa"/>
            <w:vAlign w:val="bottom"/>
            <w:gridSpan w:val="3"/>
          </w:tcPr>
          <w:p>
            <w:pPr>
              <w:jc w:val="center"/>
              <w:ind w:right="273"/>
              <w:spacing w:after="0"/>
              <w:rPr>
                <w:sz w:val="20"/>
                <w:szCs w:val="20"/>
                <w:color w:val="auto"/>
              </w:rPr>
            </w:pPr>
            <w:r>
              <w:rPr>
                <w:rFonts w:ascii="Times New Roman" w:cs="Times New Roman" w:eastAsia="Times New Roman" w:hAnsi="Times New Roman"/>
                <w:sz w:val="9"/>
                <w:szCs w:val="9"/>
                <w:b w:val="1"/>
                <w:bCs w:val="1"/>
                <w:color w:val="auto"/>
              </w:rPr>
              <w:t>Monthly Visitor Arrivals,</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3"/>
          </w:tcPr>
          <w:p>
            <w:pPr>
              <w:jc w:val="center"/>
              <w:ind w:left="13"/>
              <w:spacing w:after="0"/>
              <w:rPr>
                <w:sz w:val="20"/>
                <w:szCs w:val="20"/>
                <w:color w:val="auto"/>
              </w:rPr>
            </w:pPr>
            <w:r>
              <w:rPr>
                <w:rFonts w:ascii="Times New Roman" w:cs="Times New Roman" w:eastAsia="Times New Roman" w:hAnsi="Times New Roman"/>
                <w:sz w:val="9"/>
                <w:szCs w:val="9"/>
                <w:b w:val="1"/>
                <w:bCs w:val="1"/>
                <w:color w:val="auto"/>
              </w:rPr>
              <w:t>Percentage Change</w:t>
            </w:r>
          </w:p>
        </w:tc>
        <w:tc>
          <w:tcPr>
            <w:tcW w:w="240" w:type="dxa"/>
            <w:vAlign w:val="bottom"/>
          </w:tcPr>
          <w:p>
            <w:pPr>
              <w:spacing w:after="0"/>
              <w:rPr>
                <w:sz w:val="10"/>
                <w:szCs w:val="10"/>
                <w:color w:val="auto"/>
              </w:rPr>
            </w:pPr>
          </w:p>
        </w:tc>
      </w:tr>
      <w:tr>
        <w:trPr>
          <w:trHeight w:val="132"/>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(in thousands, except percent change)</w:t>
            </w:r>
          </w:p>
        </w:tc>
        <w:tc>
          <w:tcPr>
            <w:tcW w:w="4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center"/>
              <w:ind w:right="273"/>
              <w:spacing w:after="0"/>
              <w:rPr>
                <w:sz w:val="20"/>
                <w:szCs w:val="20"/>
                <w:color w:val="auto"/>
              </w:rPr>
            </w:pPr>
            <w:r>
              <w:rPr>
                <w:rFonts w:ascii="Times New Roman" w:cs="Times New Roman" w:eastAsia="Times New Roman" w:hAnsi="Times New Roman"/>
                <w:sz w:val="9"/>
                <w:szCs w:val="9"/>
                <w:b w:val="1"/>
                <w:bCs w:val="1"/>
                <w:color w:val="auto"/>
              </w:rPr>
              <w:t>Not Seasonally Adjusted</w:t>
            </w: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center"/>
              <w:ind w:left="13"/>
              <w:spacing w:after="0"/>
              <w:rPr>
                <w:sz w:val="20"/>
                <w:szCs w:val="20"/>
                <w:color w:val="auto"/>
              </w:rPr>
            </w:pPr>
            <w:r>
              <w:rPr>
                <w:rFonts w:ascii="Times New Roman" w:cs="Times New Roman" w:eastAsia="Times New Roman" w:hAnsi="Times New Roman"/>
                <w:sz w:val="9"/>
                <w:szCs w:val="9"/>
                <w:b w:val="1"/>
                <w:bCs w:val="1"/>
                <w:color w:val="auto"/>
              </w:rPr>
              <w:t>from Previous Year</w:t>
            </w:r>
          </w:p>
        </w:tc>
        <w:tc>
          <w:tcPr>
            <w:tcW w:w="240" w:type="dxa"/>
            <w:vAlign w:val="bottom"/>
            <w:tcBorders>
              <w:bottom w:val="single" w:sz="8" w:color="auto"/>
            </w:tcBorders>
          </w:tcPr>
          <w:p>
            <w:pPr>
              <w:spacing w:after="0"/>
              <w:rPr>
                <w:sz w:val="11"/>
                <w:szCs w:val="11"/>
                <w:color w:val="auto"/>
              </w:rPr>
            </w:pPr>
          </w:p>
        </w:tc>
      </w:tr>
      <w:tr>
        <w:trPr>
          <w:trHeight w:val="126"/>
        </w:trPr>
        <w:tc>
          <w:tcPr>
            <w:tcW w:w="34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9"/>
                <w:szCs w:val="9"/>
                <w:b w:val="1"/>
                <w:bCs w:val="1"/>
                <w:color w:val="auto"/>
              </w:rPr>
              <w:t xml:space="preserve">Tourism </w:t>
            </w:r>
            <w:r>
              <w:rPr>
                <w:rFonts w:ascii="Times New Roman" w:cs="Times New Roman" w:eastAsia="Times New Roman" w:hAnsi="Times New Roman"/>
                <w:sz w:val="12"/>
                <w:szCs w:val="12"/>
                <w:color w:val="auto"/>
                <w:vertAlign w:val="superscript"/>
              </w:rPr>
              <w:t>5</w:t>
            </w:r>
          </w:p>
        </w:tc>
        <w:tc>
          <w:tcPr>
            <w:tcW w:w="420" w:type="dxa"/>
            <w:vAlign w:val="bottom"/>
            <w:shd w:val="clear" w:color="auto" w:fill="CFF0FC"/>
          </w:tcPr>
          <w:p>
            <w:pPr>
              <w:spacing w:after="0"/>
              <w:rPr>
                <w:sz w:val="10"/>
                <w:szCs w:val="10"/>
                <w:color w:val="auto"/>
              </w:rPr>
            </w:pPr>
          </w:p>
        </w:tc>
        <w:tc>
          <w:tcPr>
            <w:tcW w:w="15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r>
      <w:tr>
        <w:trPr>
          <w:trHeight w:val="126"/>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November 30, 2023</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720.3</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0.2</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9"/>
                <w:szCs w:val="9"/>
                <w:color w:val="auto"/>
              </w:rPr>
              <w:t>%</w:t>
            </w:r>
          </w:p>
        </w:tc>
      </w:tr>
      <w:tr>
        <w:trPr>
          <w:trHeight w:val="134"/>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October 31, 2023</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700.3</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(3.7 )</w:t>
            </w:r>
          </w:p>
        </w:tc>
        <w:tc>
          <w:tcPr>
            <w:tcW w:w="240" w:type="dxa"/>
            <w:vAlign w:val="bottom"/>
            <w:shd w:val="clear" w:color="auto" w:fill="CFF0FC"/>
          </w:tcPr>
          <w:p>
            <w:pPr>
              <w:spacing w:after="0"/>
              <w:rPr>
                <w:sz w:val="11"/>
                <w:szCs w:val="11"/>
                <w:color w:val="auto"/>
              </w:rPr>
            </w:pPr>
          </w:p>
        </w:tc>
      </w:tr>
      <w:tr>
        <w:trPr>
          <w:trHeight w:val="126"/>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September 30, 2023</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643.1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(7.1 )</w:t>
            </w:r>
          </w:p>
        </w:tc>
        <w:tc>
          <w:tcPr>
            <w:tcW w:w="240" w:type="dxa"/>
            <w:vAlign w:val="bottom"/>
          </w:tcPr>
          <w:p>
            <w:pPr>
              <w:spacing w:after="0"/>
              <w:rPr>
                <w:sz w:val="10"/>
                <w:szCs w:val="10"/>
                <w:color w:val="auto"/>
              </w:rPr>
            </w:pPr>
          </w:p>
        </w:tc>
      </w:tr>
      <w:tr>
        <w:trPr>
          <w:trHeight w:val="134"/>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August 31, 2023</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766.0</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(7.7 )</w:t>
            </w:r>
          </w:p>
        </w:tc>
        <w:tc>
          <w:tcPr>
            <w:tcW w:w="240" w:type="dxa"/>
            <w:vAlign w:val="bottom"/>
            <w:shd w:val="clear" w:color="auto" w:fill="CFF0FC"/>
          </w:tcPr>
          <w:p>
            <w:pPr>
              <w:spacing w:after="0"/>
              <w:rPr>
                <w:sz w:val="11"/>
                <w:szCs w:val="11"/>
                <w:color w:val="auto"/>
              </w:rPr>
            </w:pPr>
          </w:p>
        </w:tc>
      </w:tr>
      <w:tr>
        <w:trPr>
          <w:trHeight w:val="126"/>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July 31, 2023</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929.4</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1.2</w:t>
            </w:r>
          </w:p>
        </w:tc>
        <w:tc>
          <w:tcPr>
            <w:tcW w:w="240" w:type="dxa"/>
            <w:vAlign w:val="bottom"/>
          </w:tcPr>
          <w:p>
            <w:pPr>
              <w:spacing w:after="0"/>
              <w:rPr>
                <w:sz w:val="10"/>
                <w:szCs w:val="10"/>
                <w:color w:val="auto"/>
              </w:rPr>
            </w:pPr>
          </w:p>
        </w:tc>
      </w:tr>
      <w:tr>
        <w:trPr>
          <w:trHeight w:val="134"/>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June 30, 2023</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886.0</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5.3</w:t>
            </w:r>
          </w:p>
        </w:tc>
        <w:tc>
          <w:tcPr>
            <w:tcW w:w="240" w:type="dxa"/>
            <w:vAlign w:val="bottom"/>
            <w:shd w:val="clear" w:color="auto" w:fill="CFF0FC"/>
          </w:tcPr>
          <w:p>
            <w:pPr>
              <w:spacing w:after="0"/>
              <w:rPr>
                <w:sz w:val="11"/>
                <w:szCs w:val="11"/>
                <w:color w:val="auto"/>
              </w:rPr>
            </w:pPr>
          </w:p>
        </w:tc>
      </w:tr>
      <w:tr>
        <w:trPr>
          <w:trHeight w:val="126"/>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May 31, 2023</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790.5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2.1</w:t>
            </w:r>
          </w:p>
        </w:tc>
        <w:tc>
          <w:tcPr>
            <w:tcW w:w="240" w:type="dxa"/>
            <w:vAlign w:val="bottom"/>
          </w:tcPr>
          <w:p>
            <w:pPr>
              <w:spacing w:after="0"/>
              <w:rPr>
                <w:sz w:val="10"/>
                <w:szCs w:val="10"/>
                <w:color w:val="auto"/>
              </w:rPr>
            </w:pPr>
          </w:p>
        </w:tc>
      </w:tr>
      <w:tr>
        <w:trPr>
          <w:trHeight w:val="134"/>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April 30, 2023</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806.2</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(0.4 )</w:t>
            </w:r>
          </w:p>
        </w:tc>
        <w:tc>
          <w:tcPr>
            <w:tcW w:w="240" w:type="dxa"/>
            <w:vAlign w:val="bottom"/>
            <w:shd w:val="clear" w:color="auto" w:fill="CFF0FC"/>
          </w:tcPr>
          <w:p>
            <w:pPr>
              <w:spacing w:after="0"/>
              <w:rPr>
                <w:sz w:val="11"/>
                <w:szCs w:val="11"/>
                <w:color w:val="auto"/>
              </w:rPr>
            </w:pPr>
          </w:p>
        </w:tc>
      </w:tr>
      <w:tr>
        <w:trPr>
          <w:trHeight w:val="126"/>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March 31, 2023</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892.2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13.6</w:t>
            </w:r>
          </w:p>
        </w:tc>
        <w:tc>
          <w:tcPr>
            <w:tcW w:w="240" w:type="dxa"/>
            <w:vAlign w:val="bottom"/>
          </w:tcPr>
          <w:p>
            <w:pPr>
              <w:spacing w:after="0"/>
              <w:rPr>
                <w:sz w:val="10"/>
                <w:szCs w:val="10"/>
                <w:color w:val="auto"/>
              </w:rPr>
            </w:pPr>
          </w:p>
        </w:tc>
      </w:tr>
      <w:tr>
        <w:trPr>
          <w:trHeight w:val="134"/>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February 28, 2023</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733.6</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17.6</w:t>
            </w:r>
          </w:p>
        </w:tc>
        <w:tc>
          <w:tcPr>
            <w:tcW w:w="240" w:type="dxa"/>
            <w:vAlign w:val="bottom"/>
            <w:shd w:val="clear" w:color="auto" w:fill="CFF0FC"/>
          </w:tcPr>
          <w:p>
            <w:pPr>
              <w:spacing w:after="0"/>
              <w:rPr>
                <w:sz w:val="11"/>
                <w:szCs w:val="11"/>
                <w:color w:val="auto"/>
              </w:rPr>
            </w:pPr>
          </w:p>
        </w:tc>
      </w:tr>
      <w:tr>
        <w:trPr>
          <w:trHeight w:val="126"/>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January 31, 2023</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775.1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36.7</w:t>
            </w:r>
          </w:p>
        </w:tc>
        <w:tc>
          <w:tcPr>
            <w:tcW w:w="240" w:type="dxa"/>
            <w:vAlign w:val="bottom"/>
          </w:tcPr>
          <w:p>
            <w:pPr>
              <w:spacing w:after="0"/>
              <w:rPr>
                <w:sz w:val="10"/>
                <w:szCs w:val="10"/>
                <w:color w:val="auto"/>
              </w:rPr>
            </w:pPr>
          </w:p>
        </w:tc>
      </w:tr>
      <w:tr>
        <w:trPr>
          <w:trHeight w:val="134"/>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December 31, 2022</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858.1</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14.0</w:t>
            </w:r>
          </w:p>
        </w:tc>
        <w:tc>
          <w:tcPr>
            <w:tcW w:w="240" w:type="dxa"/>
            <w:vAlign w:val="bottom"/>
            <w:shd w:val="clear" w:color="auto" w:fill="CFF0FC"/>
          </w:tcPr>
          <w:p>
            <w:pPr>
              <w:spacing w:after="0"/>
              <w:rPr>
                <w:sz w:val="11"/>
                <w:szCs w:val="11"/>
                <w:color w:val="auto"/>
              </w:rPr>
            </w:pPr>
          </w:p>
        </w:tc>
      </w:tr>
      <w:tr>
        <w:trPr>
          <w:trHeight w:val="126"/>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November 30, 2022</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719.0</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17.1</w:t>
            </w:r>
          </w:p>
        </w:tc>
        <w:tc>
          <w:tcPr>
            <w:tcW w:w="240" w:type="dxa"/>
            <w:vAlign w:val="bottom"/>
          </w:tcPr>
          <w:p>
            <w:pPr>
              <w:spacing w:after="0"/>
              <w:rPr>
                <w:sz w:val="10"/>
                <w:szCs w:val="10"/>
                <w:color w:val="auto"/>
              </w:rPr>
            </w:pPr>
          </w:p>
        </w:tc>
      </w:tr>
      <w:tr>
        <w:trPr>
          <w:trHeight w:val="134"/>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October 31, 2022</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727.4</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32.1</w:t>
            </w:r>
          </w:p>
        </w:tc>
        <w:tc>
          <w:tcPr>
            <w:tcW w:w="240" w:type="dxa"/>
            <w:vAlign w:val="bottom"/>
            <w:shd w:val="clear" w:color="auto" w:fill="CFF0FC"/>
          </w:tcPr>
          <w:p>
            <w:pPr>
              <w:spacing w:after="0"/>
              <w:rPr>
                <w:sz w:val="11"/>
                <w:szCs w:val="11"/>
                <w:color w:val="auto"/>
              </w:rPr>
            </w:pPr>
          </w:p>
        </w:tc>
      </w:tr>
      <w:tr>
        <w:trPr>
          <w:trHeight w:val="126"/>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September 30, 2022</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692.2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37.2</w:t>
            </w:r>
          </w:p>
        </w:tc>
        <w:tc>
          <w:tcPr>
            <w:tcW w:w="240" w:type="dxa"/>
            <w:vAlign w:val="bottom"/>
          </w:tcPr>
          <w:p>
            <w:pPr>
              <w:spacing w:after="0"/>
              <w:rPr>
                <w:sz w:val="10"/>
                <w:szCs w:val="10"/>
                <w:color w:val="auto"/>
              </w:rPr>
            </w:pPr>
          </w:p>
        </w:tc>
      </w:tr>
      <w:tr>
        <w:trPr>
          <w:trHeight w:val="134"/>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August 31, 2022</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829.8</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14.8</w:t>
            </w:r>
          </w:p>
        </w:tc>
        <w:tc>
          <w:tcPr>
            <w:tcW w:w="240" w:type="dxa"/>
            <w:vAlign w:val="bottom"/>
            <w:shd w:val="clear" w:color="auto" w:fill="CFF0FC"/>
          </w:tcPr>
          <w:p>
            <w:pPr>
              <w:spacing w:after="0"/>
              <w:rPr>
                <w:sz w:val="11"/>
                <w:szCs w:val="11"/>
                <w:color w:val="auto"/>
              </w:rPr>
            </w:pPr>
          </w:p>
        </w:tc>
      </w:tr>
      <w:tr>
        <w:trPr>
          <w:trHeight w:val="126"/>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July 31, 2022</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918.6</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4.4</w:t>
            </w:r>
          </w:p>
        </w:tc>
        <w:tc>
          <w:tcPr>
            <w:tcW w:w="240" w:type="dxa"/>
            <w:vAlign w:val="bottom"/>
          </w:tcPr>
          <w:p>
            <w:pPr>
              <w:spacing w:after="0"/>
              <w:rPr>
                <w:sz w:val="10"/>
                <w:szCs w:val="10"/>
                <w:color w:val="auto"/>
              </w:rPr>
            </w:pPr>
          </w:p>
        </w:tc>
      </w:tr>
      <w:tr>
        <w:trPr>
          <w:trHeight w:val="134"/>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June 30, 2022</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841.8</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6.4</w:t>
            </w:r>
          </w:p>
        </w:tc>
        <w:tc>
          <w:tcPr>
            <w:tcW w:w="240" w:type="dxa"/>
            <w:vAlign w:val="bottom"/>
            <w:shd w:val="clear" w:color="auto" w:fill="CFF0FC"/>
          </w:tcPr>
          <w:p>
            <w:pPr>
              <w:spacing w:after="0"/>
              <w:rPr>
                <w:sz w:val="11"/>
                <w:szCs w:val="11"/>
                <w:color w:val="auto"/>
              </w:rPr>
            </w:pPr>
          </w:p>
        </w:tc>
      </w:tr>
      <w:tr>
        <w:trPr>
          <w:trHeight w:val="126"/>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May 31, 2022</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774.1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22.9</w:t>
            </w:r>
          </w:p>
        </w:tc>
        <w:tc>
          <w:tcPr>
            <w:tcW w:w="240" w:type="dxa"/>
            <w:vAlign w:val="bottom"/>
          </w:tcPr>
          <w:p>
            <w:pPr>
              <w:spacing w:after="0"/>
              <w:rPr>
                <w:sz w:val="10"/>
                <w:szCs w:val="10"/>
                <w:color w:val="auto"/>
              </w:rPr>
            </w:pPr>
          </w:p>
        </w:tc>
      </w:tr>
      <w:tr>
        <w:trPr>
          <w:trHeight w:val="134"/>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April 30, 2022</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809.6</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67.3</w:t>
            </w:r>
          </w:p>
        </w:tc>
        <w:tc>
          <w:tcPr>
            <w:tcW w:w="240" w:type="dxa"/>
            <w:vAlign w:val="bottom"/>
            <w:shd w:val="clear" w:color="auto" w:fill="CFF0FC"/>
          </w:tcPr>
          <w:p>
            <w:pPr>
              <w:spacing w:after="0"/>
              <w:rPr>
                <w:sz w:val="11"/>
                <w:szCs w:val="11"/>
                <w:color w:val="auto"/>
              </w:rPr>
            </w:pPr>
          </w:p>
        </w:tc>
      </w:tr>
      <w:tr>
        <w:trPr>
          <w:trHeight w:val="126"/>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March 31, 2022</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785.7</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78.7</w:t>
            </w:r>
          </w:p>
        </w:tc>
        <w:tc>
          <w:tcPr>
            <w:tcW w:w="240" w:type="dxa"/>
            <w:vAlign w:val="bottom"/>
          </w:tcPr>
          <w:p>
            <w:pPr>
              <w:spacing w:after="0"/>
              <w:rPr>
                <w:sz w:val="10"/>
                <w:szCs w:val="10"/>
                <w:color w:val="auto"/>
              </w:rPr>
            </w:pPr>
          </w:p>
        </w:tc>
      </w:tr>
      <w:tr>
        <w:trPr>
          <w:trHeight w:val="134"/>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February 28, 2022</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623.7</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165.1</w:t>
            </w:r>
          </w:p>
        </w:tc>
        <w:tc>
          <w:tcPr>
            <w:tcW w:w="240" w:type="dxa"/>
            <w:vAlign w:val="bottom"/>
            <w:shd w:val="clear" w:color="auto" w:fill="CFF0FC"/>
          </w:tcPr>
          <w:p>
            <w:pPr>
              <w:spacing w:after="0"/>
              <w:rPr>
                <w:sz w:val="11"/>
                <w:szCs w:val="11"/>
                <w:color w:val="auto"/>
              </w:rPr>
            </w:pPr>
          </w:p>
        </w:tc>
      </w:tr>
      <w:tr>
        <w:trPr>
          <w:trHeight w:val="126"/>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January 31, 2022</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567.2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229.8</w:t>
            </w:r>
          </w:p>
        </w:tc>
        <w:tc>
          <w:tcPr>
            <w:tcW w:w="240" w:type="dxa"/>
            <w:vAlign w:val="bottom"/>
          </w:tcPr>
          <w:p>
            <w:pPr>
              <w:spacing w:after="0"/>
              <w:rPr>
                <w:sz w:val="10"/>
                <w:szCs w:val="10"/>
                <w:color w:val="auto"/>
              </w:rPr>
            </w:pPr>
          </w:p>
        </w:tc>
      </w:tr>
      <w:tr>
        <w:trPr>
          <w:trHeight w:val="134"/>
        </w:trPr>
        <w:tc>
          <w:tcPr>
            <w:tcW w:w="3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9"/>
                <w:szCs w:val="9"/>
                <w:color w:val="auto"/>
              </w:rPr>
              <w:t>December 31,2021</w:t>
            </w:r>
          </w:p>
        </w:tc>
        <w:tc>
          <w:tcPr>
            <w:tcW w:w="420" w:type="dxa"/>
            <w:vAlign w:val="bottom"/>
            <w:shd w:val="clear" w:color="auto" w:fill="CFF0FC"/>
          </w:tcPr>
          <w:p>
            <w:pPr>
              <w:spacing w:after="0"/>
              <w:rPr>
                <w:sz w:val="11"/>
                <w:szCs w:val="11"/>
                <w:color w:val="auto"/>
              </w:rPr>
            </w:pPr>
          </w:p>
        </w:tc>
        <w:tc>
          <w:tcPr>
            <w:tcW w:w="1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46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9"/>
                <w:szCs w:val="9"/>
                <w:color w:val="auto"/>
              </w:rPr>
              <w:t>752.8</w:t>
            </w: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9"/>
                <w:szCs w:val="9"/>
                <w:color w:val="auto"/>
              </w:rPr>
              <w:t>219.3</w:t>
            </w:r>
          </w:p>
        </w:tc>
        <w:tc>
          <w:tcPr>
            <w:tcW w:w="240" w:type="dxa"/>
            <w:vAlign w:val="bottom"/>
            <w:shd w:val="clear" w:color="auto" w:fill="CFF0FC"/>
          </w:tcPr>
          <w:p>
            <w:pPr>
              <w:spacing w:after="0"/>
              <w:rPr>
                <w:sz w:val="11"/>
                <w:szCs w:val="11"/>
                <w:color w:val="auto"/>
              </w:rPr>
            </w:pPr>
          </w:p>
        </w:tc>
      </w:tr>
      <w:tr>
        <w:trPr>
          <w:trHeight w:val="123"/>
        </w:trPr>
        <w:tc>
          <w:tcPr>
            <w:tcW w:w="34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November 30, 2021</w:t>
            </w:r>
          </w:p>
        </w:tc>
        <w:tc>
          <w:tcPr>
            <w:tcW w:w="4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jc w:val="right"/>
              <w:ind w:right="93"/>
              <w:spacing w:after="0"/>
              <w:rPr>
                <w:sz w:val="20"/>
                <w:szCs w:val="20"/>
                <w:color w:val="auto"/>
              </w:rPr>
            </w:pPr>
            <w:r>
              <w:rPr>
                <w:rFonts w:ascii="Times New Roman" w:cs="Times New Roman" w:eastAsia="Times New Roman" w:hAnsi="Times New Roman"/>
                <w:sz w:val="9"/>
                <w:szCs w:val="9"/>
                <w:color w:val="auto"/>
              </w:rPr>
              <w:t>614.0</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9"/>
                <w:szCs w:val="9"/>
                <w:color w:val="auto"/>
              </w:rPr>
              <w:t>234.1</w:t>
            </w:r>
          </w:p>
        </w:tc>
        <w:tc>
          <w:tcPr>
            <w:tcW w:w="240" w:type="dxa"/>
            <w:vAlign w:val="bottom"/>
          </w:tcPr>
          <w:p>
            <w:pPr>
              <w:spacing w:after="0"/>
              <w:rPr>
                <w:sz w:val="10"/>
                <w:szCs w:val="10"/>
                <w:color w:val="auto"/>
              </w:rPr>
            </w:pPr>
          </w:p>
        </w:tc>
      </w:tr>
    </w:tbl>
    <w:p>
      <w:pPr>
        <w:spacing w:after="0" w:line="111" w:lineRule="exact"/>
        <w:rPr>
          <w:sz w:val="20"/>
          <w:szCs w:val="20"/>
          <w:color w:val="auto"/>
        </w:rPr>
      </w:pPr>
    </w:p>
    <w:p>
      <w:pPr>
        <w:ind w:left="80" w:hanging="74"/>
        <w:spacing w:after="0"/>
        <w:tabs>
          <w:tab w:leader="none" w:pos="80" w:val="left"/>
        </w:tabs>
        <w:numPr>
          <w:ilvl w:val="0"/>
          <w:numId w:val="20"/>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9"/>
          <w:szCs w:val="9"/>
          <w:color w:val="auto"/>
        </w:rPr>
        <w:t>Source: Hawaii Department of Business, Economic Development &amp; Tourism</w:t>
      </w:r>
    </w:p>
    <w:p>
      <w:pPr>
        <w:spacing w:after="0" w:line="17" w:lineRule="exact"/>
        <w:rPr>
          <w:rFonts w:ascii="Times New Roman" w:cs="Times New Roman" w:eastAsia="Times New Roman" w:hAnsi="Times New Roman"/>
          <w:sz w:val="13"/>
          <w:szCs w:val="13"/>
          <w:color w:val="auto"/>
          <w:vertAlign w:val="superscript"/>
        </w:rPr>
      </w:pPr>
    </w:p>
    <w:p>
      <w:pPr>
        <w:spacing w:after="0" w:line="226" w:lineRule="auto"/>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2"/>
          <w:szCs w:val="12"/>
          <w:color w:val="auto"/>
          <w:vertAlign w:val="superscript"/>
        </w:rPr>
        <w:t>2</w:t>
      </w:r>
      <w:r>
        <w:rPr>
          <w:rFonts w:ascii="Times New Roman" w:cs="Times New Roman" w:eastAsia="Times New Roman" w:hAnsi="Times New Roman"/>
          <w:sz w:val="9"/>
          <w:szCs w:val="9"/>
          <w:color w:val="auto"/>
        </w:rPr>
        <w:t xml:space="preserve">  Source: U.S. Bureau of Labor Statistics</w:t>
      </w:r>
    </w:p>
    <w:p>
      <w:pPr>
        <w:spacing w:after="0" w:line="226" w:lineRule="auto"/>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2"/>
          <w:szCs w:val="12"/>
          <w:color w:val="auto"/>
          <w:vertAlign w:val="superscript"/>
        </w:rPr>
        <w:t>3</w:t>
      </w:r>
      <w:r>
        <w:rPr>
          <w:rFonts w:ascii="Times New Roman" w:cs="Times New Roman" w:eastAsia="Times New Roman" w:hAnsi="Times New Roman"/>
          <w:sz w:val="9"/>
          <w:szCs w:val="9"/>
          <w:color w:val="auto"/>
        </w:rPr>
        <w:t xml:space="preserve">  Source: University of Hawaii Economic Research Organization (UHERO)</w:t>
      </w:r>
    </w:p>
    <w:p>
      <w:pPr>
        <w:spacing w:after="0" w:line="226" w:lineRule="auto"/>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2"/>
          <w:szCs w:val="12"/>
          <w:color w:val="auto"/>
          <w:vertAlign w:val="superscript"/>
        </w:rPr>
        <w:t>4</w:t>
      </w:r>
      <w:r>
        <w:rPr>
          <w:rFonts w:ascii="Times New Roman" w:cs="Times New Roman" w:eastAsia="Times New Roman" w:hAnsi="Times New Roman"/>
          <w:sz w:val="9"/>
          <w:szCs w:val="9"/>
          <w:color w:val="auto"/>
        </w:rPr>
        <w:t xml:space="preserve">  Source: Honolulu Board of Realtors</w:t>
      </w:r>
    </w:p>
    <w:p>
      <w:pPr>
        <w:spacing w:after="0"/>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2"/>
          <w:szCs w:val="12"/>
          <w:color w:val="auto"/>
          <w:vertAlign w:val="superscript"/>
        </w:rPr>
        <w:t>5</w:t>
      </w:r>
      <w:r>
        <w:rPr>
          <w:rFonts w:ascii="Times New Roman" w:cs="Times New Roman" w:eastAsia="Times New Roman" w:hAnsi="Times New Roman"/>
          <w:sz w:val="9"/>
          <w:szCs w:val="9"/>
          <w:color w:val="auto"/>
        </w:rPr>
        <w:t xml:space="preserve">  Source: Hawaii Tourism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591820</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530" w:right="31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3"/>
      <w:numFmt w:val="bullet"/>
      <w:start w:val="1"/>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1"/>
      <w:numFmt w:val="bullet"/>
      <w:start w:val="1"/>
    </w:lvl>
  </w:abstractNum>
  <w:abstractNum w:abstractNumId="12">
    <w:nsid w:val="4E6AFB66"/>
    <w:multiLevelType w:val="hybridMultilevel"/>
    <w:lvl w:ilvl="0">
      <w:lvlJc w:val="left"/>
      <w:lvlText w:val="1"/>
      <w:numFmt w:val="bullet"/>
      <w:start w:val="1"/>
    </w:lvl>
  </w:abstractNum>
  <w:abstractNum w:abstractNumId="13">
    <w:nsid w:val="25E45D32"/>
    <w:multiLevelType w:val="hybridMultilevel"/>
    <w:lvl w:ilvl="0">
      <w:lvlJc w:val="left"/>
      <w:lvlText w:val="1"/>
      <w:numFmt w:val="bullet"/>
      <w:start w:val="1"/>
    </w:lvl>
  </w:abstractNum>
  <w:abstractNum w:abstractNumId="14">
    <w:nsid w:val="519B500D"/>
    <w:multiLevelType w:val="hybridMultilevel"/>
    <w:lvl w:ilvl="0">
      <w:lvlJc w:val="left"/>
      <w:lvlText w:val="1"/>
      <w:numFmt w:val="bullet"/>
      <w:start w:val="1"/>
    </w:lvl>
  </w:abstractNum>
  <w:abstractNum w:abstractNumId="15">
    <w:nsid w:val="431BD7B7"/>
    <w:multiLevelType w:val="hybridMultilevel"/>
    <w:lvl w:ilvl="0">
      <w:lvlJc w:val="left"/>
      <w:lvlText w:val="1"/>
      <w:numFmt w:val="bullet"/>
      <w:start w:val="1"/>
    </w:lvl>
  </w:abstractNum>
  <w:abstractNum w:abstractNumId="16">
    <w:nsid w:val="3F2DBA31"/>
    <w:multiLevelType w:val="hybridMultilevel"/>
    <w:lvl w:ilvl="0">
      <w:lvlJc w:val="left"/>
      <w:lvlText w:val="2"/>
      <w:numFmt w:val="bullet"/>
      <w:start w:val="1"/>
    </w:lvl>
  </w:abstractNum>
  <w:abstractNum w:abstractNumId="17">
    <w:nsid w:val="7C83E458"/>
    <w:multiLevelType w:val="hybridMultilevel"/>
    <w:lvl w:ilvl="0">
      <w:lvlJc w:val="left"/>
      <w:lvlText w:val="1"/>
      <w:numFmt w:val="bullet"/>
      <w:start w:val="1"/>
    </w:lvl>
  </w:abstractNum>
  <w:abstractNum w:abstractNumId="18">
    <w:nsid w:val="257130A3"/>
    <w:multiLevelType w:val="hybridMultilevel"/>
    <w:lvl w:ilvl="0">
      <w:lvlJc w:val="left"/>
      <w:lvlText w:val="2"/>
      <w:numFmt w:val="bullet"/>
      <w:start w:val="1"/>
    </w:lvl>
  </w:abstractNum>
  <w:abstractNum w:abstractNumId="19">
    <w:nsid w:val="62BBD9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2024-01-22T11:38:10Z</dcterms:created>
  <dcterms:modified xsi:type="dcterms:W3CDTF">2024-01-22T11:38:10Z</dcterms:modified>
</cp:coreProperties>
</file>