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212090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97"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UNITED STATES</w:t>
      </w:r>
    </w:p>
    <w:p>
      <w:pPr>
        <w:spacing w:after="0" w:line="38"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SECURITIES AND EXCHANGE COMMISSION</w:t>
      </w:r>
    </w:p>
    <w:p>
      <w:pPr>
        <w:spacing w:after="0" w:line="15" w:lineRule="exact"/>
        <w:rPr>
          <w:sz w:val="24"/>
          <w:szCs w:val="24"/>
          <w:color w:val="auto"/>
        </w:rPr>
      </w:pPr>
    </w:p>
    <w:p>
      <w:pPr>
        <w:ind w:left="4620"/>
        <w:spacing w:after="0"/>
        <w:rPr>
          <w:sz w:val="20"/>
          <w:szCs w:val="20"/>
          <w:color w:val="auto"/>
        </w:rPr>
      </w:pPr>
      <w:r>
        <w:rPr>
          <w:rFonts w:ascii="Arial" w:cs="Arial" w:eastAsia="Arial" w:hAnsi="Arial"/>
          <w:sz w:val="20"/>
          <w:szCs w:val="20"/>
          <w:b w:val="1"/>
          <w:bCs w:val="1"/>
          <w:color w:val="auto"/>
        </w:rPr>
        <w:t>Washington, D.C. 20549</w:t>
      </w:r>
    </w:p>
    <w:p>
      <w:pPr>
        <w:spacing w:after="0" w:line="117"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SCHEDULE 14A</w:t>
      </w:r>
    </w:p>
    <w:p>
      <w:pPr>
        <w:spacing w:after="0" w:line="173"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Proxy Statement Pursuant to Section 14(a) of the Securities</w:t>
      </w:r>
    </w:p>
    <w:p>
      <w:pPr>
        <w:spacing w:after="0" w:line="44" w:lineRule="exact"/>
        <w:rPr>
          <w:sz w:val="24"/>
          <w:szCs w:val="24"/>
          <w:color w:val="auto"/>
        </w:rPr>
      </w:pPr>
    </w:p>
    <w:p>
      <w:pPr>
        <w:jc w:val="center"/>
        <w:ind w:right="-1120"/>
        <w:spacing w:after="0"/>
        <w:tabs>
          <w:tab w:leader="none" w:pos="340" w:val="left"/>
        </w:tabs>
        <w:rPr>
          <w:sz w:val="20"/>
          <w:szCs w:val="20"/>
          <w:color w:val="auto"/>
        </w:rPr>
      </w:pPr>
      <w:r>
        <w:rPr>
          <w:rFonts w:ascii="Arial" w:cs="Arial" w:eastAsia="Arial" w:hAnsi="Arial"/>
          <w:sz w:val="20"/>
          <w:szCs w:val="20"/>
          <w:color w:val="auto"/>
        </w:rPr>
        <w:t>Exchange Act of 1934 (Amendment No.</w:t>
      </w:r>
      <w:r>
        <w:rPr>
          <w:sz w:val="20"/>
          <w:szCs w:val="20"/>
          <w:color w:val="auto"/>
        </w:rPr>
        <w:tab/>
      </w:r>
      <w:r>
        <w:rPr>
          <w:rFonts w:ascii="Arial" w:cs="Arial" w:eastAsia="Arial" w:hAnsi="Arial"/>
          <w:sz w:val="17"/>
          <w:szCs w:val="17"/>
          <w:color w:val="auto"/>
        </w:rPr>
        <w:t>)</w:t>
      </w:r>
    </w:p>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1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16"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70" w:lineRule="exact"/>
        <w:rPr>
          <w:sz w:val="24"/>
          <w:szCs w:val="24"/>
          <w:color w:val="auto"/>
        </w:rPr>
      </w:pPr>
    </w:p>
    <w:p>
      <w:pPr>
        <w:ind w:left="540" w:hanging="533"/>
        <w:spacing w:after="0"/>
        <w:tabs>
          <w:tab w:leader="none" w:pos="5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30" w:lineRule="exact"/>
        <w:rPr>
          <w:rFonts w:ascii="MS PGothic" w:cs="MS PGothic" w:eastAsia="MS PGothic" w:hAnsi="MS PGothic"/>
          <w:sz w:val="16"/>
          <w:szCs w:val="16"/>
          <w:color w:val="auto"/>
        </w:rPr>
      </w:pPr>
    </w:p>
    <w:p>
      <w:pPr>
        <w:ind w:left="540" w:hanging="533"/>
        <w:spacing w:after="0"/>
        <w:tabs>
          <w:tab w:leader="none" w:pos="5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6" w:lineRule="exact"/>
        <w:rPr>
          <w:rFonts w:ascii="MS PGothic" w:cs="MS PGothic" w:eastAsia="MS PGothic" w:hAnsi="MS PGothic"/>
          <w:sz w:val="16"/>
          <w:szCs w:val="16"/>
          <w:color w:val="auto"/>
        </w:rPr>
      </w:pPr>
    </w:p>
    <w:p>
      <w:pPr>
        <w:spacing w:after="0" w:line="184"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4"/>
          <w:szCs w:val="14"/>
          <w:color w:val="auto"/>
        </w:rPr>
        <w:t>Definitive Proxy Statement</w:t>
      </w:r>
    </w:p>
    <w:p>
      <w:pPr>
        <w:spacing w:after="0" w:line="16" w:lineRule="exact"/>
        <w:rPr>
          <w:rFonts w:ascii="MS PGothic" w:cs="MS PGothic" w:eastAsia="MS PGothic" w:hAnsi="MS PGothic"/>
          <w:sz w:val="16"/>
          <w:szCs w:val="16"/>
          <w:color w:val="auto"/>
        </w:rPr>
      </w:pPr>
    </w:p>
    <w:p>
      <w:pPr>
        <w:ind w:left="540" w:hanging="533"/>
        <w:spacing w:after="0"/>
        <w:tabs>
          <w:tab w:leader="none" w:pos="5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6" w:lineRule="exact"/>
        <w:rPr>
          <w:rFonts w:ascii="MS PGothic" w:cs="MS PGothic" w:eastAsia="MS PGothic" w:hAnsi="MS PGothic"/>
          <w:sz w:val="16"/>
          <w:szCs w:val="16"/>
          <w:color w:val="auto"/>
        </w:rPr>
      </w:pPr>
    </w:p>
    <w:p>
      <w:pPr>
        <w:ind w:left="540" w:hanging="533"/>
        <w:spacing w:after="0"/>
        <w:tabs>
          <w:tab w:leader="none" w:pos="5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105"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Bank of Hawaii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45"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161290</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37" w:lineRule="exact"/>
        <w:rPr>
          <w:sz w:val="24"/>
          <w:szCs w:val="24"/>
          <w:color w:val="auto"/>
        </w:rPr>
      </w:pPr>
    </w:p>
    <w:p>
      <w:pPr>
        <w:ind w:left="330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70" w:lineRule="exact"/>
        <w:rPr>
          <w:sz w:val="24"/>
          <w:szCs w:val="24"/>
          <w:color w:val="auto"/>
        </w:rPr>
      </w:pPr>
    </w:p>
    <w:p>
      <w:pPr>
        <w:ind w:left="540" w:hanging="533"/>
        <w:spacing w:after="0"/>
        <w:tabs>
          <w:tab w:leader="none" w:pos="54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70" w:lineRule="exact"/>
        <w:rPr>
          <w:sz w:val="24"/>
          <w:szCs w:val="24"/>
          <w:color w:val="auto"/>
        </w:rPr>
      </w:pPr>
    </w:p>
    <w:p>
      <w:pPr>
        <w:ind w:left="540" w:hanging="533"/>
        <w:spacing w:after="0"/>
        <w:tabs>
          <w:tab w:leader="none" w:pos="5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70" w:lineRule="exact"/>
        <w:rPr>
          <w:rFonts w:ascii="MS PGothic" w:cs="MS PGothic" w:eastAsia="MS PGothic" w:hAnsi="MS PGothic"/>
          <w:sz w:val="16"/>
          <w:szCs w:val="16"/>
          <w:color w:val="auto"/>
        </w:rPr>
      </w:pPr>
    </w:p>
    <w:p>
      <w:pPr>
        <w:ind w:left="540" w:hanging="533"/>
        <w:spacing w:after="0"/>
        <w:tabs>
          <w:tab w:leader="none" w:pos="5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93345</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411480</wp:posOffset>
            </wp:positionV>
            <wp:extent cx="717613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0139"/>
          </w:cols>
          <w:pgMar w:left="320" w:top="237" w:right="1440"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415925</wp:posOffset>
            </wp:positionV>
            <wp:extent cx="2207895" cy="5861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07895" cy="58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Your VOTE is important!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Notice of 2022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Annual Meeting of Shareholders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and Proxy Statement</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Meeting Date: April 29, 2022</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Bank of Hawaii Corporation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 Merchant Street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Honolulu, Hawaii 96813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7613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LETTER FROM OUR CHAIRMAN, CEO,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146685</wp:posOffset>
            </wp:positionV>
            <wp:extent cx="1358900" cy="1358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58900" cy="1358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March 18, 2022</w:t>
      </w:r>
    </w:p>
    <w:p>
      <w:pPr>
        <w:spacing w:after="0" w:line="23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Dear Shareholder:</w:t>
      </w:r>
    </w:p>
    <w:p>
      <w:pPr>
        <w:spacing w:after="0" w:line="231" w:lineRule="exact"/>
        <w:rPr>
          <w:sz w:val="20"/>
          <w:szCs w:val="20"/>
          <w:color w:val="auto"/>
        </w:rPr>
      </w:pPr>
    </w:p>
    <w:p>
      <w:pPr>
        <w:ind w:right="400" w:firstLine="546"/>
        <w:spacing w:after="0" w:line="294" w:lineRule="auto"/>
        <w:rPr>
          <w:sz w:val="20"/>
          <w:szCs w:val="20"/>
          <w:color w:val="auto"/>
        </w:rPr>
      </w:pPr>
      <w:r>
        <w:rPr>
          <w:rFonts w:ascii="Arial" w:cs="Arial" w:eastAsia="Arial" w:hAnsi="Arial"/>
          <w:sz w:val="15"/>
          <w:szCs w:val="15"/>
          <w:color w:val="auto"/>
        </w:rPr>
        <w:t>The 2022 Annual Meeting of Shareholders of Bank of Hawaii Corporation will be held via live webcast on Friday, April 29, 2022, at 8:30 a.m. Hawaii Standard Time. Each shareholder will be asked to provide their control number when logging in to attend the virtual Annual Meeting. Shareholders who hold shares through an intermediary, such as a bank or broker, will also be able to use the control number provided by their bank or broker to attend and participate at the virtual Annual Meeting. More detailed instructions on how to attend and vote at the virtual Annual Meeting are found on pages 3 and 4.</w:t>
      </w:r>
    </w:p>
    <w:p>
      <w:pPr>
        <w:spacing w:after="0" w:line="171" w:lineRule="exact"/>
        <w:rPr>
          <w:sz w:val="20"/>
          <w:szCs w:val="20"/>
          <w:color w:val="auto"/>
        </w:rPr>
      </w:pPr>
    </w:p>
    <w:p>
      <w:pPr>
        <w:jc w:val="both"/>
        <w:ind w:right="160" w:firstLine="546"/>
        <w:spacing w:after="0" w:line="275" w:lineRule="auto"/>
        <w:rPr>
          <w:sz w:val="20"/>
          <w:szCs w:val="20"/>
          <w:color w:val="auto"/>
        </w:rPr>
      </w:pPr>
      <w:r>
        <w:rPr>
          <w:rFonts w:ascii="Arial" w:cs="Arial" w:eastAsia="Arial" w:hAnsi="Arial"/>
          <w:sz w:val="16"/>
          <w:szCs w:val="16"/>
          <w:color w:val="auto"/>
        </w:rPr>
        <w:t>The Notice of Meeting and Proxy Statement accompanying this letter describe the business we will consider and vote upon at the meeting. A report to shareholders on the affairs of Bank of Hawaii Corporation also will be given and shareholders will have the opportunity to ask about matters of interest concerning the Company through the virtual meeting platform during the virtual Annual Meeting.</w:t>
      </w:r>
    </w:p>
    <w:p>
      <w:pPr>
        <w:spacing w:after="0" w:line="179" w:lineRule="exact"/>
        <w:rPr>
          <w:sz w:val="20"/>
          <w:szCs w:val="20"/>
          <w:color w:val="auto"/>
        </w:rPr>
      </w:pPr>
    </w:p>
    <w:p>
      <w:pPr>
        <w:ind w:right="20" w:firstLine="546"/>
        <w:spacing w:after="0" w:line="277" w:lineRule="auto"/>
        <w:rPr>
          <w:sz w:val="20"/>
          <w:szCs w:val="20"/>
          <w:color w:val="auto"/>
        </w:rPr>
      </w:pPr>
      <w:r>
        <w:rPr>
          <w:rFonts w:ascii="Arial" w:cs="Arial" w:eastAsia="Arial" w:hAnsi="Arial"/>
          <w:sz w:val="16"/>
          <w:szCs w:val="16"/>
          <w:b w:val="1"/>
          <w:bCs w:val="1"/>
          <w:color w:val="auto"/>
        </w:rPr>
        <w:t>For reasons explained in the accompanying Proxy Statement, the Board of Directors recommends that you vote FOR Proposal 1: Election of Directors, FOR Proposal 2: Advisory Vote on Executive Compensation, and FOR Proposal 3: Ratification of the Re-appointment of Ernst &amp; Young LLP as the Company’s independent registered public accounting firm for the 2022 fiscal year.</w:t>
      </w:r>
    </w:p>
    <w:p>
      <w:pPr>
        <w:spacing w:after="0" w:line="183" w:lineRule="exact"/>
        <w:rPr>
          <w:sz w:val="20"/>
          <w:szCs w:val="20"/>
          <w:color w:val="auto"/>
        </w:rPr>
      </w:pPr>
    </w:p>
    <w:p>
      <w:pPr>
        <w:ind w:right="20" w:firstLine="546"/>
        <w:spacing w:after="0" w:line="275" w:lineRule="auto"/>
        <w:rPr>
          <w:sz w:val="20"/>
          <w:szCs w:val="20"/>
          <w:color w:val="auto"/>
        </w:rPr>
      </w:pPr>
      <w:r>
        <w:rPr>
          <w:rFonts w:ascii="Arial" w:cs="Arial" w:eastAsia="Arial" w:hAnsi="Arial"/>
          <w:sz w:val="16"/>
          <w:szCs w:val="16"/>
          <w:b w:val="1"/>
          <w:bCs w:val="1"/>
          <w:i w:val="1"/>
          <w:iCs w:val="1"/>
          <w:color w:val="auto"/>
        </w:rPr>
        <w:t xml:space="preserve">Your vote is very important. </w:t>
      </w:r>
      <w:r>
        <w:rPr>
          <w:rFonts w:ascii="Arial" w:cs="Arial" w:eastAsia="Arial" w:hAnsi="Arial"/>
          <w:sz w:val="16"/>
          <w:szCs w:val="16"/>
          <w:color w:val="auto"/>
        </w:rPr>
        <w:t>Please complete, sign, date and return the enclosed proxy card and mail it promptly in the enclosed postage-paid return envelope, even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you plan to virtually attend the Annual Meeting. If you wish to do so, your proxy may be revoked at any time before voting occurs at the virtual Annual Meeting. You may also vote and change your vote at the virtual Annual Meeting.</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behalf of the Board of Directors, thank you for your cooperation and support.</w:t>
      </w:r>
    </w:p>
    <w:p>
      <w:pPr>
        <w:spacing w:after="0" w:line="271"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50800</wp:posOffset>
            </wp:positionV>
            <wp:extent cx="1180465" cy="5689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80465" cy="568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Peter S. Ho</w:t>
      </w:r>
    </w:p>
    <w:p>
      <w:pPr>
        <w:spacing w:after="0" w:line="21" w:lineRule="exact"/>
        <w:rPr>
          <w:sz w:val="20"/>
          <w:szCs w:val="20"/>
          <w:color w:val="auto"/>
        </w:rPr>
      </w:pPr>
    </w:p>
    <w:p>
      <w:pPr>
        <w:ind w:left="5680"/>
        <w:spacing w:after="0"/>
        <w:rPr>
          <w:sz w:val="20"/>
          <w:szCs w:val="20"/>
          <w:color w:val="auto"/>
        </w:rPr>
      </w:pPr>
      <w:r>
        <w:rPr>
          <w:rFonts w:ascii="Arial" w:cs="Arial" w:eastAsia="Arial" w:hAnsi="Arial"/>
          <w:sz w:val="16"/>
          <w:szCs w:val="16"/>
          <w:i w:val="1"/>
          <w:iCs w:val="1"/>
          <w:color w:val="auto"/>
        </w:rPr>
        <w:t>Chairman of the Board, Chief Executive Officer, and</w:t>
      </w:r>
    </w:p>
    <w:p>
      <w:pPr>
        <w:spacing w:after="0" w:line="17" w:lineRule="exact"/>
        <w:rPr>
          <w:sz w:val="20"/>
          <w:szCs w:val="20"/>
          <w:color w:val="auto"/>
        </w:rPr>
      </w:pPr>
    </w:p>
    <w:p>
      <w:pPr>
        <w:ind w:left="5680"/>
        <w:spacing w:after="0"/>
        <w:rPr>
          <w:sz w:val="20"/>
          <w:szCs w:val="20"/>
          <w:color w:val="auto"/>
        </w:rPr>
      </w:pPr>
      <w:r>
        <w:rPr>
          <w:rFonts w:ascii="Arial" w:cs="Arial" w:eastAsia="Arial" w:hAnsi="Arial"/>
          <w:sz w:val="16"/>
          <w:szCs w:val="16"/>
          <w:i w:val="1"/>
          <w:iCs w:val="1"/>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485140</wp:posOffset>
            </wp:positionV>
            <wp:extent cx="717613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NOTICE OF 2022 ANNUAL MEETING OF SHAREHOLDERS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To be held April 29, 2022</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To Our Shareholders:</w:t>
      </w:r>
    </w:p>
    <w:p>
      <w:pPr>
        <w:spacing w:after="0" w:line="231" w:lineRule="exact"/>
        <w:rPr>
          <w:sz w:val="20"/>
          <w:szCs w:val="20"/>
          <w:color w:val="auto"/>
        </w:rPr>
      </w:pPr>
    </w:p>
    <w:p>
      <w:pPr>
        <w:ind w:right="340" w:firstLine="546"/>
        <w:spacing w:after="0" w:line="289" w:lineRule="auto"/>
        <w:rPr>
          <w:sz w:val="20"/>
          <w:szCs w:val="20"/>
          <w:color w:val="auto"/>
        </w:rPr>
      </w:pPr>
      <w:r>
        <w:rPr>
          <w:rFonts w:ascii="Arial" w:cs="Arial" w:eastAsia="Arial" w:hAnsi="Arial"/>
          <w:sz w:val="16"/>
          <w:szCs w:val="16"/>
          <w:color w:val="auto"/>
        </w:rPr>
        <w:t>The 2022 Annual Meeting of Shareholders of Bank of Hawaii Corporation will be held via live webcast at www.meetnow.global/MFQZ9X7 on Friday, April 29, 2022, at 8:30 a.m. Hawaii Standard Time for the following purposes:</w:t>
      </w:r>
    </w:p>
    <w:p>
      <w:pPr>
        <w:spacing w:after="0" w:line="65" w:lineRule="exact"/>
        <w:rPr>
          <w:sz w:val="20"/>
          <w:szCs w:val="20"/>
          <w:color w:val="auto"/>
        </w:rPr>
      </w:pPr>
    </w:p>
    <w:p>
      <w:pPr>
        <w:ind w:left="1080" w:right="40" w:hanging="538"/>
        <w:spacing w:after="0" w:line="289"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14 persons to serve as directors of the Company for a term of one year each until the 2023 Annual Meeting of Shareholders and until their respective successors are duly elected and qualified, or until the director’s earlier resignation, removal, death or disqualification.</w:t>
      </w:r>
    </w:p>
    <w:p>
      <w:pPr>
        <w:spacing w:after="0" w:line="65" w:lineRule="exact"/>
        <w:rPr>
          <w:rFonts w:ascii="Arial" w:cs="Arial" w:eastAsia="Arial" w:hAnsi="Arial"/>
          <w:sz w:val="16"/>
          <w:szCs w:val="16"/>
          <w:color w:val="auto"/>
        </w:rPr>
      </w:pPr>
    </w:p>
    <w:p>
      <w:pPr>
        <w:ind w:left="1080" w:hanging="538"/>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hold an advisory vote on executive compensation.</w:t>
      </w:r>
    </w:p>
    <w:p>
      <w:pPr>
        <w:spacing w:after="0" w:line="163" w:lineRule="exact"/>
        <w:rPr>
          <w:rFonts w:ascii="Arial" w:cs="Arial" w:eastAsia="Arial" w:hAnsi="Arial"/>
          <w:sz w:val="16"/>
          <w:szCs w:val="16"/>
          <w:color w:val="auto"/>
        </w:rPr>
      </w:pPr>
    </w:p>
    <w:p>
      <w:pPr>
        <w:ind w:left="1080" w:hanging="538"/>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re-appointment of Ernst &amp; Young LLP as the Company’s independent registered public accounting firm for the 2022 fiscal year.</w:t>
      </w:r>
    </w:p>
    <w:p>
      <w:pPr>
        <w:spacing w:after="0" w:line="163" w:lineRule="exact"/>
        <w:rPr>
          <w:rFonts w:ascii="Arial" w:cs="Arial" w:eastAsia="Arial" w:hAnsi="Arial"/>
          <w:sz w:val="16"/>
          <w:szCs w:val="16"/>
          <w:color w:val="auto"/>
        </w:rPr>
      </w:pPr>
    </w:p>
    <w:p>
      <w:pPr>
        <w:ind w:left="1080" w:hanging="538"/>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transact any other business that may be properly brought before the meeting or any adjournment or postponement thereof.</w:t>
      </w:r>
    </w:p>
    <w:p>
      <w:pPr>
        <w:spacing w:after="0" w:line="271" w:lineRule="exact"/>
        <w:rPr>
          <w:sz w:val="20"/>
          <w:szCs w:val="20"/>
          <w:color w:val="auto"/>
        </w:rPr>
      </w:pPr>
    </w:p>
    <w:p>
      <w:pPr>
        <w:ind w:right="60" w:firstLine="546"/>
        <w:spacing w:after="0" w:line="270" w:lineRule="auto"/>
        <w:rPr>
          <w:sz w:val="20"/>
          <w:szCs w:val="20"/>
          <w:color w:val="auto"/>
        </w:rPr>
      </w:pPr>
      <w:r>
        <w:rPr>
          <w:rFonts w:ascii="Arial" w:cs="Arial" w:eastAsia="Arial" w:hAnsi="Arial"/>
          <w:sz w:val="16"/>
          <w:szCs w:val="16"/>
          <w:color w:val="auto"/>
        </w:rPr>
        <w:t>These items of business are more fully described in the proxy statement accompanying this Notice, which is being mailed to shareholders on or about March 18, 2022. Shareholders of record of Bank of Hawaii Corporation common stock (NYSE: BOH) at the close of business on February 28, 2022, are entitled to attend the meeting and vote on the business brought before it. A list of such shareholders shall be open to the examination of any shareholders upon request following the 2022 Annual Meeting of Shareholders.</w:t>
      </w:r>
    </w:p>
    <w:p>
      <w:pPr>
        <w:spacing w:after="0" w:line="188" w:lineRule="exact"/>
        <w:rPr>
          <w:sz w:val="20"/>
          <w:szCs w:val="20"/>
          <w:color w:val="auto"/>
        </w:rPr>
      </w:pPr>
    </w:p>
    <w:p>
      <w:pPr>
        <w:ind w:firstLine="546"/>
        <w:spacing w:after="0" w:line="289" w:lineRule="auto"/>
        <w:rPr>
          <w:sz w:val="20"/>
          <w:szCs w:val="20"/>
          <w:color w:val="auto"/>
        </w:rPr>
      </w:pPr>
      <w:r>
        <w:rPr>
          <w:rFonts w:ascii="Arial" w:cs="Arial" w:eastAsia="Arial" w:hAnsi="Arial"/>
          <w:sz w:val="16"/>
          <w:szCs w:val="16"/>
          <w:color w:val="auto"/>
        </w:rPr>
        <w:t>We look forward to connecting with you at the meeting. However, if you cannot attend the meeting, your shares may still be voted by telephone or via the Internet, or you may complete, sign, date, and return the enclosed proxy card in the enclosed postage-paid return envelope.</w:t>
      </w:r>
    </w:p>
    <w:p>
      <w:pPr>
        <w:spacing w:after="0" w:line="19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50800</wp:posOffset>
            </wp:positionV>
            <wp:extent cx="1452245" cy="280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52245" cy="28003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Patrick M. McGuirk</w:t>
      </w:r>
    </w:p>
    <w:p>
      <w:pPr>
        <w:spacing w:after="0" w:line="70" w:lineRule="exact"/>
        <w:rPr>
          <w:sz w:val="20"/>
          <w:szCs w:val="20"/>
          <w:color w:val="auto"/>
        </w:rPr>
      </w:pPr>
    </w:p>
    <w:p>
      <w:pPr>
        <w:ind w:left="5640"/>
        <w:spacing w:after="0"/>
        <w:rPr>
          <w:sz w:val="20"/>
          <w:szCs w:val="20"/>
          <w:color w:val="auto"/>
        </w:rPr>
      </w:pPr>
      <w:r>
        <w:rPr>
          <w:rFonts w:ascii="Arial" w:cs="Arial" w:eastAsia="Arial" w:hAnsi="Arial"/>
          <w:sz w:val="16"/>
          <w:szCs w:val="16"/>
          <w:i w:val="1"/>
          <w:iCs w:val="1"/>
          <w:color w:val="auto"/>
        </w:rPr>
        <w:t>Senior Executive Vice President and Corporate Secretary</w:t>
      </w:r>
    </w:p>
    <w:p>
      <w:pPr>
        <w:spacing w:after="0" w:line="70" w:lineRule="exact"/>
        <w:rPr>
          <w:sz w:val="20"/>
          <w:szCs w:val="20"/>
          <w:color w:val="auto"/>
        </w:rPr>
      </w:pPr>
    </w:p>
    <w:p>
      <w:pPr>
        <w:ind w:left="5640"/>
        <w:spacing w:after="0"/>
        <w:rPr>
          <w:sz w:val="20"/>
          <w:szCs w:val="20"/>
          <w:color w:val="auto"/>
        </w:rPr>
      </w:pPr>
      <w:r>
        <w:rPr>
          <w:rFonts w:ascii="Arial" w:cs="Arial" w:eastAsia="Arial" w:hAnsi="Arial"/>
          <w:sz w:val="16"/>
          <w:szCs w:val="16"/>
          <w:i w:val="1"/>
          <w:iCs w:val="1"/>
          <w:color w:val="auto"/>
        </w:rPr>
        <w:t>Bank of Hawaii Corporation</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Honolulu, Hawaii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141605</wp:posOffset>
            </wp:positionV>
            <wp:extent cx="7133590" cy="636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3590" cy="636905"/>
                    </a:xfrm>
                    <a:prstGeom prst="rect">
                      <a:avLst/>
                    </a:prstGeom>
                    <a:noFill/>
                  </pic:spPr>
                </pic:pic>
              </a:graphicData>
            </a:graphic>
          </wp:anchor>
        </w:drawing>
      </w:r>
    </w:p>
    <w:p>
      <w:pPr>
        <w:spacing w:after="0" w:line="229"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Your Vote is Important!</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5"/>
          <w:szCs w:val="15"/>
          <w:color w:val="auto"/>
        </w:rPr>
        <w:t>Please promptly sign and return the enclosed proxy card, or vote by telephone or on the Internet. Submitting your proxy by one of these methods will ensure your</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representation at the annual meeting regardless of whether you attend the meeting.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Thank you for your participation!</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Important Notice Regarding the Availability of Proxy Materials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 the 2022 Annual Meeting of Shareholders to be Held on April 29, 2022.</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Proxy Statement and the Bank of Hawaii Corporation 2021 Annual Report</w:t>
      </w:r>
    </w:p>
    <w:p>
      <w:pPr>
        <w:spacing w:after="0" w:line="25"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on Form 10-K to Shareholders for the year ended December 31, 2021, are available at www.edocumentview.com/boh.</w:t>
      </w:r>
    </w:p>
    <w:p>
      <w:pPr>
        <w:spacing w:after="0" w:line="17" w:lineRule="exact"/>
        <w:rPr>
          <w:sz w:val="20"/>
          <w:szCs w:val="20"/>
          <w:color w:val="auto"/>
        </w:rPr>
      </w:pPr>
    </w:p>
    <w:p>
      <w:pPr>
        <w:ind w:left="2260"/>
        <w:spacing w:after="0"/>
        <w:rPr>
          <w:sz w:val="20"/>
          <w:szCs w:val="20"/>
          <w:color w:val="auto"/>
        </w:rPr>
      </w:pPr>
      <w:r>
        <w:rPr>
          <w:rFonts w:ascii="Arial" w:cs="Arial" w:eastAsia="Arial" w:hAnsi="Arial"/>
          <w:sz w:val="16"/>
          <w:szCs w:val="16"/>
          <w:b w:val="1"/>
          <w:bCs w:val="1"/>
          <w:color w:val="auto"/>
        </w:rPr>
        <w:t>We encourage you to access and review all of the information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349250</wp:posOffset>
            </wp:positionV>
            <wp:extent cx="717613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BANK OF HAWAII CORPORATION</w:t>
      </w: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PROXY STATEMENT</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20" w:type="dxa"/>
            <w:vAlign w:val="bottom"/>
            <w:gridSpan w:val="3"/>
          </w:tcPr>
          <w:p>
            <w:pPr>
              <w:ind w:left="400"/>
              <w:spacing w:after="0"/>
              <w:rPr>
                <w:sz w:val="20"/>
                <w:szCs w:val="20"/>
                <w:color w:val="auto"/>
              </w:rPr>
            </w:pPr>
            <w:r>
              <w:rPr>
                <w:rFonts w:ascii="Arial" w:cs="Arial" w:eastAsia="Arial" w:hAnsi="Arial"/>
                <w:sz w:val="16"/>
                <w:szCs w:val="16"/>
                <w:b w:val="1"/>
                <w:bCs w:val="1"/>
                <w:color w:val="auto"/>
              </w:rPr>
              <w:t>TABLE OF CONTENTS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55"/>
        </w:trPr>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Page</w:t>
            </w:r>
          </w:p>
        </w:tc>
        <w:tc>
          <w:tcPr>
            <w:tcW w:w="20" w:type="dxa"/>
            <w:vAlign w:val="bottom"/>
          </w:tcPr>
          <w:p>
            <w:pPr>
              <w:spacing w:after="0"/>
              <w:rPr>
                <w:sz w:val="24"/>
                <w:szCs w:val="24"/>
                <w:color w:val="auto"/>
              </w:rPr>
            </w:pPr>
          </w:p>
        </w:tc>
      </w:tr>
      <w:tr>
        <w:trPr>
          <w:trHeight w:val="280"/>
        </w:trPr>
        <w:tc>
          <w:tcPr>
            <w:tcW w:w="10580" w:type="dxa"/>
            <w:vAlign w:val="bottom"/>
            <w:gridSpan w:val="31"/>
          </w:tcPr>
          <w:p>
            <w:pPr>
              <w:spacing w:after="0"/>
              <w:rPr>
                <w:rFonts w:ascii="Arial" w:cs="Arial" w:eastAsia="Arial" w:hAnsi="Arial"/>
                <w:sz w:val="16"/>
                <w:szCs w:val="16"/>
                <w:b w:val="1"/>
                <w:bCs w:val="1"/>
                <w:color w:val="0000EE"/>
              </w:rPr>
            </w:pPr>
            <w:hyperlink w:anchor="page6">
              <w:r>
                <w:rPr>
                  <w:rFonts w:ascii="Arial" w:cs="Arial" w:eastAsia="Arial" w:hAnsi="Arial"/>
                  <w:sz w:val="16"/>
                  <w:szCs w:val="16"/>
                  <w:b w:val="1"/>
                  <w:bCs w:val="1"/>
                  <w:color w:val="0000EE"/>
                </w:rPr>
                <w:t>Proxy Statement Summary</w:t>
              </w:r>
            </w:hyperlink>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4"/>
                <w:szCs w:val="24"/>
                <w:color w:val="auto"/>
              </w:rPr>
            </w:pPr>
          </w:p>
        </w:tc>
      </w:tr>
      <w:tr>
        <w:trPr>
          <w:trHeight w:val="408"/>
        </w:trPr>
        <w:tc>
          <w:tcPr>
            <w:tcW w:w="1440" w:type="dxa"/>
            <w:vAlign w:val="bottom"/>
            <w:tcBorders>
              <w:top w:val="single" w:sz="8" w:color="0000EE"/>
              <w:bottom w:val="single" w:sz="8" w:color="0000EE"/>
            </w:tcBorders>
            <w:gridSpan w:val="7"/>
          </w:tcPr>
          <w:p>
            <w:pPr>
              <w:spacing w:after="0"/>
              <w:rPr>
                <w:rFonts w:ascii="Arial" w:cs="Arial" w:eastAsia="Arial" w:hAnsi="Arial"/>
                <w:sz w:val="16"/>
                <w:szCs w:val="16"/>
                <w:b w:val="1"/>
                <w:bCs w:val="1"/>
                <w:color w:val="0000EE"/>
                <w:w w:val="93"/>
              </w:rPr>
            </w:pPr>
            <w:hyperlink w:anchor="page8">
              <w:r>
                <w:rPr>
                  <w:rFonts w:ascii="Arial" w:cs="Arial" w:eastAsia="Arial" w:hAnsi="Arial"/>
                  <w:sz w:val="16"/>
                  <w:szCs w:val="16"/>
                  <w:b w:val="1"/>
                  <w:bCs w:val="1"/>
                  <w:color w:val="0000EE"/>
                  <w:w w:val="93"/>
                </w:rPr>
                <w:t>General Information</w:t>
              </w:r>
            </w:hyperlink>
          </w:p>
        </w:tc>
        <w:tc>
          <w:tcPr>
            <w:tcW w:w="420" w:type="dxa"/>
            <w:vAlign w:val="bottom"/>
            <w:tcBorders>
              <w:top w:val="single" w:sz="8" w:color="0000EE"/>
            </w:tcBorders>
            <w:gridSpan w:val="3"/>
          </w:tcPr>
          <w:p>
            <w:pPr>
              <w:spacing w:after="0"/>
              <w:rPr>
                <w:sz w:val="24"/>
                <w:szCs w:val="24"/>
                <w:color w:val="auto"/>
              </w:rPr>
            </w:pPr>
          </w:p>
        </w:tc>
        <w:tc>
          <w:tcPr>
            <w:tcW w:w="8720" w:type="dxa"/>
            <w:vAlign w:val="bottom"/>
            <w:gridSpan w:val="21"/>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4"/>
                <w:szCs w:val="24"/>
                <w:color w:val="auto"/>
              </w:rPr>
            </w:pPr>
          </w:p>
        </w:tc>
      </w:tr>
      <w:tr>
        <w:trPr>
          <w:trHeight w:val="408"/>
        </w:trPr>
        <w:tc>
          <w:tcPr>
            <w:tcW w:w="10580" w:type="dxa"/>
            <w:vAlign w:val="bottom"/>
            <w:gridSpan w:val="31"/>
          </w:tcPr>
          <w:p>
            <w:pPr>
              <w:spacing w:after="0"/>
              <w:rPr>
                <w:rFonts w:ascii="Arial" w:cs="Arial" w:eastAsia="Arial" w:hAnsi="Arial"/>
                <w:sz w:val="16"/>
                <w:szCs w:val="16"/>
                <w:b w:val="1"/>
                <w:bCs w:val="1"/>
                <w:color w:val="0000EE"/>
              </w:rPr>
            </w:pPr>
            <w:hyperlink w:anchor="page8">
              <w:r>
                <w:rPr>
                  <w:rFonts w:ascii="Arial" w:cs="Arial" w:eastAsia="Arial" w:hAnsi="Arial"/>
                  <w:sz w:val="16"/>
                  <w:szCs w:val="16"/>
                  <w:b w:val="1"/>
                  <w:bCs w:val="1"/>
                  <w:color w:val="0000EE"/>
                </w:rPr>
                <w:t>Questions and Answers About the Proxy Materials and the Annual Meeting</w:t>
              </w:r>
            </w:hyperlink>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4"/>
                <w:szCs w:val="24"/>
                <w:color w:val="auto"/>
              </w:rPr>
            </w:pPr>
          </w:p>
        </w:tc>
      </w:tr>
      <w:tr>
        <w:trPr>
          <w:trHeight w:val="408"/>
        </w:trPr>
        <w:tc>
          <w:tcPr>
            <w:tcW w:w="2240" w:type="dxa"/>
            <w:vAlign w:val="bottom"/>
            <w:tcBorders>
              <w:top w:val="single" w:sz="8" w:color="0000EE"/>
              <w:bottom w:val="single" w:sz="8" w:color="0000EE"/>
            </w:tcBorders>
            <w:gridSpan w:val="16"/>
          </w:tcPr>
          <w:p>
            <w:pPr>
              <w:spacing w:after="0"/>
              <w:rPr>
                <w:rFonts w:ascii="Arial" w:cs="Arial" w:eastAsia="Arial" w:hAnsi="Arial"/>
                <w:sz w:val="16"/>
                <w:szCs w:val="16"/>
                <w:b w:val="1"/>
                <w:bCs w:val="1"/>
                <w:color w:val="0000EE"/>
                <w:w w:val="89"/>
              </w:rPr>
            </w:pPr>
            <w:hyperlink w:anchor="page11">
              <w:r>
                <w:rPr>
                  <w:rFonts w:ascii="Arial" w:cs="Arial" w:eastAsia="Arial" w:hAnsi="Arial"/>
                  <w:sz w:val="16"/>
                  <w:szCs w:val="16"/>
                  <w:b w:val="1"/>
                  <w:bCs w:val="1"/>
                  <w:color w:val="0000EE"/>
                  <w:w w:val="89"/>
                </w:rPr>
                <w:t>Proposal 1: Election of Directors</w:t>
              </w:r>
            </w:hyperlink>
          </w:p>
        </w:tc>
        <w:tc>
          <w:tcPr>
            <w:tcW w:w="2940" w:type="dxa"/>
            <w:vAlign w:val="bottom"/>
            <w:tcBorders>
              <w:top w:val="single" w:sz="8" w:color="0000EE"/>
            </w:tcBorders>
            <w:gridSpan w:val="13"/>
          </w:tcPr>
          <w:p>
            <w:pPr>
              <w:spacing w:after="0"/>
              <w:rPr>
                <w:sz w:val="24"/>
                <w:szCs w:val="24"/>
                <w:color w:val="auto"/>
              </w:rPr>
            </w:pPr>
          </w:p>
        </w:tc>
        <w:tc>
          <w:tcPr>
            <w:tcW w:w="5400" w:type="dxa"/>
            <w:vAlign w:val="bottom"/>
            <w:gridSpan w:val="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24"/>
                <w:szCs w:val="24"/>
                <w:color w:val="auto"/>
              </w:rPr>
            </w:pPr>
          </w:p>
        </w:tc>
      </w:tr>
      <w:tr>
        <w:trPr>
          <w:trHeight w:val="221"/>
        </w:trPr>
        <w:tc>
          <w:tcPr>
            <w:tcW w:w="240" w:type="dxa"/>
            <w:vAlign w:val="bottom"/>
          </w:tcPr>
          <w:p>
            <w:pPr>
              <w:spacing w:after="0"/>
              <w:rPr>
                <w:sz w:val="19"/>
                <w:szCs w:val="19"/>
                <w:color w:val="auto"/>
              </w:rPr>
            </w:pPr>
          </w:p>
        </w:tc>
        <w:tc>
          <w:tcPr>
            <w:tcW w:w="1180" w:type="dxa"/>
            <w:vAlign w:val="bottom"/>
            <w:tcBorders>
              <w:bottom w:val="single" w:sz="8" w:color="0000EE"/>
            </w:tcBorders>
            <w:gridSpan w:val="5"/>
          </w:tcPr>
          <w:p>
            <w:pPr>
              <w:spacing w:after="0"/>
              <w:rPr>
                <w:rFonts w:ascii="Arial" w:cs="Arial" w:eastAsia="Arial" w:hAnsi="Arial"/>
                <w:sz w:val="16"/>
                <w:szCs w:val="16"/>
                <w:color w:val="0000EE"/>
                <w:w w:val="89"/>
              </w:rPr>
            </w:pPr>
            <w:hyperlink w:anchor="page11">
              <w:r>
                <w:rPr>
                  <w:rFonts w:ascii="Arial" w:cs="Arial" w:eastAsia="Arial" w:hAnsi="Arial"/>
                  <w:sz w:val="16"/>
                  <w:szCs w:val="16"/>
                  <w:color w:val="0000EE"/>
                  <w:w w:val="89"/>
                </w:rPr>
                <w:t>Board of Directors</w:t>
              </w:r>
            </w:hyperlink>
          </w:p>
        </w:tc>
        <w:tc>
          <w:tcPr>
            <w:tcW w:w="9160" w:type="dxa"/>
            <w:vAlign w:val="bottom"/>
            <w:gridSpan w:val="25"/>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9"/>
                <w:szCs w:val="19"/>
                <w:color w:val="auto"/>
              </w:rPr>
            </w:pPr>
          </w:p>
        </w:tc>
      </w:tr>
      <w:tr>
        <w:trPr>
          <w:trHeight w:val="221"/>
        </w:trPr>
        <w:tc>
          <w:tcPr>
            <w:tcW w:w="240" w:type="dxa"/>
            <w:vAlign w:val="bottom"/>
          </w:tcPr>
          <w:p>
            <w:pPr>
              <w:spacing w:after="0"/>
              <w:rPr>
                <w:sz w:val="19"/>
                <w:szCs w:val="19"/>
                <w:color w:val="auto"/>
              </w:rPr>
            </w:pPr>
          </w:p>
        </w:tc>
        <w:tc>
          <w:tcPr>
            <w:tcW w:w="1380" w:type="dxa"/>
            <w:vAlign w:val="bottom"/>
            <w:tcBorders>
              <w:bottom w:val="single" w:sz="8" w:color="0000EE"/>
            </w:tcBorders>
            <w:gridSpan w:val="7"/>
          </w:tcPr>
          <w:p>
            <w:pPr>
              <w:spacing w:after="0"/>
              <w:rPr>
                <w:rFonts w:ascii="Arial" w:cs="Arial" w:eastAsia="Arial" w:hAnsi="Arial"/>
                <w:sz w:val="16"/>
                <w:szCs w:val="16"/>
                <w:color w:val="0000EE"/>
                <w:w w:val="90"/>
              </w:rPr>
            </w:pPr>
            <w:hyperlink w:anchor="page21">
              <w:r>
                <w:rPr>
                  <w:rFonts w:ascii="Arial" w:cs="Arial" w:eastAsia="Arial" w:hAnsi="Arial"/>
                  <w:sz w:val="16"/>
                  <w:szCs w:val="16"/>
                  <w:color w:val="0000EE"/>
                  <w:w w:val="90"/>
                </w:rPr>
                <w:t>Beneficial Ownership</w:t>
              </w:r>
            </w:hyperlink>
          </w:p>
        </w:tc>
        <w:tc>
          <w:tcPr>
            <w:tcW w:w="8960" w:type="dxa"/>
            <w:vAlign w:val="bottom"/>
            <w:gridSpan w:val="23"/>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9"/>
                <w:szCs w:val="19"/>
                <w:color w:val="auto"/>
              </w:rPr>
            </w:pPr>
          </w:p>
        </w:tc>
      </w:tr>
      <w:tr>
        <w:trPr>
          <w:trHeight w:val="221"/>
        </w:trPr>
        <w:tc>
          <w:tcPr>
            <w:tcW w:w="240" w:type="dxa"/>
            <w:vAlign w:val="bottom"/>
          </w:tcPr>
          <w:p>
            <w:pPr>
              <w:spacing w:after="0"/>
              <w:rPr>
                <w:sz w:val="19"/>
                <w:szCs w:val="19"/>
                <w:color w:val="auto"/>
              </w:rPr>
            </w:pPr>
          </w:p>
        </w:tc>
        <w:tc>
          <w:tcPr>
            <w:tcW w:w="3740" w:type="dxa"/>
            <w:vAlign w:val="bottom"/>
            <w:tcBorders>
              <w:bottom w:val="single" w:sz="8" w:color="0000EE"/>
            </w:tcBorders>
            <w:gridSpan w:val="26"/>
          </w:tcPr>
          <w:p>
            <w:pPr>
              <w:spacing w:after="0"/>
              <w:rPr>
                <w:rFonts w:ascii="Arial" w:cs="Arial" w:eastAsia="Arial" w:hAnsi="Arial"/>
                <w:sz w:val="16"/>
                <w:szCs w:val="16"/>
                <w:color w:val="0000EE"/>
                <w:w w:val="89"/>
              </w:rPr>
            </w:pPr>
            <w:hyperlink w:anchor="page23">
              <w:r>
                <w:rPr>
                  <w:rFonts w:ascii="Arial" w:cs="Arial" w:eastAsia="Arial" w:hAnsi="Arial"/>
                  <w:sz w:val="16"/>
                  <w:szCs w:val="16"/>
                  <w:color w:val="0000EE"/>
                  <w:w w:val="89"/>
                </w:rPr>
                <w:t>Sound Environmental, Social, and Governance Leadership</w:t>
              </w:r>
            </w:hyperlink>
          </w:p>
        </w:tc>
        <w:tc>
          <w:tcPr>
            <w:tcW w:w="6600" w:type="dxa"/>
            <w:vAlign w:val="bottom"/>
            <w:gridSpan w:val="4"/>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9"/>
                <w:szCs w:val="19"/>
                <w:color w:val="auto"/>
              </w:rPr>
            </w:pPr>
          </w:p>
        </w:tc>
      </w:tr>
      <w:tr>
        <w:trPr>
          <w:trHeight w:val="221"/>
        </w:trPr>
        <w:tc>
          <w:tcPr>
            <w:tcW w:w="240" w:type="dxa"/>
            <w:vAlign w:val="bottom"/>
          </w:tcPr>
          <w:p>
            <w:pPr>
              <w:spacing w:after="0"/>
              <w:rPr>
                <w:sz w:val="19"/>
                <w:szCs w:val="19"/>
                <w:color w:val="auto"/>
              </w:rPr>
            </w:pPr>
          </w:p>
        </w:tc>
        <w:tc>
          <w:tcPr>
            <w:tcW w:w="10340" w:type="dxa"/>
            <w:vAlign w:val="bottom"/>
            <w:gridSpan w:val="30"/>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Board Committees and Meetings</w:t>
              </w:r>
            </w:hyperlink>
          </w:p>
        </w:tc>
        <w:tc>
          <w:tcPr>
            <w:tcW w:w="660" w:type="dxa"/>
            <w:vAlign w:val="bottom"/>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9"/>
                <w:szCs w:val="19"/>
                <w:color w:val="auto"/>
              </w:rPr>
            </w:pPr>
          </w:p>
        </w:tc>
      </w:tr>
      <w:tr>
        <w:trPr>
          <w:trHeight w:val="221"/>
        </w:trPr>
        <w:tc>
          <w:tcPr>
            <w:tcW w:w="240" w:type="dxa"/>
            <w:vAlign w:val="bottom"/>
          </w:tcPr>
          <w:p>
            <w:pPr>
              <w:spacing w:after="0"/>
              <w:rPr>
                <w:sz w:val="19"/>
                <w:szCs w:val="19"/>
                <w:color w:val="auto"/>
              </w:rPr>
            </w:pPr>
          </w:p>
        </w:tc>
        <w:tc>
          <w:tcPr>
            <w:tcW w:w="2080" w:type="dxa"/>
            <w:vAlign w:val="bottom"/>
            <w:tcBorders>
              <w:top w:val="single" w:sz="8" w:color="0000EE"/>
            </w:tcBorders>
            <w:gridSpan w:val="16"/>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Director Compensation</w:t>
              </w:r>
            </w:hyperlink>
          </w:p>
        </w:tc>
        <w:tc>
          <w:tcPr>
            <w:tcW w:w="8260" w:type="dxa"/>
            <w:vAlign w:val="bottom"/>
            <w:gridSpan w:val="14"/>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9"/>
                <w:szCs w:val="19"/>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1"/>
        </w:trPr>
        <w:tc>
          <w:tcPr>
            <w:tcW w:w="240" w:type="dxa"/>
            <w:vAlign w:val="bottom"/>
          </w:tcPr>
          <w:p>
            <w:pPr>
              <w:spacing w:after="0"/>
              <w:rPr>
                <w:sz w:val="19"/>
                <w:szCs w:val="19"/>
                <w:color w:val="auto"/>
              </w:rPr>
            </w:pPr>
          </w:p>
        </w:tc>
        <w:tc>
          <w:tcPr>
            <w:tcW w:w="10340" w:type="dxa"/>
            <w:vAlign w:val="bottom"/>
            <w:gridSpan w:val="30"/>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Director Compensation Table</w:t>
              </w:r>
            </w:hyperlink>
          </w:p>
        </w:tc>
        <w:tc>
          <w:tcPr>
            <w:tcW w:w="660" w:type="dxa"/>
            <w:vAlign w:val="bottom"/>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9"/>
                <w:szCs w:val="19"/>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8"/>
        </w:trPr>
        <w:tc>
          <w:tcPr>
            <w:tcW w:w="3760" w:type="dxa"/>
            <w:vAlign w:val="bottom"/>
            <w:tcBorders>
              <w:bottom w:val="single" w:sz="8" w:color="0000EE"/>
            </w:tcBorders>
            <w:gridSpan w:val="25"/>
          </w:tcPr>
          <w:p>
            <w:pPr>
              <w:spacing w:after="0"/>
              <w:rPr>
                <w:rFonts w:ascii="Arial" w:cs="Arial" w:eastAsia="Arial" w:hAnsi="Arial"/>
                <w:sz w:val="16"/>
                <w:szCs w:val="16"/>
                <w:b w:val="1"/>
                <w:bCs w:val="1"/>
                <w:color w:val="0000EE"/>
                <w:w w:val="89"/>
              </w:rPr>
            </w:pPr>
            <w:hyperlink w:anchor="page40">
              <w:r>
                <w:rPr>
                  <w:rFonts w:ascii="Arial" w:cs="Arial" w:eastAsia="Arial" w:hAnsi="Arial"/>
                  <w:sz w:val="16"/>
                  <w:szCs w:val="16"/>
                  <w:b w:val="1"/>
                  <w:bCs w:val="1"/>
                  <w:color w:val="0000EE"/>
                  <w:w w:val="89"/>
                </w:rPr>
                <w:t>Proposal 2: Advisory Vote on Executive Compensation</w:t>
              </w:r>
            </w:hyperlink>
          </w:p>
        </w:tc>
        <w:tc>
          <w:tcPr>
            <w:tcW w:w="6820" w:type="dxa"/>
            <w:vAlign w:val="bottom"/>
            <w:gridSpan w:val="6"/>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24"/>
                <w:szCs w:val="24"/>
                <w:color w:val="auto"/>
              </w:rPr>
            </w:pPr>
          </w:p>
        </w:tc>
      </w:tr>
      <w:tr>
        <w:trPr>
          <w:trHeight w:val="221"/>
        </w:trPr>
        <w:tc>
          <w:tcPr>
            <w:tcW w:w="240" w:type="dxa"/>
            <w:vAlign w:val="bottom"/>
          </w:tcPr>
          <w:p>
            <w:pPr>
              <w:spacing w:after="0"/>
              <w:rPr>
                <w:sz w:val="19"/>
                <w:szCs w:val="19"/>
                <w:color w:val="auto"/>
              </w:rPr>
            </w:pPr>
          </w:p>
        </w:tc>
        <w:tc>
          <w:tcPr>
            <w:tcW w:w="10340" w:type="dxa"/>
            <w:vAlign w:val="bottom"/>
            <w:gridSpan w:val="30"/>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Human Resources &amp; Compensation Committee Report</w:t>
              </w:r>
            </w:hyperlink>
          </w:p>
        </w:tc>
        <w:tc>
          <w:tcPr>
            <w:tcW w:w="660" w:type="dxa"/>
            <w:vAlign w:val="bottom"/>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9"/>
                <w:szCs w:val="19"/>
                <w:color w:val="auto"/>
              </w:rPr>
            </w:pPr>
          </w:p>
        </w:tc>
      </w:tr>
      <w:tr>
        <w:trPr>
          <w:trHeight w:val="221"/>
        </w:trPr>
        <w:tc>
          <w:tcPr>
            <w:tcW w:w="240" w:type="dxa"/>
            <w:vAlign w:val="bottom"/>
          </w:tcPr>
          <w:p>
            <w:pPr>
              <w:spacing w:after="0"/>
              <w:rPr>
                <w:sz w:val="19"/>
                <w:szCs w:val="19"/>
                <w:color w:val="auto"/>
              </w:rPr>
            </w:pPr>
          </w:p>
        </w:tc>
        <w:tc>
          <w:tcPr>
            <w:tcW w:w="2520" w:type="dxa"/>
            <w:vAlign w:val="bottom"/>
            <w:tcBorders>
              <w:top w:val="single" w:sz="8" w:color="0000EE"/>
              <w:bottom w:val="single" w:sz="8" w:color="0000EE"/>
            </w:tcBorders>
            <w:gridSpan w:val="21"/>
          </w:tcPr>
          <w:p>
            <w:pPr>
              <w:spacing w:after="0"/>
              <w:rPr>
                <w:rFonts w:ascii="Arial" w:cs="Arial" w:eastAsia="Arial" w:hAnsi="Arial"/>
                <w:sz w:val="16"/>
                <w:szCs w:val="16"/>
                <w:color w:val="0000EE"/>
                <w:w w:val="89"/>
              </w:rPr>
            </w:pPr>
            <w:hyperlink w:anchor="page41">
              <w:r>
                <w:rPr>
                  <w:rFonts w:ascii="Arial" w:cs="Arial" w:eastAsia="Arial" w:hAnsi="Arial"/>
                  <w:sz w:val="16"/>
                  <w:szCs w:val="16"/>
                  <w:color w:val="0000EE"/>
                  <w:w w:val="89"/>
                </w:rPr>
                <w:t>Compensation Discussion and Analysis</w:t>
              </w:r>
            </w:hyperlink>
          </w:p>
        </w:tc>
        <w:tc>
          <w:tcPr>
            <w:tcW w:w="980" w:type="dxa"/>
            <w:vAlign w:val="bottom"/>
            <w:tcBorders>
              <w:top w:val="single" w:sz="8" w:color="0000EE"/>
            </w:tcBorders>
            <w:gridSpan w:val="2"/>
          </w:tcPr>
          <w:p>
            <w:pPr>
              <w:spacing w:after="0"/>
              <w:rPr>
                <w:sz w:val="19"/>
                <w:szCs w:val="19"/>
                <w:color w:val="auto"/>
              </w:rPr>
            </w:pPr>
          </w:p>
        </w:tc>
        <w:tc>
          <w:tcPr>
            <w:tcW w:w="6840" w:type="dxa"/>
            <w:vAlign w:val="bottom"/>
            <w:gridSpan w:val="7"/>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9"/>
                <w:szCs w:val="19"/>
                <w:color w:val="auto"/>
              </w:rPr>
            </w:pPr>
          </w:p>
        </w:tc>
      </w:tr>
      <w:tr>
        <w:trPr>
          <w:trHeight w:val="221"/>
        </w:trPr>
        <w:tc>
          <w:tcPr>
            <w:tcW w:w="240" w:type="dxa"/>
            <w:vAlign w:val="bottom"/>
          </w:tcPr>
          <w:p>
            <w:pPr>
              <w:spacing w:after="0"/>
              <w:rPr>
                <w:sz w:val="19"/>
                <w:szCs w:val="19"/>
                <w:color w:val="auto"/>
              </w:rPr>
            </w:pPr>
          </w:p>
        </w:tc>
        <w:tc>
          <w:tcPr>
            <w:tcW w:w="1960" w:type="dxa"/>
            <w:vAlign w:val="bottom"/>
            <w:tcBorders>
              <w:bottom w:val="single" w:sz="8" w:color="0000EE"/>
            </w:tcBorders>
            <w:gridSpan w:val="14"/>
          </w:tcPr>
          <w:p>
            <w:pPr>
              <w:spacing w:after="0"/>
              <w:rPr>
                <w:rFonts w:ascii="Arial" w:cs="Arial" w:eastAsia="Arial" w:hAnsi="Arial"/>
                <w:sz w:val="16"/>
                <w:szCs w:val="16"/>
                <w:color w:val="0000EE"/>
                <w:w w:val="87"/>
              </w:rPr>
            </w:pPr>
            <w:hyperlink w:anchor="page61">
              <w:r>
                <w:rPr>
                  <w:rFonts w:ascii="Arial" w:cs="Arial" w:eastAsia="Arial" w:hAnsi="Arial"/>
                  <w:sz w:val="16"/>
                  <w:szCs w:val="16"/>
                  <w:color w:val="0000EE"/>
                  <w:w w:val="87"/>
                </w:rPr>
                <w:t>Summary Compensation Table</w:t>
              </w:r>
            </w:hyperlink>
          </w:p>
        </w:tc>
        <w:tc>
          <w:tcPr>
            <w:tcW w:w="8380" w:type="dxa"/>
            <w:vAlign w:val="bottom"/>
            <w:gridSpan w:val="16"/>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9"/>
                <w:szCs w:val="19"/>
                <w:color w:val="auto"/>
              </w:rPr>
            </w:pPr>
          </w:p>
        </w:tc>
      </w:tr>
      <w:tr>
        <w:trPr>
          <w:trHeight w:val="221"/>
        </w:trPr>
        <w:tc>
          <w:tcPr>
            <w:tcW w:w="240" w:type="dxa"/>
            <w:vAlign w:val="bottom"/>
          </w:tcPr>
          <w:p>
            <w:pPr>
              <w:spacing w:after="0"/>
              <w:rPr>
                <w:sz w:val="19"/>
                <w:szCs w:val="19"/>
                <w:color w:val="auto"/>
              </w:rPr>
            </w:pPr>
          </w:p>
        </w:tc>
        <w:tc>
          <w:tcPr>
            <w:tcW w:w="1940" w:type="dxa"/>
            <w:vAlign w:val="bottom"/>
            <w:tcBorders>
              <w:bottom w:val="single" w:sz="8" w:color="0000EE"/>
            </w:tcBorders>
            <w:gridSpan w:val="13"/>
          </w:tcPr>
          <w:p>
            <w:pPr>
              <w:spacing w:after="0"/>
              <w:rPr>
                <w:rFonts w:ascii="Arial" w:cs="Arial" w:eastAsia="Arial" w:hAnsi="Arial"/>
                <w:sz w:val="16"/>
                <w:szCs w:val="16"/>
                <w:color w:val="0000EE"/>
                <w:w w:val="89"/>
              </w:rPr>
            </w:pPr>
            <w:hyperlink w:anchor="page62">
              <w:r>
                <w:rPr>
                  <w:rFonts w:ascii="Arial" w:cs="Arial" w:eastAsia="Arial" w:hAnsi="Arial"/>
                  <w:sz w:val="16"/>
                  <w:szCs w:val="16"/>
                  <w:color w:val="0000EE"/>
                  <w:w w:val="89"/>
                </w:rPr>
                <w:t>All Other Compensation Table</w:t>
              </w:r>
            </w:hyperlink>
          </w:p>
        </w:tc>
        <w:tc>
          <w:tcPr>
            <w:tcW w:w="8400" w:type="dxa"/>
            <w:vAlign w:val="bottom"/>
            <w:gridSpan w:val="17"/>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57</w:t>
            </w:r>
          </w:p>
        </w:tc>
        <w:tc>
          <w:tcPr>
            <w:tcW w:w="20" w:type="dxa"/>
            <w:vAlign w:val="bottom"/>
          </w:tcPr>
          <w:p>
            <w:pPr>
              <w:spacing w:after="0"/>
              <w:rPr>
                <w:sz w:val="19"/>
                <w:szCs w:val="19"/>
                <w:color w:val="auto"/>
              </w:rPr>
            </w:pPr>
          </w:p>
        </w:tc>
      </w:tr>
      <w:tr>
        <w:trPr>
          <w:trHeight w:val="221"/>
        </w:trPr>
        <w:tc>
          <w:tcPr>
            <w:tcW w:w="240" w:type="dxa"/>
            <w:vAlign w:val="bottom"/>
          </w:tcPr>
          <w:p>
            <w:pPr>
              <w:spacing w:after="0"/>
              <w:rPr>
                <w:sz w:val="19"/>
                <w:szCs w:val="19"/>
                <w:color w:val="auto"/>
              </w:rPr>
            </w:pPr>
          </w:p>
        </w:tc>
        <w:tc>
          <w:tcPr>
            <w:tcW w:w="2400" w:type="dxa"/>
            <w:vAlign w:val="bottom"/>
            <w:tcBorders>
              <w:bottom w:val="single" w:sz="8" w:color="0000EE"/>
            </w:tcBorders>
            <w:gridSpan w:val="19"/>
          </w:tcPr>
          <w:p>
            <w:pPr>
              <w:spacing w:after="0"/>
              <w:rPr>
                <w:rFonts w:ascii="Arial" w:cs="Arial" w:eastAsia="Arial" w:hAnsi="Arial"/>
                <w:sz w:val="16"/>
                <w:szCs w:val="16"/>
                <w:color w:val="0000EE"/>
                <w:w w:val="90"/>
              </w:rPr>
            </w:pPr>
            <w:hyperlink w:anchor="page63">
              <w:r>
                <w:rPr>
                  <w:rFonts w:ascii="Arial" w:cs="Arial" w:eastAsia="Arial" w:hAnsi="Arial"/>
                  <w:sz w:val="16"/>
                  <w:szCs w:val="16"/>
                  <w:color w:val="0000EE"/>
                  <w:w w:val="90"/>
                </w:rPr>
                <w:t>Nonqualified Deferred Compensation</w:t>
              </w:r>
            </w:hyperlink>
          </w:p>
        </w:tc>
        <w:tc>
          <w:tcPr>
            <w:tcW w:w="7940" w:type="dxa"/>
            <w:vAlign w:val="bottom"/>
            <w:gridSpan w:val="11"/>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58</w:t>
            </w:r>
          </w:p>
        </w:tc>
        <w:tc>
          <w:tcPr>
            <w:tcW w:w="20" w:type="dxa"/>
            <w:vAlign w:val="bottom"/>
          </w:tcPr>
          <w:p>
            <w:pPr>
              <w:spacing w:after="0"/>
              <w:rPr>
                <w:sz w:val="19"/>
                <w:szCs w:val="19"/>
                <w:color w:val="auto"/>
              </w:rPr>
            </w:pPr>
          </w:p>
        </w:tc>
      </w:tr>
      <w:tr>
        <w:trPr>
          <w:trHeight w:val="221"/>
        </w:trPr>
        <w:tc>
          <w:tcPr>
            <w:tcW w:w="240" w:type="dxa"/>
            <w:vAlign w:val="bottom"/>
          </w:tcPr>
          <w:p>
            <w:pPr>
              <w:spacing w:after="0"/>
              <w:rPr>
                <w:sz w:val="19"/>
                <w:szCs w:val="19"/>
                <w:color w:val="auto"/>
              </w:rPr>
            </w:pPr>
          </w:p>
        </w:tc>
        <w:tc>
          <w:tcPr>
            <w:tcW w:w="10340" w:type="dxa"/>
            <w:vAlign w:val="bottom"/>
            <w:gridSpan w:val="30"/>
          </w:tcPr>
          <w:p>
            <w:pPr>
              <w:spacing w:after="0"/>
              <w:rPr>
                <w:rFonts w:ascii="Arial" w:cs="Arial" w:eastAsia="Arial" w:hAnsi="Arial"/>
                <w:sz w:val="16"/>
                <w:szCs w:val="16"/>
                <w:color w:val="0000EE"/>
              </w:rPr>
            </w:pPr>
            <w:hyperlink w:anchor="page65">
              <w:r>
                <w:rPr>
                  <w:rFonts w:ascii="Arial" w:cs="Arial" w:eastAsia="Arial" w:hAnsi="Arial"/>
                  <w:sz w:val="16"/>
                  <w:szCs w:val="16"/>
                  <w:color w:val="0000EE"/>
                </w:rPr>
                <w:t>Grants of Plan-Based Awards</w:t>
              </w:r>
            </w:hyperlink>
          </w:p>
        </w:tc>
        <w:tc>
          <w:tcPr>
            <w:tcW w:w="660" w:type="dxa"/>
            <w:vAlign w:val="bottom"/>
          </w:tcPr>
          <w:p>
            <w:pPr>
              <w:jc w:val="right"/>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19"/>
                <w:szCs w:val="19"/>
                <w:color w:val="auto"/>
              </w:rPr>
            </w:pPr>
          </w:p>
        </w:tc>
      </w:tr>
      <w:tr>
        <w:trPr>
          <w:trHeight w:val="221"/>
        </w:trPr>
        <w:tc>
          <w:tcPr>
            <w:tcW w:w="240" w:type="dxa"/>
            <w:vAlign w:val="bottom"/>
          </w:tcPr>
          <w:p>
            <w:pPr>
              <w:spacing w:after="0"/>
              <w:rPr>
                <w:sz w:val="19"/>
                <w:szCs w:val="19"/>
                <w:color w:val="auto"/>
              </w:rPr>
            </w:pPr>
          </w:p>
        </w:tc>
        <w:tc>
          <w:tcPr>
            <w:tcW w:w="1860" w:type="dxa"/>
            <w:vAlign w:val="bottom"/>
            <w:tcBorders>
              <w:top w:val="single" w:sz="8" w:color="0000EE"/>
            </w:tcBorders>
            <w:gridSpan w:val="12"/>
          </w:tcPr>
          <w:p>
            <w:pPr>
              <w:spacing w:after="0"/>
              <w:rPr>
                <w:rFonts w:ascii="Arial" w:cs="Arial" w:eastAsia="Arial" w:hAnsi="Arial"/>
                <w:sz w:val="16"/>
                <w:szCs w:val="16"/>
                <w:color w:val="0000EE"/>
                <w:w w:val="95"/>
              </w:rPr>
            </w:pPr>
            <w:hyperlink w:anchor="page66">
              <w:r>
                <w:rPr>
                  <w:rFonts w:ascii="Arial" w:cs="Arial" w:eastAsia="Arial" w:hAnsi="Arial"/>
                  <w:sz w:val="16"/>
                  <w:szCs w:val="16"/>
                  <w:color w:val="0000EE"/>
                  <w:w w:val="95"/>
                </w:rPr>
                <w:t>Outstanding Equity Awards</w:t>
              </w:r>
            </w:hyperlink>
          </w:p>
        </w:tc>
        <w:tc>
          <w:tcPr>
            <w:tcW w:w="8480" w:type="dxa"/>
            <w:vAlign w:val="bottom"/>
            <w:gridSpan w:val="18"/>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19"/>
                <w:szCs w:val="19"/>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1"/>
        </w:trPr>
        <w:tc>
          <w:tcPr>
            <w:tcW w:w="240" w:type="dxa"/>
            <w:vAlign w:val="bottom"/>
          </w:tcPr>
          <w:p>
            <w:pPr>
              <w:spacing w:after="0"/>
              <w:rPr>
                <w:sz w:val="19"/>
                <w:szCs w:val="19"/>
                <w:color w:val="auto"/>
              </w:rPr>
            </w:pPr>
          </w:p>
        </w:tc>
        <w:tc>
          <w:tcPr>
            <w:tcW w:w="2220" w:type="dxa"/>
            <w:vAlign w:val="bottom"/>
            <w:tcBorders>
              <w:bottom w:val="single" w:sz="8" w:color="0000EE"/>
            </w:tcBorders>
            <w:gridSpan w:val="18"/>
          </w:tcPr>
          <w:p>
            <w:pPr>
              <w:spacing w:after="0"/>
              <w:rPr>
                <w:rFonts w:ascii="Arial" w:cs="Arial" w:eastAsia="Arial" w:hAnsi="Arial"/>
                <w:sz w:val="16"/>
                <w:szCs w:val="16"/>
                <w:color w:val="0000EE"/>
                <w:w w:val="87"/>
              </w:rPr>
            </w:pPr>
            <w:hyperlink w:anchor="page67">
              <w:r>
                <w:rPr>
                  <w:rFonts w:ascii="Arial" w:cs="Arial" w:eastAsia="Arial" w:hAnsi="Arial"/>
                  <w:sz w:val="16"/>
                  <w:szCs w:val="16"/>
                  <w:color w:val="0000EE"/>
                  <w:w w:val="87"/>
                </w:rPr>
                <w:t>Option Exercises and Stock Vested</w:t>
              </w:r>
            </w:hyperlink>
          </w:p>
        </w:tc>
        <w:tc>
          <w:tcPr>
            <w:tcW w:w="8120" w:type="dxa"/>
            <w:vAlign w:val="bottom"/>
            <w:gridSpan w:val="12"/>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19"/>
                <w:szCs w:val="19"/>
                <w:color w:val="auto"/>
              </w:rPr>
            </w:pPr>
          </w:p>
        </w:tc>
      </w:tr>
      <w:tr>
        <w:trPr>
          <w:trHeight w:val="221"/>
        </w:trPr>
        <w:tc>
          <w:tcPr>
            <w:tcW w:w="240" w:type="dxa"/>
            <w:vAlign w:val="bottom"/>
          </w:tcPr>
          <w:p>
            <w:pPr>
              <w:spacing w:after="0"/>
              <w:rPr>
                <w:sz w:val="19"/>
                <w:szCs w:val="19"/>
                <w:color w:val="auto"/>
              </w:rPr>
            </w:pPr>
          </w:p>
        </w:tc>
        <w:tc>
          <w:tcPr>
            <w:tcW w:w="2500" w:type="dxa"/>
            <w:vAlign w:val="bottom"/>
            <w:tcBorders>
              <w:bottom w:val="single" w:sz="8" w:color="0000EE"/>
            </w:tcBorders>
            <w:gridSpan w:val="20"/>
          </w:tcPr>
          <w:p>
            <w:pPr>
              <w:spacing w:after="0"/>
              <w:rPr>
                <w:rFonts w:ascii="Arial" w:cs="Arial" w:eastAsia="Arial" w:hAnsi="Arial"/>
                <w:sz w:val="16"/>
                <w:szCs w:val="16"/>
                <w:color w:val="0000EE"/>
                <w:w w:val="90"/>
              </w:rPr>
            </w:pPr>
            <w:hyperlink w:anchor="page67">
              <w:r>
                <w:rPr>
                  <w:rFonts w:ascii="Arial" w:cs="Arial" w:eastAsia="Arial" w:hAnsi="Arial"/>
                  <w:sz w:val="16"/>
                  <w:szCs w:val="16"/>
                  <w:color w:val="0000EE"/>
                  <w:w w:val="90"/>
                </w:rPr>
                <w:t>Equity Compensation Plan Information</w:t>
              </w:r>
            </w:hyperlink>
          </w:p>
        </w:tc>
        <w:tc>
          <w:tcPr>
            <w:tcW w:w="7840" w:type="dxa"/>
            <w:vAlign w:val="bottom"/>
            <w:gridSpan w:val="10"/>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19"/>
                <w:szCs w:val="19"/>
                <w:color w:val="auto"/>
              </w:rPr>
            </w:pPr>
          </w:p>
        </w:tc>
      </w:tr>
      <w:tr>
        <w:trPr>
          <w:trHeight w:val="221"/>
        </w:trPr>
        <w:tc>
          <w:tcPr>
            <w:tcW w:w="240" w:type="dxa"/>
            <w:vAlign w:val="bottom"/>
          </w:tcPr>
          <w:p>
            <w:pPr>
              <w:spacing w:after="0"/>
              <w:rPr>
                <w:sz w:val="19"/>
                <w:szCs w:val="19"/>
                <w:color w:val="auto"/>
              </w:rPr>
            </w:pPr>
          </w:p>
        </w:tc>
        <w:tc>
          <w:tcPr>
            <w:tcW w:w="1060" w:type="dxa"/>
            <w:vAlign w:val="bottom"/>
            <w:tcBorders>
              <w:bottom w:val="single" w:sz="8" w:color="0000EE"/>
            </w:tcBorders>
            <w:gridSpan w:val="4"/>
          </w:tcPr>
          <w:p>
            <w:pPr>
              <w:spacing w:after="0"/>
              <w:rPr>
                <w:rFonts w:ascii="Arial" w:cs="Arial" w:eastAsia="Arial" w:hAnsi="Arial"/>
                <w:sz w:val="16"/>
                <w:szCs w:val="16"/>
                <w:color w:val="0000EE"/>
                <w:w w:val="86"/>
              </w:rPr>
            </w:pPr>
            <w:hyperlink w:anchor="page67">
              <w:r>
                <w:rPr>
                  <w:rFonts w:ascii="Arial" w:cs="Arial" w:eastAsia="Arial" w:hAnsi="Arial"/>
                  <w:sz w:val="16"/>
                  <w:szCs w:val="16"/>
                  <w:color w:val="0000EE"/>
                  <w:w w:val="86"/>
                </w:rPr>
                <w:t>Pension Benefits</w:t>
              </w:r>
            </w:hyperlink>
          </w:p>
        </w:tc>
        <w:tc>
          <w:tcPr>
            <w:tcW w:w="9280" w:type="dxa"/>
            <w:vAlign w:val="bottom"/>
            <w:gridSpan w:val="26"/>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19"/>
                <w:szCs w:val="19"/>
                <w:color w:val="auto"/>
              </w:rPr>
            </w:pPr>
          </w:p>
        </w:tc>
      </w:tr>
      <w:tr>
        <w:trPr>
          <w:trHeight w:val="221"/>
        </w:trPr>
        <w:tc>
          <w:tcPr>
            <w:tcW w:w="240" w:type="dxa"/>
            <w:vAlign w:val="bottom"/>
          </w:tcPr>
          <w:p>
            <w:pPr>
              <w:spacing w:after="0"/>
              <w:rPr>
                <w:sz w:val="19"/>
                <w:szCs w:val="19"/>
                <w:color w:val="auto"/>
              </w:rPr>
            </w:pPr>
          </w:p>
        </w:tc>
        <w:tc>
          <w:tcPr>
            <w:tcW w:w="10340" w:type="dxa"/>
            <w:vAlign w:val="bottom"/>
            <w:gridSpan w:val="30"/>
          </w:tcPr>
          <w:p>
            <w:pPr>
              <w:spacing w:after="0"/>
              <w:rPr>
                <w:rFonts w:ascii="Arial" w:cs="Arial" w:eastAsia="Arial" w:hAnsi="Arial"/>
                <w:sz w:val="16"/>
                <w:szCs w:val="16"/>
                <w:color w:val="0000EE"/>
              </w:rPr>
            </w:pPr>
            <w:hyperlink w:anchor="page68">
              <w:r>
                <w:rPr>
                  <w:rFonts w:ascii="Arial" w:cs="Arial" w:eastAsia="Arial" w:hAnsi="Arial"/>
                  <w:sz w:val="16"/>
                  <w:szCs w:val="16"/>
                  <w:color w:val="0000EE"/>
                </w:rPr>
                <w:t>Change-in-Control, Termination, and Other Arrangements</w:t>
              </w:r>
            </w:hyperlink>
          </w:p>
        </w:tc>
        <w:tc>
          <w:tcPr>
            <w:tcW w:w="660" w:type="dxa"/>
            <w:vAlign w:val="bottom"/>
          </w:tcPr>
          <w:p>
            <w:pPr>
              <w:jc w:val="right"/>
              <w:spacing w:after="0"/>
              <w:rPr>
                <w:sz w:val="20"/>
                <w:szCs w:val="20"/>
                <w:color w:val="auto"/>
              </w:rPr>
            </w:pPr>
            <w:r>
              <w:rPr>
                <w:rFonts w:ascii="Arial" w:cs="Arial" w:eastAsia="Arial" w:hAnsi="Arial"/>
                <w:sz w:val="16"/>
                <w:szCs w:val="16"/>
                <w:color w:val="auto"/>
              </w:rPr>
              <w:t>63</w:t>
            </w:r>
          </w:p>
        </w:tc>
        <w:tc>
          <w:tcPr>
            <w:tcW w:w="20" w:type="dxa"/>
            <w:vAlign w:val="bottom"/>
          </w:tcPr>
          <w:p>
            <w:pPr>
              <w:spacing w:after="0"/>
              <w:rPr>
                <w:sz w:val="19"/>
                <w:szCs w:val="19"/>
                <w:color w:val="auto"/>
              </w:rPr>
            </w:pPr>
          </w:p>
        </w:tc>
      </w:tr>
      <w:tr>
        <w:trPr>
          <w:trHeight w:val="221"/>
        </w:trPr>
        <w:tc>
          <w:tcPr>
            <w:tcW w:w="240" w:type="dxa"/>
            <w:vAlign w:val="bottom"/>
          </w:tcPr>
          <w:p>
            <w:pPr>
              <w:spacing w:after="0"/>
              <w:rPr>
                <w:sz w:val="19"/>
                <w:szCs w:val="19"/>
                <w:color w:val="auto"/>
              </w:rPr>
            </w:pPr>
          </w:p>
        </w:tc>
        <w:tc>
          <w:tcPr>
            <w:tcW w:w="3700" w:type="dxa"/>
            <w:vAlign w:val="bottom"/>
            <w:tcBorders>
              <w:top w:val="single" w:sz="8" w:color="0000EE"/>
            </w:tcBorders>
            <w:gridSpan w:val="25"/>
          </w:tcPr>
          <w:p>
            <w:pPr>
              <w:spacing w:after="0"/>
              <w:rPr>
                <w:rFonts w:ascii="Arial" w:cs="Arial" w:eastAsia="Arial" w:hAnsi="Arial"/>
                <w:sz w:val="16"/>
                <w:szCs w:val="16"/>
                <w:color w:val="0000EE"/>
              </w:rPr>
            </w:pPr>
            <w:hyperlink w:anchor="page70">
              <w:r>
                <w:rPr>
                  <w:rFonts w:ascii="Arial" w:cs="Arial" w:eastAsia="Arial" w:hAnsi="Arial"/>
                  <w:sz w:val="16"/>
                  <w:szCs w:val="16"/>
                  <w:color w:val="0000EE"/>
                </w:rPr>
                <w:t>CEO Pay Ratio</w:t>
              </w:r>
            </w:hyperlink>
          </w:p>
        </w:tc>
        <w:tc>
          <w:tcPr>
            <w:tcW w:w="6640" w:type="dxa"/>
            <w:vAlign w:val="bottom"/>
            <w:gridSpan w:val="5"/>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19"/>
                <w:szCs w:val="19"/>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8"/>
        </w:trPr>
        <w:tc>
          <w:tcPr>
            <w:tcW w:w="10580" w:type="dxa"/>
            <w:vAlign w:val="bottom"/>
            <w:gridSpan w:val="31"/>
          </w:tcPr>
          <w:p>
            <w:pPr>
              <w:spacing w:after="0"/>
              <w:rPr>
                <w:rFonts w:ascii="Arial" w:cs="Arial" w:eastAsia="Arial" w:hAnsi="Arial"/>
                <w:sz w:val="16"/>
                <w:szCs w:val="16"/>
                <w:b w:val="1"/>
                <w:bCs w:val="1"/>
                <w:color w:val="0000EE"/>
              </w:rPr>
            </w:pPr>
            <w:hyperlink w:anchor="page71">
              <w:r>
                <w:rPr>
                  <w:rFonts w:ascii="Arial" w:cs="Arial" w:eastAsia="Arial" w:hAnsi="Arial"/>
                  <w:sz w:val="16"/>
                  <w:szCs w:val="16"/>
                  <w:b w:val="1"/>
                  <w:bCs w:val="1"/>
                  <w:color w:val="0000EE"/>
                </w:rPr>
                <w:t>Certain Relationships and Related Transactions</w:t>
              </w:r>
            </w:hyperlink>
          </w:p>
        </w:tc>
        <w:tc>
          <w:tcPr>
            <w:tcW w:w="660" w:type="dxa"/>
            <w:vAlign w:val="bottom"/>
          </w:tcPr>
          <w:p>
            <w:pPr>
              <w:jc w:val="right"/>
              <w:spacing w:after="0"/>
              <w:rPr>
                <w:sz w:val="20"/>
                <w:szCs w:val="20"/>
                <w:color w:val="auto"/>
              </w:rPr>
            </w:pPr>
            <w:r>
              <w:rPr>
                <w:rFonts w:ascii="Arial" w:cs="Arial" w:eastAsia="Arial" w:hAnsi="Arial"/>
                <w:sz w:val="16"/>
                <w:szCs w:val="16"/>
                <w:color w:val="auto"/>
              </w:rPr>
              <w:t>66</w:t>
            </w:r>
          </w:p>
        </w:tc>
        <w:tc>
          <w:tcPr>
            <w:tcW w:w="20" w:type="dxa"/>
            <w:vAlign w:val="bottom"/>
          </w:tcPr>
          <w:p>
            <w:pPr>
              <w:spacing w:after="0"/>
              <w:rPr>
                <w:sz w:val="24"/>
                <w:szCs w:val="24"/>
                <w:color w:val="auto"/>
              </w:rPr>
            </w:pPr>
          </w:p>
        </w:tc>
      </w:tr>
      <w:tr>
        <w:trPr>
          <w:trHeight w:val="20"/>
        </w:trPr>
        <w:tc>
          <w:tcPr>
            <w:tcW w:w="2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gridSpan w:val="8"/>
            <w:shd w:val="clear" w:color="auto" w:fill="0000EE"/>
          </w:tcPr>
          <w:p>
            <w:pPr>
              <w:spacing w:after="0" w:line="20" w:lineRule="exact"/>
              <w:rPr>
                <w:sz w:val="1"/>
                <w:szCs w:val="1"/>
                <w:color w:val="auto"/>
              </w:rPr>
            </w:pPr>
          </w:p>
        </w:tc>
        <w:tc>
          <w:tcPr>
            <w:tcW w:w="460" w:type="dxa"/>
            <w:vAlign w:val="bottom"/>
            <w:gridSpan w:val="7"/>
            <w:shd w:val="clear" w:color="auto" w:fill="0000EE"/>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8"/>
        </w:trPr>
        <w:tc>
          <w:tcPr>
            <w:tcW w:w="10300" w:type="dxa"/>
            <w:vAlign w:val="bottom"/>
            <w:tcBorders>
              <w:bottom w:val="single" w:sz="8" w:color="0000EE"/>
            </w:tcBorders>
            <w:gridSpan w:val="30"/>
          </w:tcPr>
          <w:p>
            <w:pPr>
              <w:spacing w:after="0"/>
              <w:rPr>
                <w:rFonts w:ascii="Arial" w:cs="Arial" w:eastAsia="Arial" w:hAnsi="Arial"/>
                <w:sz w:val="16"/>
                <w:szCs w:val="16"/>
                <w:b w:val="1"/>
                <w:bCs w:val="1"/>
                <w:color w:val="0000EE"/>
                <w:w w:val="91"/>
              </w:rPr>
            </w:pPr>
            <w:hyperlink w:anchor="page72">
              <w:r>
                <w:rPr>
                  <w:rFonts w:ascii="Arial" w:cs="Arial" w:eastAsia="Arial" w:hAnsi="Arial"/>
                  <w:sz w:val="16"/>
                  <w:szCs w:val="16"/>
                  <w:b w:val="1"/>
                  <w:bCs w:val="1"/>
                  <w:color w:val="0000EE"/>
                  <w:w w:val="91"/>
                </w:rPr>
                <w:t>Proposal 3: Ratification of the Re-appointment of Ernst &amp; Young LLP as the Company's Independent Registered Public Accounting Firm for the 2022</w:t>
              </w:r>
            </w:hyperlink>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1"/>
        </w:trPr>
        <w:tc>
          <w:tcPr>
            <w:tcW w:w="240" w:type="dxa"/>
            <w:vAlign w:val="bottom"/>
          </w:tcPr>
          <w:p>
            <w:pPr>
              <w:spacing w:after="0"/>
              <w:rPr>
                <w:sz w:val="15"/>
                <w:szCs w:val="15"/>
                <w:color w:val="auto"/>
              </w:rPr>
            </w:pPr>
          </w:p>
        </w:tc>
        <w:tc>
          <w:tcPr>
            <w:tcW w:w="10340" w:type="dxa"/>
            <w:vAlign w:val="bottom"/>
            <w:gridSpan w:val="30"/>
          </w:tcPr>
          <w:p>
            <w:pPr>
              <w:spacing w:after="0" w:line="181" w:lineRule="exact"/>
              <w:rPr>
                <w:rFonts w:ascii="Arial" w:cs="Arial" w:eastAsia="Arial" w:hAnsi="Arial"/>
                <w:sz w:val="16"/>
                <w:szCs w:val="16"/>
                <w:b w:val="1"/>
                <w:bCs w:val="1"/>
                <w:color w:val="0000EE"/>
              </w:rPr>
            </w:pPr>
            <w:hyperlink w:anchor="page72">
              <w:r>
                <w:rPr>
                  <w:rFonts w:ascii="Arial" w:cs="Arial" w:eastAsia="Arial" w:hAnsi="Arial"/>
                  <w:sz w:val="16"/>
                  <w:szCs w:val="16"/>
                  <w:b w:val="1"/>
                  <w:bCs w:val="1"/>
                  <w:color w:val="0000EE"/>
                </w:rPr>
                <w:t>Fiscal Year</w:t>
              </w:r>
            </w:hyperlink>
          </w:p>
        </w:tc>
        <w:tc>
          <w:tcPr>
            <w:tcW w:w="660" w:type="dxa"/>
            <w:vAlign w:val="bottom"/>
          </w:tcPr>
          <w:p>
            <w:pPr>
              <w:jc w:val="right"/>
              <w:spacing w:after="0" w:line="181" w:lineRule="exact"/>
              <w:rPr>
                <w:sz w:val="20"/>
                <w:szCs w:val="20"/>
                <w:color w:val="auto"/>
              </w:rPr>
            </w:pPr>
            <w:r>
              <w:rPr>
                <w:rFonts w:ascii="Arial" w:cs="Arial" w:eastAsia="Arial" w:hAnsi="Arial"/>
                <w:sz w:val="16"/>
                <w:szCs w:val="16"/>
                <w:color w:val="auto"/>
              </w:rPr>
              <w:t>67</w:t>
            </w:r>
          </w:p>
        </w:tc>
        <w:tc>
          <w:tcPr>
            <w:tcW w:w="20" w:type="dxa"/>
            <w:vAlign w:val="bottom"/>
          </w:tcPr>
          <w:p>
            <w:pPr>
              <w:spacing w:after="0"/>
              <w:rPr>
                <w:sz w:val="15"/>
                <w:szCs w:val="15"/>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1"/>
        </w:trPr>
        <w:tc>
          <w:tcPr>
            <w:tcW w:w="240" w:type="dxa"/>
            <w:vAlign w:val="bottom"/>
          </w:tcPr>
          <w:p>
            <w:pPr>
              <w:spacing w:after="0"/>
              <w:rPr>
                <w:sz w:val="19"/>
                <w:szCs w:val="19"/>
                <w:color w:val="auto"/>
              </w:rPr>
            </w:pPr>
          </w:p>
        </w:tc>
        <w:tc>
          <w:tcPr>
            <w:tcW w:w="1640" w:type="dxa"/>
            <w:vAlign w:val="bottom"/>
            <w:tcBorders>
              <w:bottom w:val="single" w:sz="8" w:color="0000EE"/>
            </w:tcBorders>
            <w:gridSpan w:val="10"/>
          </w:tcPr>
          <w:p>
            <w:pPr>
              <w:spacing w:after="0"/>
              <w:rPr>
                <w:rFonts w:ascii="Arial" w:cs="Arial" w:eastAsia="Arial" w:hAnsi="Arial"/>
                <w:sz w:val="16"/>
                <w:szCs w:val="16"/>
                <w:color w:val="0000EE"/>
                <w:w w:val="91"/>
              </w:rPr>
            </w:pPr>
            <w:hyperlink w:anchor="page72">
              <w:r>
                <w:rPr>
                  <w:rFonts w:ascii="Arial" w:cs="Arial" w:eastAsia="Arial" w:hAnsi="Arial"/>
                  <w:sz w:val="16"/>
                  <w:szCs w:val="16"/>
                  <w:color w:val="0000EE"/>
                  <w:w w:val="91"/>
                </w:rPr>
                <w:t>Ernst &amp; Young LLP Fees</w:t>
              </w:r>
            </w:hyperlink>
          </w:p>
        </w:tc>
        <w:tc>
          <w:tcPr>
            <w:tcW w:w="8700" w:type="dxa"/>
            <w:vAlign w:val="bottom"/>
            <w:gridSpan w:val="20"/>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67</w:t>
            </w:r>
          </w:p>
        </w:tc>
        <w:tc>
          <w:tcPr>
            <w:tcW w:w="20" w:type="dxa"/>
            <w:vAlign w:val="bottom"/>
          </w:tcPr>
          <w:p>
            <w:pPr>
              <w:spacing w:after="0"/>
              <w:rPr>
                <w:sz w:val="19"/>
                <w:szCs w:val="19"/>
                <w:color w:val="auto"/>
              </w:rPr>
            </w:pPr>
          </w:p>
        </w:tc>
      </w:tr>
      <w:tr>
        <w:trPr>
          <w:trHeight w:val="221"/>
        </w:trPr>
        <w:tc>
          <w:tcPr>
            <w:tcW w:w="240" w:type="dxa"/>
            <w:vAlign w:val="bottom"/>
          </w:tcPr>
          <w:p>
            <w:pPr>
              <w:spacing w:after="0"/>
              <w:rPr>
                <w:sz w:val="19"/>
                <w:szCs w:val="19"/>
                <w:color w:val="auto"/>
              </w:rPr>
            </w:pPr>
          </w:p>
        </w:tc>
        <w:tc>
          <w:tcPr>
            <w:tcW w:w="10340" w:type="dxa"/>
            <w:vAlign w:val="bottom"/>
            <w:gridSpan w:val="30"/>
          </w:tcPr>
          <w:p>
            <w:pPr>
              <w:spacing w:after="0"/>
              <w:rPr>
                <w:rFonts w:ascii="Arial" w:cs="Arial" w:eastAsia="Arial" w:hAnsi="Arial"/>
                <w:sz w:val="16"/>
                <w:szCs w:val="16"/>
                <w:color w:val="0000EE"/>
              </w:rPr>
            </w:pPr>
            <w:hyperlink w:anchor="page73">
              <w:r>
                <w:rPr>
                  <w:rFonts w:ascii="Arial" w:cs="Arial" w:eastAsia="Arial" w:hAnsi="Arial"/>
                  <w:sz w:val="16"/>
                  <w:szCs w:val="16"/>
                  <w:color w:val="0000EE"/>
                </w:rPr>
                <w:t>Audit &amp; Risk Committee Report</w:t>
              </w:r>
            </w:hyperlink>
          </w:p>
        </w:tc>
        <w:tc>
          <w:tcPr>
            <w:tcW w:w="660" w:type="dxa"/>
            <w:vAlign w:val="bottom"/>
          </w:tcPr>
          <w:p>
            <w:pPr>
              <w:jc w:val="right"/>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00" w:type="dxa"/>
            <w:vAlign w:val="bottom"/>
            <w:gridSpan w:val="15"/>
            <w:shd w:val="clear" w:color="auto" w:fill="0000EE"/>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1"/>
        </w:trPr>
        <w:tc>
          <w:tcPr>
            <w:tcW w:w="240" w:type="dxa"/>
            <w:vAlign w:val="bottom"/>
          </w:tcPr>
          <w:p>
            <w:pPr>
              <w:spacing w:after="0"/>
              <w:rPr>
                <w:sz w:val="19"/>
                <w:szCs w:val="19"/>
                <w:color w:val="auto"/>
              </w:rPr>
            </w:pPr>
          </w:p>
        </w:tc>
        <w:tc>
          <w:tcPr>
            <w:tcW w:w="4120" w:type="dxa"/>
            <w:vAlign w:val="bottom"/>
            <w:tcBorders>
              <w:bottom w:val="single" w:sz="8" w:color="0000EE"/>
            </w:tcBorders>
            <w:gridSpan w:val="27"/>
          </w:tcPr>
          <w:p>
            <w:pPr>
              <w:spacing w:after="0"/>
              <w:rPr>
                <w:rFonts w:ascii="Arial" w:cs="Arial" w:eastAsia="Arial" w:hAnsi="Arial"/>
                <w:sz w:val="16"/>
                <w:szCs w:val="16"/>
                <w:color w:val="0000EE"/>
                <w:w w:val="92"/>
              </w:rPr>
            </w:pPr>
            <w:hyperlink w:anchor="page74">
              <w:r>
                <w:rPr>
                  <w:rFonts w:ascii="Arial" w:cs="Arial" w:eastAsia="Arial" w:hAnsi="Arial"/>
                  <w:sz w:val="16"/>
                  <w:szCs w:val="16"/>
                  <w:color w:val="0000EE"/>
                  <w:w w:val="92"/>
                </w:rPr>
                <w:t>Audit &amp; Risk Committee Pre-Approval Policies and Procedures</w:t>
              </w:r>
            </w:hyperlink>
          </w:p>
        </w:tc>
        <w:tc>
          <w:tcPr>
            <w:tcW w:w="6220" w:type="dxa"/>
            <w:vAlign w:val="bottom"/>
            <w:gridSpan w:val="3"/>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9"/>
                <w:szCs w:val="19"/>
                <w:color w:val="auto"/>
              </w:rPr>
            </w:pPr>
          </w:p>
        </w:tc>
      </w:tr>
      <w:tr>
        <w:trPr>
          <w:trHeight w:val="408"/>
        </w:trPr>
        <w:tc>
          <w:tcPr>
            <w:tcW w:w="10580" w:type="dxa"/>
            <w:vAlign w:val="bottom"/>
            <w:gridSpan w:val="31"/>
          </w:tcPr>
          <w:p>
            <w:pPr>
              <w:spacing w:after="0"/>
              <w:rPr>
                <w:rFonts w:ascii="Arial" w:cs="Arial" w:eastAsia="Arial" w:hAnsi="Arial"/>
                <w:sz w:val="16"/>
                <w:szCs w:val="16"/>
                <w:b w:val="1"/>
                <w:bCs w:val="1"/>
                <w:color w:val="0000EE"/>
              </w:rPr>
            </w:pPr>
            <w:hyperlink w:anchor="page74">
              <w:r>
                <w:rPr>
                  <w:rFonts w:ascii="Arial" w:cs="Arial" w:eastAsia="Arial" w:hAnsi="Arial"/>
                  <w:sz w:val="16"/>
                  <w:szCs w:val="16"/>
                  <w:b w:val="1"/>
                  <w:bCs w:val="1"/>
                  <w:color w:val="0000EE"/>
                </w:rPr>
                <w:t>Other Business</w:t>
              </w:r>
            </w:hyperlink>
          </w:p>
        </w:tc>
        <w:tc>
          <w:tcPr>
            <w:tcW w:w="660" w:type="dxa"/>
            <w:vAlign w:val="bottom"/>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24"/>
                <w:szCs w:val="24"/>
                <w:color w:val="auto"/>
              </w:rPr>
            </w:pPr>
          </w:p>
        </w:tc>
      </w:tr>
      <w:tr>
        <w:trPr>
          <w:trHeight w:val="976"/>
        </w:trPr>
        <w:tc>
          <w:tcPr>
            <w:tcW w:w="240" w:type="dxa"/>
            <w:vAlign w:val="bottom"/>
            <w:tcBorders>
              <w:top w:val="single" w:sz="8" w:color="0000EE"/>
              <w:bottom w:val="single" w:sz="8" w:color="9A9A9A"/>
            </w:tcBorders>
          </w:tcPr>
          <w:p>
            <w:pPr>
              <w:spacing w:after="0"/>
              <w:rPr>
                <w:sz w:val="24"/>
                <w:szCs w:val="24"/>
                <w:color w:val="auto"/>
              </w:rPr>
            </w:pPr>
          </w:p>
        </w:tc>
        <w:tc>
          <w:tcPr>
            <w:tcW w:w="68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PROXY STATEMENT SUMMARY</w:t>
      </w:r>
    </w:p>
    <w:p>
      <w:pPr>
        <w:spacing w:after="0" w:line="235" w:lineRule="exact"/>
        <w:rPr>
          <w:sz w:val="20"/>
          <w:szCs w:val="20"/>
          <w:color w:val="auto"/>
        </w:rPr>
      </w:pPr>
    </w:p>
    <w:p>
      <w:pPr>
        <w:ind w:right="220" w:firstLine="546"/>
        <w:spacing w:after="0" w:line="289" w:lineRule="auto"/>
        <w:rPr>
          <w:sz w:val="20"/>
          <w:szCs w:val="20"/>
          <w:color w:val="auto"/>
        </w:rPr>
      </w:pPr>
      <w:r>
        <w:rPr>
          <w:rFonts w:ascii="Arial" w:cs="Arial" w:eastAsia="Arial" w:hAnsi="Arial"/>
          <w:sz w:val="16"/>
          <w:szCs w:val="16"/>
          <w:color w:val="auto"/>
        </w:rPr>
        <w:t>This summary contains highlights of information contained elsewhere in our proxy statement and does not contain all information to be considered. We encourage you to read the entire proxy statement before voting.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PROPOSALS FOR THE ANNUAL MEETING</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8080" w:type="dxa"/>
            <w:vAlign w:val="bottom"/>
            <w:tcBorders>
              <w:top w:val="single" w:sz="8" w:color="auto"/>
              <w:left w:val="single" w:sz="8" w:color="auto"/>
              <w:bottom w:val="single" w:sz="8" w:color="auto"/>
            </w:tcBorders>
            <w:gridSpan w:val="2"/>
            <w:shd w:val="clear" w:color="auto" w:fill="086FB8"/>
          </w:tcPr>
          <w:p>
            <w:pPr>
              <w:ind w:left="60"/>
              <w:spacing w:after="0"/>
              <w:rPr>
                <w:sz w:val="20"/>
                <w:szCs w:val="20"/>
                <w:color w:val="auto"/>
              </w:rPr>
            </w:pPr>
            <w:r>
              <w:rPr>
                <w:rFonts w:ascii="Arial" w:cs="Arial" w:eastAsia="Arial" w:hAnsi="Arial"/>
                <w:sz w:val="13"/>
                <w:szCs w:val="13"/>
                <w:b w:val="1"/>
                <w:bCs w:val="1"/>
                <w:color w:val="FFFFFF"/>
              </w:rPr>
              <w:t>Proposal</w:t>
            </w:r>
          </w:p>
        </w:tc>
        <w:tc>
          <w:tcPr>
            <w:tcW w:w="2220" w:type="dxa"/>
            <w:vAlign w:val="bottom"/>
            <w:tcBorders>
              <w:top w:val="single" w:sz="8" w:color="auto"/>
              <w:bottom w:val="single" w:sz="8" w:color="auto"/>
            </w:tcBorders>
            <w:shd w:val="clear" w:color="auto" w:fill="086FB8"/>
          </w:tcPr>
          <w:p>
            <w:pPr>
              <w:jc w:val="center"/>
              <w:ind w:right="2"/>
              <w:spacing w:after="0"/>
              <w:rPr>
                <w:sz w:val="20"/>
                <w:szCs w:val="20"/>
                <w:color w:val="auto"/>
              </w:rPr>
            </w:pPr>
            <w:r>
              <w:rPr>
                <w:rFonts w:ascii="Arial" w:cs="Arial" w:eastAsia="Arial" w:hAnsi="Arial"/>
                <w:sz w:val="13"/>
                <w:szCs w:val="13"/>
                <w:b w:val="1"/>
                <w:bCs w:val="1"/>
                <w:color w:val="FFFFFF"/>
                <w:w w:val="91"/>
              </w:rPr>
              <w:t>Board Recommendation</w:t>
            </w:r>
          </w:p>
        </w:tc>
        <w:tc>
          <w:tcPr>
            <w:tcW w:w="940" w:type="dxa"/>
            <w:vAlign w:val="bottom"/>
            <w:tcBorders>
              <w:top w:val="single" w:sz="8" w:color="auto"/>
              <w:bottom w:val="single" w:sz="8" w:color="auto"/>
              <w:right w:val="single" w:sz="8" w:color="auto"/>
            </w:tcBorders>
            <w:shd w:val="clear" w:color="auto" w:fill="086FB8"/>
          </w:tcPr>
          <w:p>
            <w:pPr>
              <w:ind w:left="440"/>
              <w:spacing w:after="0"/>
              <w:rPr>
                <w:sz w:val="20"/>
                <w:szCs w:val="20"/>
                <w:color w:val="auto"/>
              </w:rPr>
            </w:pPr>
            <w:r>
              <w:rPr>
                <w:rFonts w:ascii="Arial" w:cs="Arial" w:eastAsia="Arial" w:hAnsi="Arial"/>
                <w:sz w:val="13"/>
                <w:szCs w:val="13"/>
                <w:b w:val="1"/>
                <w:bCs w:val="1"/>
                <w:color w:val="FFFFFF"/>
              </w:rPr>
              <w:t>Page</w:t>
            </w:r>
          </w:p>
        </w:tc>
        <w:tc>
          <w:tcPr>
            <w:tcW w:w="0" w:type="dxa"/>
            <w:vAlign w:val="bottom"/>
          </w:tcPr>
          <w:p>
            <w:pPr>
              <w:spacing w:after="0"/>
              <w:rPr>
                <w:sz w:val="1"/>
                <w:szCs w:val="1"/>
                <w:color w:val="auto"/>
              </w:rPr>
            </w:pPr>
          </w:p>
        </w:tc>
      </w:tr>
      <w:tr>
        <w:trPr>
          <w:trHeight w:val="204"/>
        </w:trPr>
        <w:tc>
          <w:tcPr>
            <w:tcW w:w="380" w:type="dxa"/>
            <w:vAlign w:val="bottom"/>
            <w:tcBorders>
              <w:left w:val="single" w:sz="8" w:color="auto"/>
            </w:tcBorders>
          </w:tcPr>
          <w:p>
            <w:pPr>
              <w:spacing w:after="0"/>
              <w:rPr>
                <w:sz w:val="17"/>
                <w:szCs w:val="17"/>
                <w:color w:val="auto"/>
              </w:rPr>
            </w:pPr>
          </w:p>
        </w:tc>
        <w:tc>
          <w:tcPr>
            <w:tcW w:w="7700" w:type="dxa"/>
            <w:vAlign w:val="bottom"/>
          </w:tcPr>
          <w:p>
            <w:pPr>
              <w:ind w:left="80"/>
              <w:spacing w:after="0"/>
              <w:rPr>
                <w:sz w:val="20"/>
                <w:szCs w:val="20"/>
                <w:color w:val="auto"/>
              </w:rPr>
            </w:pPr>
            <w:r>
              <w:rPr>
                <w:rFonts w:ascii="Arial" w:cs="Arial" w:eastAsia="Arial" w:hAnsi="Arial"/>
                <w:sz w:val="16"/>
                <w:szCs w:val="16"/>
                <w:b w:val="1"/>
                <w:bCs w:val="1"/>
                <w:color w:val="auto"/>
              </w:rPr>
              <w:t>Election of Directors</w:t>
            </w:r>
          </w:p>
        </w:tc>
        <w:tc>
          <w:tcPr>
            <w:tcW w:w="2220" w:type="dxa"/>
            <w:vAlign w:val="bottom"/>
            <w:vMerge w:val="restart"/>
          </w:tcPr>
          <w:p>
            <w:pPr>
              <w:jc w:val="center"/>
              <w:ind w:right="2"/>
              <w:spacing w:after="0"/>
              <w:rPr>
                <w:sz w:val="20"/>
                <w:szCs w:val="20"/>
                <w:color w:val="auto"/>
              </w:rPr>
            </w:pPr>
            <w:r>
              <w:rPr>
                <w:rFonts w:ascii="Arial" w:cs="Arial" w:eastAsia="Arial" w:hAnsi="Arial"/>
                <w:sz w:val="16"/>
                <w:szCs w:val="16"/>
                <w:b w:val="1"/>
                <w:bCs w:val="1"/>
                <w:color w:val="auto"/>
              </w:rPr>
              <w:t>“FOR”</w:t>
            </w:r>
          </w:p>
        </w:tc>
        <w:tc>
          <w:tcPr>
            <w:tcW w:w="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0" w:type="dxa"/>
            <w:vAlign w:val="bottom"/>
            <w:tcBorders>
              <w:left w:val="single" w:sz="8" w:color="auto"/>
            </w:tcBorders>
            <w:vMerge w:val="restart"/>
          </w:tcPr>
          <w:p>
            <w:pPr>
              <w:jc w:val="right"/>
              <w:ind w:right="23"/>
              <w:spacing w:after="0"/>
              <w:rPr>
                <w:sz w:val="20"/>
                <w:szCs w:val="20"/>
                <w:color w:val="auto"/>
              </w:rPr>
            </w:pPr>
            <w:r>
              <w:rPr>
                <w:rFonts w:ascii="Arial" w:cs="Arial" w:eastAsia="Arial" w:hAnsi="Arial"/>
                <w:sz w:val="16"/>
                <w:szCs w:val="16"/>
                <w:color w:val="auto"/>
              </w:rPr>
              <w:t>1</w:t>
            </w:r>
          </w:p>
        </w:tc>
        <w:tc>
          <w:tcPr>
            <w:tcW w:w="7700" w:type="dxa"/>
            <w:vAlign w:val="bottom"/>
          </w:tcPr>
          <w:p>
            <w:pPr>
              <w:ind w:left="80"/>
              <w:spacing w:after="0"/>
              <w:rPr>
                <w:sz w:val="20"/>
                <w:szCs w:val="20"/>
                <w:color w:val="auto"/>
              </w:rPr>
            </w:pPr>
            <w:r>
              <w:rPr>
                <w:rFonts w:ascii="Arial" w:cs="Arial" w:eastAsia="Arial" w:hAnsi="Arial"/>
                <w:sz w:val="16"/>
                <w:szCs w:val="16"/>
                <w:color w:val="auto"/>
                <w:w w:val="99"/>
              </w:rPr>
              <w:t>You are being asked to elect 14 directors. Each of the nominees standing for election will hold office until the</w:t>
            </w:r>
          </w:p>
        </w:tc>
        <w:tc>
          <w:tcPr>
            <w:tcW w:w="2220" w:type="dxa"/>
            <w:vAlign w:val="bottom"/>
            <w:vMerge w:val="continue"/>
          </w:tcPr>
          <w:p>
            <w:pPr>
              <w:spacing w:after="0"/>
              <w:rPr>
                <w:sz w:val="17"/>
                <w:szCs w:val="17"/>
                <w:color w:val="auto"/>
              </w:rPr>
            </w:pPr>
          </w:p>
        </w:tc>
        <w:tc>
          <w:tcPr>
            <w:tcW w:w="940" w:type="dxa"/>
            <w:vAlign w:val="bottom"/>
            <w:tcBorders>
              <w:right w:val="single" w:sz="8" w:color="auto"/>
            </w:tcBorders>
            <w:vMerge w:val="restart"/>
          </w:tcPr>
          <w:p>
            <w:pPr>
              <w:jc w:val="center"/>
              <w:ind w:left="133"/>
              <w:spacing w:after="0"/>
              <w:rPr>
                <w:sz w:val="20"/>
                <w:szCs w:val="20"/>
                <w:color w:val="auto"/>
              </w:rPr>
            </w:pPr>
            <w:r>
              <w:rPr>
                <w:rFonts w:ascii="Arial" w:cs="Arial" w:eastAsia="Arial" w:hAnsi="Arial"/>
                <w:sz w:val="13"/>
                <w:szCs w:val="13"/>
                <w:color w:val="auto"/>
                <w:w w:val="82"/>
              </w:rPr>
              <w:t>6</w:t>
            </w:r>
          </w:p>
        </w:tc>
        <w:tc>
          <w:tcPr>
            <w:tcW w:w="0" w:type="dxa"/>
            <w:vAlign w:val="bottom"/>
          </w:tcPr>
          <w:p>
            <w:pPr>
              <w:spacing w:after="0"/>
              <w:rPr>
                <w:sz w:val="1"/>
                <w:szCs w:val="1"/>
                <w:color w:val="auto"/>
              </w:rPr>
            </w:pPr>
          </w:p>
        </w:tc>
      </w:tr>
      <w:tr>
        <w:trPr>
          <w:trHeight w:val="115"/>
        </w:trPr>
        <w:tc>
          <w:tcPr>
            <w:tcW w:w="380" w:type="dxa"/>
            <w:vAlign w:val="bottom"/>
            <w:tcBorders>
              <w:left w:val="single" w:sz="8" w:color="auto"/>
            </w:tcBorders>
            <w:vMerge w:val="continue"/>
          </w:tcPr>
          <w:p>
            <w:pPr>
              <w:spacing w:after="0"/>
              <w:rPr>
                <w:sz w:val="10"/>
                <w:szCs w:val="10"/>
                <w:color w:val="auto"/>
              </w:rPr>
            </w:pPr>
          </w:p>
        </w:tc>
        <w:tc>
          <w:tcPr>
            <w:tcW w:w="7700" w:type="dxa"/>
            <w:vAlign w:val="bottom"/>
            <w:vMerge w:val="restart"/>
          </w:tcPr>
          <w:p>
            <w:pPr>
              <w:ind w:left="80"/>
              <w:spacing w:after="0"/>
              <w:rPr>
                <w:sz w:val="20"/>
                <w:szCs w:val="20"/>
                <w:color w:val="auto"/>
              </w:rPr>
            </w:pPr>
            <w:r>
              <w:rPr>
                <w:rFonts w:ascii="Arial" w:cs="Arial" w:eastAsia="Arial" w:hAnsi="Arial"/>
                <w:sz w:val="16"/>
                <w:szCs w:val="16"/>
                <w:color w:val="auto"/>
                <w:w w:val="95"/>
              </w:rPr>
              <w:t>2023 Annual Meeting of Shareholders. The number of directors to be elected was fixed by the Board on October</w:t>
            </w:r>
          </w:p>
        </w:tc>
        <w:tc>
          <w:tcPr>
            <w:tcW w:w="2220" w:type="dxa"/>
            <w:vAlign w:val="bottom"/>
            <w:vMerge w:val="restart"/>
          </w:tcPr>
          <w:p>
            <w:pPr>
              <w:jc w:val="center"/>
              <w:ind w:right="2"/>
              <w:spacing w:after="0"/>
              <w:rPr>
                <w:sz w:val="20"/>
                <w:szCs w:val="20"/>
                <w:color w:val="auto"/>
              </w:rPr>
            </w:pPr>
            <w:r>
              <w:rPr>
                <w:rFonts w:ascii="Arial" w:cs="Arial" w:eastAsia="Arial" w:hAnsi="Arial"/>
                <w:sz w:val="16"/>
                <w:szCs w:val="16"/>
                <w:b w:val="1"/>
                <w:bCs w:val="1"/>
                <w:color w:val="auto"/>
                <w:w w:val="88"/>
              </w:rPr>
              <w:t>each nominee</w:t>
            </w:r>
          </w:p>
        </w:tc>
        <w:tc>
          <w:tcPr>
            <w:tcW w:w="9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80" w:type="dxa"/>
            <w:vAlign w:val="bottom"/>
            <w:tcBorders>
              <w:left w:val="single" w:sz="8" w:color="auto"/>
            </w:tcBorders>
          </w:tcPr>
          <w:p>
            <w:pPr>
              <w:spacing w:after="0"/>
              <w:rPr>
                <w:sz w:val="7"/>
                <w:szCs w:val="7"/>
                <w:color w:val="auto"/>
              </w:rPr>
            </w:pPr>
          </w:p>
        </w:tc>
        <w:tc>
          <w:tcPr>
            <w:tcW w:w="7700" w:type="dxa"/>
            <w:vAlign w:val="bottom"/>
            <w:vMerge w:val="continue"/>
          </w:tcPr>
          <w:p>
            <w:pPr>
              <w:spacing w:after="0"/>
              <w:rPr>
                <w:sz w:val="7"/>
                <w:szCs w:val="7"/>
                <w:color w:val="auto"/>
              </w:rPr>
            </w:pPr>
          </w:p>
        </w:tc>
        <w:tc>
          <w:tcPr>
            <w:tcW w:w="2220" w:type="dxa"/>
            <w:vAlign w:val="bottom"/>
            <w:vMerge w:val="continue"/>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380" w:type="dxa"/>
            <w:vAlign w:val="bottom"/>
            <w:tcBorders>
              <w:left w:val="single" w:sz="8" w:color="auto"/>
            </w:tcBorders>
          </w:tcPr>
          <w:p>
            <w:pPr>
              <w:spacing w:after="0"/>
              <w:rPr>
                <w:sz w:val="17"/>
                <w:szCs w:val="17"/>
                <w:color w:val="auto"/>
              </w:rPr>
            </w:pPr>
          </w:p>
        </w:tc>
        <w:tc>
          <w:tcPr>
            <w:tcW w:w="7700" w:type="dxa"/>
            <w:vAlign w:val="bottom"/>
          </w:tcPr>
          <w:p>
            <w:pPr>
              <w:ind w:left="80"/>
              <w:spacing w:after="0"/>
              <w:rPr>
                <w:sz w:val="20"/>
                <w:szCs w:val="20"/>
                <w:color w:val="auto"/>
              </w:rPr>
            </w:pPr>
            <w:r>
              <w:rPr>
                <w:rFonts w:ascii="Arial" w:cs="Arial" w:eastAsia="Arial" w:hAnsi="Arial"/>
                <w:sz w:val="16"/>
                <w:szCs w:val="16"/>
                <w:color w:val="auto"/>
              </w:rPr>
              <w:t>22, 2021.</w:t>
            </w:r>
          </w:p>
        </w:tc>
        <w:tc>
          <w:tcPr>
            <w:tcW w:w="222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80" w:type="dxa"/>
            <w:vAlign w:val="bottom"/>
            <w:tcBorders>
              <w:left w:val="single" w:sz="8" w:color="auto"/>
              <w:bottom w:val="single" w:sz="8" w:color="auto"/>
            </w:tcBorders>
          </w:tcPr>
          <w:p>
            <w:pPr>
              <w:spacing w:after="0"/>
              <w:rPr>
                <w:sz w:val="13"/>
                <w:szCs w:val="13"/>
                <w:color w:val="auto"/>
              </w:rPr>
            </w:pPr>
          </w:p>
        </w:tc>
        <w:tc>
          <w:tcPr>
            <w:tcW w:w="770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80" w:type="dxa"/>
            <w:vAlign w:val="bottom"/>
            <w:tcBorders>
              <w:left w:val="single" w:sz="8" w:color="auto"/>
            </w:tcBorders>
          </w:tcPr>
          <w:p>
            <w:pPr>
              <w:spacing w:after="0"/>
              <w:rPr>
                <w:sz w:val="17"/>
                <w:szCs w:val="17"/>
                <w:color w:val="auto"/>
              </w:rPr>
            </w:pPr>
          </w:p>
        </w:tc>
        <w:tc>
          <w:tcPr>
            <w:tcW w:w="7700" w:type="dxa"/>
            <w:vAlign w:val="bottom"/>
          </w:tcPr>
          <w:p>
            <w:pPr>
              <w:ind w:left="80"/>
              <w:spacing w:after="0"/>
              <w:rPr>
                <w:sz w:val="20"/>
                <w:szCs w:val="20"/>
                <w:color w:val="auto"/>
              </w:rPr>
            </w:pPr>
            <w:r>
              <w:rPr>
                <w:rFonts w:ascii="Arial" w:cs="Arial" w:eastAsia="Arial" w:hAnsi="Arial"/>
                <w:sz w:val="16"/>
                <w:szCs w:val="16"/>
                <w:b w:val="1"/>
                <w:bCs w:val="1"/>
                <w:color w:val="auto"/>
              </w:rPr>
              <w:t>Advisory Vote on Executive Compensation</w:t>
            </w:r>
          </w:p>
        </w:tc>
        <w:tc>
          <w:tcPr>
            <w:tcW w:w="2220" w:type="dxa"/>
            <w:vAlign w:val="bottom"/>
            <w:vMerge w:val="restart"/>
          </w:tcPr>
          <w:p>
            <w:pPr>
              <w:jc w:val="center"/>
              <w:ind w:right="2"/>
              <w:spacing w:after="0"/>
              <w:rPr>
                <w:sz w:val="20"/>
                <w:szCs w:val="20"/>
                <w:color w:val="auto"/>
              </w:rPr>
            </w:pPr>
            <w:r>
              <w:rPr>
                <w:rFonts w:ascii="Arial" w:cs="Arial" w:eastAsia="Arial" w:hAnsi="Arial"/>
                <w:sz w:val="16"/>
                <w:szCs w:val="16"/>
                <w:b w:val="1"/>
                <w:bCs w:val="1"/>
                <w:color w:val="auto"/>
              </w:rPr>
              <w:t>“FOR”</w:t>
            </w:r>
          </w:p>
        </w:tc>
        <w:tc>
          <w:tcPr>
            <w:tcW w:w="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0" w:type="dxa"/>
            <w:vAlign w:val="bottom"/>
            <w:tcBorders>
              <w:left w:val="single" w:sz="8" w:color="auto"/>
            </w:tcBorders>
          </w:tcPr>
          <w:p>
            <w:pPr>
              <w:jc w:val="right"/>
              <w:ind w:right="23"/>
              <w:spacing w:after="0"/>
              <w:rPr>
                <w:sz w:val="20"/>
                <w:szCs w:val="20"/>
                <w:color w:val="auto"/>
              </w:rPr>
            </w:pPr>
            <w:r>
              <w:rPr>
                <w:rFonts w:ascii="Arial" w:cs="Arial" w:eastAsia="Arial" w:hAnsi="Arial"/>
                <w:sz w:val="16"/>
                <w:szCs w:val="16"/>
                <w:color w:val="auto"/>
              </w:rPr>
              <w:t>2</w:t>
            </w:r>
          </w:p>
        </w:tc>
        <w:tc>
          <w:tcPr>
            <w:tcW w:w="7700" w:type="dxa"/>
            <w:vAlign w:val="bottom"/>
          </w:tcPr>
          <w:p>
            <w:pPr>
              <w:ind w:left="80"/>
              <w:spacing w:after="0"/>
              <w:rPr>
                <w:sz w:val="20"/>
                <w:szCs w:val="20"/>
                <w:color w:val="auto"/>
              </w:rPr>
            </w:pPr>
            <w:r>
              <w:rPr>
                <w:rFonts w:ascii="Arial" w:cs="Arial" w:eastAsia="Arial" w:hAnsi="Arial"/>
                <w:sz w:val="16"/>
                <w:szCs w:val="16"/>
                <w:color w:val="auto"/>
              </w:rPr>
              <w:t>You are being asked to vote, on an advisory (non-binding) basis, to approve the Company's executive</w:t>
            </w:r>
          </w:p>
        </w:tc>
        <w:tc>
          <w:tcPr>
            <w:tcW w:w="2220" w:type="dxa"/>
            <w:vAlign w:val="bottom"/>
            <w:vMerge w:val="continue"/>
          </w:tcPr>
          <w:p>
            <w:pPr>
              <w:spacing w:after="0"/>
              <w:rPr>
                <w:sz w:val="17"/>
                <w:szCs w:val="17"/>
                <w:color w:val="auto"/>
              </w:rPr>
            </w:pPr>
          </w:p>
        </w:tc>
        <w:tc>
          <w:tcPr>
            <w:tcW w:w="940" w:type="dxa"/>
            <w:vAlign w:val="bottom"/>
            <w:tcBorders>
              <w:right w:val="single" w:sz="8" w:color="auto"/>
            </w:tcBorders>
          </w:tcPr>
          <w:p>
            <w:pPr>
              <w:jc w:val="center"/>
              <w:ind w:left="133"/>
              <w:spacing w:after="0"/>
              <w:rPr>
                <w:sz w:val="20"/>
                <w:szCs w:val="20"/>
                <w:color w:val="auto"/>
              </w:rPr>
            </w:pPr>
            <w:r>
              <w:rPr>
                <w:rFonts w:ascii="Arial" w:cs="Arial" w:eastAsia="Arial" w:hAnsi="Arial"/>
                <w:sz w:val="13"/>
                <w:szCs w:val="13"/>
                <w:color w:val="auto"/>
                <w:w w:val="96"/>
              </w:rPr>
              <w:t>35</w:t>
            </w:r>
          </w:p>
        </w:tc>
        <w:tc>
          <w:tcPr>
            <w:tcW w:w="0" w:type="dxa"/>
            <w:vAlign w:val="bottom"/>
          </w:tcPr>
          <w:p>
            <w:pPr>
              <w:spacing w:after="0"/>
              <w:rPr>
                <w:sz w:val="1"/>
                <w:szCs w:val="1"/>
                <w:color w:val="auto"/>
              </w:rPr>
            </w:pPr>
          </w:p>
        </w:tc>
      </w:tr>
      <w:tr>
        <w:trPr>
          <w:trHeight w:val="205"/>
        </w:trPr>
        <w:tc>
          <w:tcPr>
            <w:tcW w:w="380" w:type="dxa"/>
            <w:vAlign w:val="bottom"/>
            <w:tcBorders>
              <w:left w:val="single" w:sz="8" w:color="auto"/>
            </w:tcBorders>
          </w:tcPr>
          <w:p>
            <w:pPr>
              <w:spacing w:after="0"/>
              <w:rPr>
                <w:sz w:val="17"/>
                <w:szCs w:val="17"/>
                <w:color w:val="auto"/>
              </w:rPr>
            </w:pPr>
          </w:p>
        </w:tc>
        <w:tc>
          <w:tcPr>
            <w:tcW w:w="7700" w:type="dxa"/>
            <w:vAlign w:val="bottom"/>
          </w:tcPr>
          <w:p>
            <w:pPr>
              <w:ind w:left="80"/>
              <w:spacing w:after="0"/>
              <w:rPr>
                <w:sz w:val="20"/>
                <w:szCs w:val="20"/>
                <w:color w:val="auto"/>
              </w:rPr>
            </w:pPr>
            <w:r>
              <w:rPr>
                <w:rFonts w:ascii="Arial" w:cs="Arial" w:eastAsia="Arial" w:hAnsi="Arial"/>
                <w:sz w:val="16"/>
                <w:szCs w:val="16"/>
                <w:color w:val="auto"/>
              </w:rPr>
              <w:t>compensation as disclosed in this proxy statement.</w:t>
            </w:r>
          </w:p>
        </w:tc>
        <w:tc>
          <w:tcPr>
            <w:tcW w:w="222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80" w:type="dxa"/>
            <w:vAlign w:val="bottom"/>
            <w:tcBorders>
              <w:left w:val="single" w:sz="8" w:color="auto"/>
              <w:bottom w:val="single" w:sz="8" w:color="auto"/>
            </w:tcBorders>
          </w:tcPr>
          <w:p>
            <w:pPr>
              <w:spacing w:after="0"/>
              <w:rPr>
                <w:sz w:val="13"/>
                <w:szCs w:val="13"/>
                <w:color w:val="auto"/>
              </w:rPr>
            </w:pPr>
          </w:p>
        </w:tc>
        <w:tc>
          <w:tcPr>
            <w:tcW w:w="770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80" w:type="dxa"/>
            <w:vAlign w:val="bottom"/>
            <w:tcBorders>
              <w:left w:val="single" w:sz="8" w:color="auto"/>
            </w:tcBorders>
          </w:tcPr>
          <w:p>
            <w:pPr>
              <w:spacing w:after="0"/>
              <w:rPr>
                <w:sz w:val="17"/>
                <w:szCs w:val="17"/>
                <w:color w:val="auto"/>
              </w:rPr>
            </w:pPr>
          </w:p>
        </w:tc>
        <w:tc>
          <w:tcPr>
            <w:tcW w:w="7700" w:type="dxa"/>
            <w:vAlign w:val="bottom"/>
          </w:tcPr>
          <w:p>
            <w:pPr>
              <w:ind w:left="80"/>
              <w:spacing w:after="0"/>
              <w:rPr>
                <w:sz w:val="20"/>
                <w:szCs w:val="20"/>
                <w:color w:val="auto"/>
              </w:rPr>
            </w:pPr>
            <w:r>
              <w:rPr>
                <w:rFonts w:ascii="Arial" w:cs="Arial" w:eastAsia="Arial" w:hAnsi="Arial"/>
                <w:sz w:val="16"/>
                <w:szCs w:val="16"/>
                <w:b w:val="1"/>
                <w:bCs w:val="1"/>
                <w:color w:val="auto"/>
              </w:rPr>
              <w:t>Ratification of the Re-Appointment of Ernst &amp; Young LLP</w:t>
            </w:r>
          </w:p>
        </w:tc>
        <w:tc>
          <w:tcPr>
            <w:tcW w:w="2220" w:type="dxa"/>
            <w:vAlign w:val="bottom"/>
            <w:vMerge w:val="restart"/>
          </w:tcPr>
          <w:p>
            <w:pPr>
              <w:jc w:val="center"/>
              <w:ind w:right="2"/>
              <w:spacing w:after="0"/>
              <w:rPr>
                <w:sz w:val="20"/>
                <w:szCs w:val="20"/>
                <w:color w:val="auto"/>
              </w:rPr>
            </w:pPr>
            <w:r>
              <w:rPr>
                <w:rFonts w:ascii="Arial" w:cs="Arial" w:eastAsia="Arial" w:hAnsi="Arial"/>
                <w:sz w:val="16"/>
                <w:szCs w:val="16"/>
                <w:b w:val="1"/>
                <w:bCs w:val="1"/>
                <w:color w:val="auto"/>
              </w:rPr>
              <w:t>“FOR”</w:t>
            </w:r>
          </w:p>
        </w:tc>
        <w:tc>
          <w:tcPr>
            <w:tcW w:w="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0" w:type="dxa"/>
            <w:vAlign w:val="bottom"/>
            <w:tcBorders>
              <w:left w:val="single" w:sz="8" w:color="auto"/>
            </w:tcBorders>
          </w:tcPr>
          <w:p>
            <w:pPr>
              <w:jc w:val="right"/>
              <w:ind w:right="23"/>
              <w:spacing w:after="0"/>
              <w:rPr>
                <w:sz w:val="20"/>
                <w:szCs w:val="20"/>
                <w:color w:val="auto"/>
              </w:rPr>
            </w:pPr>
            <w:r>
              <w:rPr>
                <w:rFonts w:ascii="Arial" w:cs="Arial" w:eastAsia="Arial" w:hAnsi="Arial"/>
                <w:sz w:val="16"/>
                <w:szCs w:val="16"/>
                <w:color w:val="auto"/>
              </w:rPr>
              <w:t>3</w:t>
            </w:r>
          </w:p>
        </w:tc>
        <w:tc>
          <w:tcPr>
            <w:tcW w:w="7700" w:type="dxa"/>
            <w:vAlign w:val="bottom"/>
          </w:tcPr>
          <w:p>
            <w:pPr>
              <w:ind w:left="80"/>
              <w:spacing w:after="0"/>
              <w:rPr>
                <w:sz w:val="20"/>
                <w:szCs w:val="20"/>
                <w:color w:val="auto"/>
              </w:rPr>
            </w:pPr>
            <w:r>
              <w:rPr>
                <w:rFonts w:ascii="Arial" w:cs="Arial" w:eastAsia="Arial" w:hAnsi="Arial"/>
                <w:sz w:val="16"/>
                <w:szCs w:val="16"/>
                <w:color w:val="auto"/>
                <w:w w:val="97"/>
              </w:rPr>
              <w:t>You are being asked to ratify, on an advisory (non-binding) basis, the re-appointment of Ernst &amp; Young LLP as</w:t>
            </w:r>
          </w:p>
        </w:tc>
        <w:tc>
          <w:tcPr>
            <w:tcW w:w="2220" w:type="dxa"/>
            <w:vAlign w:val="bottom"/>
            <w:vMerge w:val="continue"/>
          </w:tcPr>
          <w:p>
            <w:pPr>
              <w:spacing w:after="0"/>
              <w:rPr>
                <w:sz w:val="17"/>
                <w:szCs w:val="17"/>
                <w:color w:val="auto"/>
              </w:rPr>
            </w:pPr>
          </w:p>
        </w:tc>
        <w:tc>
          <w:tcPr>
            <w:tcW w:w="940" w:type="dxa"/>
            <w:vAlign w:val="bottom"/>
            <w:tcBorders>
              <w:right w:val="single" w:sz="8" w:color="auto"/>
            </w:tcBorders>
          </w:tcPr>
          <w:p>
            <w:pPr>
              <w:jc w:val="center"/>
              <w:ind w:left="133"/>
              <w:spacing w:after="0"/>
              <w:rPr>
                <w:sz w:val="20"/>
                <w:szCs w:val="20"/>
                <w:color w:val="auto"/>
              </w:rPr>
            </w:pPr>
            <w:r>
              <w:rPr>
                <w:rFonts w:ascii="Arial" w:cs="Arial" w:eastAsia="Arial" w:hAnsi="Arial"/>
                <w:sz w:val="13"/>
                <w:szCs w:val="13"/>
                <w:color w:val="auto"/>
                <w:w w:val="96"/>
              </w:rPr>
              <w:t>67</w:t>
            </w:r>
          </w:p>
        </w:tc>
        <w:tc>
          <w:tcPr>
            <w:tcW w:w="0" w:type="dxa"/>
            <w:vAlign w:val="bottom"/>
          </w:tcPr>
          <w:p>
            <w:pPr>
              <w:spacing w:after="0"/>
              <w:rPr>
                <w:sz w:val="1"/>
                <w:szCs w:val="1"/>
                <w:color w:val="auto"/>
              </w:rPr>
            </w:pPr>
          </w:p>
        </w:tc>
      </w:tr>
      <w:tr>
        <w:trPr>
          <w:trHeight w:val="205"/>
        </w:trPr>
        <w:tc>
          <w:tcPr>
            <w:tcW w:w="380" w:type="dxa"/>
            <w:vAlign w:val="bottom"/>
            <w:tcBorders>
              <w:left w:val="single" w:sz="8" w:color="auto"/>
            </w:tcBorders>
          </w:tcPr>
          <w:p>
            <w:pPr>
              <w:spacing w:after="0"/>
              <w:rPr>
                <w:sz w:val="17"/>
                <w:szCs w:val="17"/>
                <w:color w:val="auto"/>
              </w:rPr>
            </w:pPr>
          </w:p>
        </w:tc>
        <w:tc>
          <w:tcPr>
            <w:tcW w:w="7700" w:type="dxa"/>
            <w:vAlign w:val="bottom"/>
          </w:tcPr>
          <w:p>
            <w:pPr>
              <w:ind w:left="80"/>
              <w:spacing w:after="0"/>
              <w:rPr>
                <w:sz w:val="20"/>
                <w:szCs w:val="20"/>
                <w:color w:val="auto"/>
              </w:rPr>
            </w:pPr>
            <w:r>
              <w:rPr>
                <w:rFonts w:ascii="Arial" w:cs="Arial" w:eastAsia="Arial" w:hAnsi="Arial"/>
                <w:sz w:val="16"/>
                <w:szCs w:val="16"/>
                <w:color w:val="auto"/>
              </w:rPr>
              <w:t>the Company's independent registered public accounting firm for fiscal year 2022.</w:t>
            </w:r>
          </w:p>
        </w:tc>
        <w:tc>
          <w:tcPr>
            <w:tcW w:w="222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80" w:type="dxa"/>
            <w:vAlign w:val="bottom"/>
            <w:tcBorders>
              <w:left w:val="single" w:sz="8" w:color="auto"/>
              <w:bottom w:val="single" w:sz="8" w:color="auto"/>
            </w:tcBorders>
          </w:tcPr>
          <w:p>
            <w:pPr>
              <w:spacing w:after="0"/>
              <w:rPr>
                <w:sz w:val="13"/>
                <w:szCs w:val="13"/>
                <w:color w:val="auto"/>
              </w:rPr>
            </w:pPr>
          </w:p>
        </w:tc>
        <w:tc>
          <w:tcPr>
            <w:tcW w:w="770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YOUR SHARES</w:t>
      </w:r>
    </w:p>
    <w:p>
      <w:pPr>
        <w:spacing w:after="0" w:line="235" w:lineRule="exact"/>
        <w:rPr>
          <w:sz w:val="20"/>
          <w:szCs w:val="20"/>
          <w:color w:val="auto"/>
        </w:rPr>
      </w:pPr>
    </w:p>
    <w:p>
      <w:pPr>
        <w:jc w:val="both"/>
        <w:ind w:right="400" w:firstLine="546"/>
        <w:spacing w:after="0" w:line="364" w:lineRule="auto"/>
        <w:rPr>
          <w:sz w:val="20"/>
          <w:szCs w:val="20"/>
          <w:color w:val="auto"/>
        </w:rPr>
      </w:pPr>
      <w:r>
        <w:rPr>
          <w:rFonts w:ascii="Arial" w:cs="Arial" w:eastAsia="Arial" w:hAnsi="Arial"/>
          <w:sz w:val="14"/>
          <w:szCs w:val="14"/>
          <w:color w:val="auto"/>
        </w:rPr>
        <w:t>You may vote if you are a shareholder of record as of the close of business on February 28, 2022. Each share of common stock is entitled to one vote. Series A Preferred Stock generally is not entitled to vote. On the Record Date, there were 40,391,183 shares of common stock issued and outstanding. All votes are confidential.</w:t>
      </w:r>
    </w:p>
    <w:p>
      <w:pPr>
        <w:spacing w:after="0" w:line="364"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-64770</wp:posOffset>
            </wp:positionV>
            <wp:extent cx="314325" cy="288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4325" cy="288925"/>
                    </a:xfrm>
                    <a:prstGeom prst="rect">
                      <a:avLst/>
                    </a:prstGeom>
                    <a:noFill/>
                  </pic:spPr>
                </pic:pic>
              </a:graphicData>
            </a:graphic>
          </wp:anchor>
        </w:drawing>
      </w:r>
    </w:p>
    <w:p>
      <w:pPr>
        <w:spacing w:after="0" w:line="5" w:lineRule="exact"/>
        <w:rPr>
          <w:sz w:val="20"/>
          <w:szCs w:val="20"/>
          <w:color w:val="auto"/>
        </w:rPr>
      </w:pPr>
    </w:p>
    <w:p>
      <w:pPr>
        <w:ind w:left="860" w:right="180"/>
        <w:spacing w:after="0" w:line="283" w:lineRule="auto"/>
        <w:rPr>
          <w:sz w:val="20"/>
          <w:szCs w:val="20"/>
          <w:color w:val="auto"/>
        </w:rPr>
      </w:pPr>
      <w:r>
        <w:rPr>
          <w:rFonts w:ascii="Arial" w:cs="Arial" w:eastAsia="Arial" w:hAnsi="Arial"/>
          <w:sz w:val="16"/>
          <w:szCs w:val="16"/>
          <w:color w:val="auto"/>
        </w:rPr>
        <w:t xml:space="preserve">Registered holders can go to </w:t>
      </w:r>
      <w:r>
        <w:rPr>
          <w:rFonts w:ascii="Arial" w:cs="Arial" w:eastAsia="Arial" w:hAnsi="Arial"/>
          <w:sz w:val="16"/>
          <w:szCs w:val="16"/>
          <w:i w:val="1"/>
          <w:iCs w:val="1"/>
          <w:color w:val="auto"/>
        </w:rPr>
        <w:t>www.envisionreports.com/boh</w:t>
      </w:r>
      <w:r>
        <w:rPr>
          <w:rFonts w:ascii="Arial" w:cs="Arial" w:eastAsia="Arial" w:hAnsi="Arial"/>
          <w:sz w:val="16"/>
          <w:szCs w:val="16"/>
          <w:color w:val="auto"/>
        </w:rPr>
        <w:t xml:space="preserve"> and follow the instructions. For shares held in street name, please see the instruction card included by your broker or nominee.</w:t>
      </w:r>
    </w:p>
    <w:p>
      <w:pPr>
        <w:spacing w:after="0" w:line="119"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-64770</wp:posOffset>
            </wp:positionV>
            <wp:extent cx="314325" cy="2717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4325" cy="271780"/>
                    </a:xfrm>
                    <a:prstGeom prst="rect">
                      <a:avLst/>
                    </a:prstGeom>
                    <a:noFill/>
                  </pic:spPr>
                </pic:pic>
              </a:graphicData>
            </a:graphic>
          </wp:anchor>
        </w:drawing>
      </w:r>
    </w:p>
    <w:p>
      <w:pPr>
        <w:spacing w:after="0" w:line="5" w:lineRule="exact"/>
        <w:rPr>
          <w:sz w:val="20"/>
          <w:szCs w:val="20"/>
          <w:color w:val="auto"/>
        </w:rPr>
      </w:pPr>
    </w:p>
    <w:p>
      <w:pPr>
        <w:ind w:left="860" w:right="100"/>
        <w:spacing w:after="0" w:line="283" w:lineRule="auto"/>
        <w:rPr>
          <w:sz w:val="20"/>
          <w:szCs w:val="20"/>
          <w:color w:val="auto"/>
        </w:rPr>
      </w:pPr>
      <w:r>
        <w:rPr>
          <w:rFonts w:ascii="Arial" w:cs="Arial" w:eastAsia="Arial" w:hAnsi="Arial"/>
          <w:sz w:val="16"/>
          <w:szCs w:val="16"/>
          <w:color w:val="auto"/>
        </w:rPr>
        <w:t>If you live in the United States, you may submit your proxy by following the “Vote by Telephone” instruction on the proxy card. For shares held in street name, please see the instruction card included by your broker or nominee.</w:t>
      </w:r>
    </w:p>
    <w:p>
      <w:pPr>
        <w:spacing w:after="0" w:line="133"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-64770</wp:posOffset>
            </wp:positionV>
            <wp:extent cx="347980" cy="2717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7980" cy="271780"/>
                    </a:xfrm>
                    <a:prstGeom prst="rect">
                      <a:avLst/>
                    </a:prstGeom>
                    <a:noFill/>
                  </pic:spPr>
                </pic:pic>
              </a:graphicData>
            </a:graphic>
          </wp:anchor>
        </w:drawing>
      </w:r>
    </w:p>
    <w:p>
      <w:pPr>
        <w:spacing w:after="0" w:line="5" w:lineRule="exact"/>
        <w:rPr>
          <w:sz w:val="20"/>
          <w:szCs w:val="20"/>
          <w:color w:val="auto"/>
        </w:rPr>
      </w:pPr>
    </w:p>
    <w:p>
      <w:pPr>
        <w:ind w:left="860" w:right="240"/>
        <w:spacing w:after="0" w:line="283" w:lineRule="auto"/>
        <w:rPr>
          <w:sz w:val="20"/>
          <w:szCs w:val="20"/>
          <w:color w:val="auto"/>
        </w:rPr>
      </w:pPr>
      <w:r>
        <w:rPr>
          <w:rFonts w:ascii="Arial" w:cs="Arial" w:eastAsia="Arial" w:hAnsi="Arial"/>
          <w:sz w:val="16"/>
          <w:szCs w:val="16"/>
          <w:color w:val="auto"/>
        </w:rPr>
        <w:t>Complete, sign, and date the proxy card and return it in the envelope that was provided in the proxy statement package. For shares held in street name, please see the instruction card included by your broker or nominee.</w:t>
      </w:r>
    </w:p>
    <w:p>
      <w:pPr>
        <w:spacing w:after="0" w:line="133"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Virtual Attendance via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-81915</wp:posOffset>
            </wp:positionV>
            <wp:extent cx="101600" cy="305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1600" cy="305435"/>
                    </a:xfrm>
                    <a:prstGeom prst="rect">
                      <a:avLst/>
                    </a:prstGeom>
                    <a:noFill/>
                  </pic:spPr>
                </pic:pic>
              </a:graphicData>
            </a:graphic>
          </wp:anchor>
        </w:drawing>
      </w:r>
    </w:p>
    <w:p>
      <w:pPr>
        <w:spacing w:after="0" w:line="5" w:lineRule="exact"/>
        <w:rPr>
          <w:sz w:val="20"/>
          <w:szCs w:val="20"/>
          <w:color w:val="auto"/>
        </w:rPr>
      </w:pPr>
    </w:p>
    <w:p>
      <w:pPr>
        <w:ind w:left="860" w:right="260"/>
        <w:spacing w:after="0" w:line="283" w:lineRule="auto"/>
        <w:rPr>
          <w:sz w:val="20"/>
          <w:szCs w:val="20"/>
          <w:color w:val="auto"/>
        </w:rPr>
      </w:pPr>
      <w:r>
        <w:rPr>
          <w:rFonts w:ascii="Arial" w:cs="Arial" w:eastAsia="Arial" w:hAnsi="Arial"/>
          <w:sz w:val="16"/>
          <w:szCs w:val="16"/>
          <w:color w:val="auto"/>
        </w:rPr>
        <w:t>Register with your control number found on your proxy card, notice, or voting instruction form provided by your bank or broker and attend our virtual annual meeting. More detailed instructions on how to attend and vote are found on pages 3 and 4.</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Even if you plan to attend the Annual Meeting, we encourage all shareholders to vote in advance of the meeting.</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HIGHLIGHTS</w:t>
      </w:r>
    </w:p>
    <w:p>
      <w:pPr>
        <w:spacing w:after="0" w:line="235" w:lineRule="exact"/>
        <w:rPr>
          <w:sz w:val="20"/>
          <w:szCs w:val="20"/>
          <w:color w:val="auto"/>
        </w:rPr>
      </w:pPr>
    </w:p>
    <w:p>
      <w:pPr>
        <w:jc w:val="both"/>
        <w:ind w:right="360" w:firstLine="546"/>
        <w:spacing w:after="0" w:line="364" w:lineRule="auto"/>
        <w:rPr>
          <w:sz w:val="20"/>
          <w:szCs w:val="20"/>
          <w:color w:val="auto"/>
        </w:rPr>
      </w:pPr>
      <w:r>
        <w:rPr>
          <w:rFonts w:ascii="Arial" w:cs="Arial" w:eastAsia="Arial" w:hAnsi="Arial"/>
          <w:sz w:val="14"/>
          <w:szCs w:val="14"/>
          <w:color w:val="auto"/>
        </w:rPr>
        <w:t>Bank of Hawaii Corporation (the “Company”) is an independent regional financial services company. The Company’s principal subsidiary, Bank of Hawaii (the “Bank”), was founded in 1897 and provides a broad range of financial products and services to businesses, consumers and governments in Hawaii and the West Pacific.</w:t>
      </w:r>
    </w:p>
    <w:p>
      <w:pPr>
        <w:spacing w:after="0" w:line="127" w:lineRule="exact"/>
        <w:rPr>
          <w:sz w:val="20"/>
          <w:szCs w:val="20"/>
          <w:color w:val="auto"/>
        </w:rPr>
      </w:pPr>
    </w:p>
    <w:p>
      <w:pPr>
        <w:ind w:right="140" w:firstLine="546"/>
        <w:spacing w:after="0" w:line="275" w:lineRule="auto"/>
        <w:rPr>
          <w:sz w:val="20"/>
          <w:szCs w:val="20"/>
          <w:color w:val="auto"/>
        </w:rPr>
      </w:pPr>
      <w:r>
        <w:rPr>
          <w:rFonts w:ascii="Arial" w:cs="Arial" w:eastAsia="Arial" w:hAnsi="Arial"/>
          <w:sz w:val="16"/>
          <w:szCs w:val="16"/>
          <w:color w:val="auto"/>
        </w:rPr>
        <w:t>Bank of Hawaii Corporation is committed to meeting high standards of ethical behavior, corporate governance, and business conduct. The first two columns in the table below summarize the Company's governance and compensation practices, demonstrating what we do to drive performance and manage risk and is current through March 1, 2022. The third column highlights the Company's business performance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131445</wp:posOffset>
            </wp:positionV>
            <wp:extent cx="7133590" cy="3931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3590" cy="3931920"/>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p>
      <w:pPr>
        <w:spacing w:after="0" w:line="247"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FFFFFF"/>
        </w:rPr>
        <w:t>Corporate Governance</w:t>
      </w:r>
    </w:p>
    <w:p>
      <w:pPr>
        <w:spacing w:after="0" w:line="81" w:lineRule="exact"/>
        <w:rPr>
          <w:sz w:val="20"/>
          <w:szCs w:val="20"/>
          <w:color w:val="auto"/>
        </w:rPr>
      </w:pPr>
    </w:p>
    <w:p>
      <w:pPr>
        <w:ind w:left="360" w:hanging="292"/>
        <w:spacing w:after="0"/>
        <w:tabs>
          <w:tab w:leader="none" w:pos="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Annual election of directors</w:t>
      </w:r>
    </w:p>
    <w:p>
      <w:pPr>
        <w:spacing w:after="0" w:line="123" w:lineRule="exact"/>
        <w:rPr>
          <w:rFonts w:ascii="Arial" w:cs="Arial" w:eastAsia="Arial" w:hAnsi="Arial"/>
          <w:sz w:val="16"/>
          <w:szCs w:val="16"/>
          <w:color w:val="auto"/>
        </w:rPr>
      </w:pPr>
    </w:p>
    <w:p>
      <w:pPr>
        <w:jc w:val="both"/>
        <w:ind w:left="380" w:right="280" w:hanging="312"/>
        <w:spacing w:after="0" w:line="331" w:lineRule="auto"/>
        <w:tabs>
          <w:tab w:leader="none" w:pos="356" w:val="left"/>
        </w:tabs>
        <w:numPr>
          <w:ilvl w:val="0"/>
          <w:numId w:val="5"/>
        </w:numPr>
        <w:rPr>
          <w:rFonts w:ascii="Arial" w:cs="Arial" w:eastAsia="Arial" w:hAnsi="Arial"/>
          <w:sz w:val="14"/>
          <w:szCs w:val="14"/>
          <w:color w:val="auto"/>
        </w:rPr>
      </w:pPr>
      <w:r>
        <w:rPr>
          <w:rFonts w:ascii="Arial" w:cs="Arial" w:eastAsia="Arial" w:hAnsi="Arial"/>
          <w:sz w:val="14"/>
          <w:szCs w:val="14"/>
          <w:color w:val="auto"/>
        </w:rPr>
        <w:t>Majority voting in director elections with a plurality carve-out in the case of contested elections and a director resignation policy</w:t>
      </w:r>
    </w:p>
    <w:p>
      <w:pPr>
        <w:spacing w:after="0" w:line="42" w:lineRule="exact"/>
        <w:rPr>
          <w:rFonts w:ascii="Arial" w:cs="Arial" w:eastAsia="Arial" w:hAnsi="Arial"/>
          <w:sz w:val="14"/>
          <w:szCs w:val="14"/>
          <w:color w:val="auto"/>
        </w:rPr>
      </w:pPr>
    </w:p>
    <w:p>
      <w:pPr>
        <w:ind w:left="380" w:right="260" w:hanging="312"/>
        <w:spacing w:after="0" w:line="324" w:lineRule="auto"/>
        <w:tabs>
          <w:tab w:leader="none" w:pos="356" w:val="left"/>
        </w:tabs>
        <w:numPr>
          <w:ilvl w:val="0"/>
          <w:numId w:val="5"/>
        </w:numPr>
        <w:rPr>
          <w:rFonts w:ascii="Arial" w:cs="Arial" w:eastAsia="Arial" w:hAnsi="Arial"/>
          <w:sz w:val="15"/>
          <w:szCs w:val="15"/>
          <w:color w:val="auto"/>
        </w:rPr>
      </w:pPr>
      <w:r>
        <w:rPr>
          <w:rFonts w:ascii="Arial" w:cs="Arial" w:eastAsia="Arial" w:hAnsi="Arial"/>
          <w:sz w:val="15"/>
          <w:szCs w:val="15"/>
          <w:color w:val="auto"/>
        </w:rPr>
        <w:t>Independent directors comprise 86% of the Board and 100% of key committees</w:t>
      </w:r>
    </w:p>
    <w:p>
      <w:pPr>
        <w:spacing w:after="0" w:line="42" w:lineRule="exact"/>
        <w:rPr>
          <w:rFonts w:ascii="Arial" w:cs="Arial" w:eastAsia="Arial" w:hAnsi="Arial"/>
          <w:sz w:val="15"/>
          <w:szCs w:val="15"/>
          <w:color w:val="auto"/>
        </w:rPr>
      </w:pPr>
    </w:p>
    <w:p>
      <w:pPr>
        <w:ind w:left="380" w:right="380" w:hanging="312"/>
        <w:spacing w:after="0" w:line="289" w:lineRule="auto"/>
        <w:tabs>
          <w:tab w:leader="none" w:pos="356" w:val="left"/>
        </w:tabs>
        <w:numPr>
          <w:ilvl w:val="0"/>
          <w:numId w:val="5"/>
        </w:numPr>
        <w:rPr>
          <w:rFonts w:ascii="Arial" w:cs="Arial" w:eastAsia="Arial" w:hAnsi="Arial"/>
          <w:sz w:val="16"/>
          <w:szCs w:val="16"/>
          <w:color w:val="auto"/>
        </w:rPr>
      </w:pPr>
      <w:r>
        <w:rPr>
          <w:rFonts w:ascii="Arial" w:cs="Arial" w:eastAsia="Arial" w:hAnsi="Arial"/>
          <w:sz w:val="16"/>
          <w:szCs w:val="16"/>
          <w:color w:val="auto"/>
        </w:rPr>
        <w:t>36% of directors are women and 50% are ethnically diverse</w:t>
      </w:r>
    </w:p>
    <w:p>
      <w:pPr>
        <w:spacing w:after="0" w:line="65" w:lineRule="exact"/>
        <w:rPr>
          <w:rFonts w:ascii="Arial" w:cs="Arial" w:eastAsia="Arial" w:hAnsi="Arial"/>
          <w:sz w:val="16"/>
          <w:szCs w:val="16"/>
          <w:color w:val="auto"/>
        </w:rPr>
      </w:pPr>
    </w:p>
    <w:p>
      <w:pPr>
        <w:ind w:left="380" w:right="380" w:hanging="312"/>
        <w:spacing w:after="0" w:line="324" w:lineRule="auto"/>
        <w:tabs>
          <w:tab w:leader="none" w:pos="356" w:val="left"/>
        </w:tabs>
        <w:numPr>
          <w:ilvl w:val="0"/>
          <w:numId w:val="5"/>
        </w:numPr>
        <w:rPr>
          <w:rFonts w:ascii="Arial" w:cs="Arial" w:eastAsia="Arial" w:hAnsi="Arial"/>
          <w:sz w:val="15"/>
          <w:szCs w:val="15"/>
          <w:color w:val="auto"/>
        </w:rPr>
      </w:pPr>
      <w:r>
        <w:rPr>
          <w:rFonts w:ascii="Arial" w:cs="Arial" w:eastAsia="Arial" w:hAnsi="Arial"/>
          <w:sz w:val="15"/>
          <w:szCs w:val="15"/>
          <w:color w:val="auto"/>
        </w:rPr>
        <w:t>Ongoing director refreshment with 6 new directors added in the past 5 years</w:t>
      </w:r>
    </w:p>
    <w:p>
      <w:pPr>
        <w:spacing w:after="0" w:line="42" w:lineRule="exact"/>
        <w:rPr>
          <w:rFonts w:ascii="Arial" w:cs="Arial" w:eastAsia="Arial" w:hAnsi="Arial"/>
          <w:sz w:val="15"/>
          <w:szCs w:val="15"/>
          <w:color w:val="auto"/>
        </w:rPr>
      </w:pPr>
    </w:p>
    <w:p>
      <w:pPr>
        <w:ind w:left="380" w:right="460" w:hanging="312"/>
        <w:spacing w:after="0" w:line="289" w:lineRule="auto"/>
        <w:tabs>
          <w:tab w:leader="none" w:pos="356" w:val="left"/>
        </w:tabs>
        <w:numPr>
          <w:ilvl w:val="0"/>
          <w:numId w:val="5"/>
        </w:numPr>
        <w:rPr>
          <w:rFonts w:ascii="Arial" w:cs="Arial" w:eastAsia="Arial" w:hAnsi="Arial"/>
          <w:sz w:val="16"/>
          <w:szCs w:val="16"/>
          <w:color w:val="auto"/>
        </w:rPr>
      </w:pPr>
      <w:r>
        <w:rPr>
          <w:rFonts w:ascii="Arial" w:cs="Arial" w:eastAsia="Arial" w:hAnsi="Arial"/>
          <w:sz w:val="16"/>
          <w:szCs w:val="16"/>
          <w:color w:val="auto"/>
        </w:rPr>
        <w:t>Regular executive sessions of the Board without management present</w:t>
      </w:r>
    </w:p>
    <w:p>
      <w:pPr>
        <w:spacing w:after="0" w:line="65" w:lineRule="exact"/>
        <w:rPr>
          <w:rFonts w:ascii="Arial" w:cs="Arial" w:eastAsia="Arial" w:hAnsi="Arial"/>
          <w:sz w:val="16"/>
          <w:szCs w:val="16"/>
          <w:color w:val="auto"/>
        </w:rPr>
      </w:pPr>
    </w:p>
    <w:p>
      <w:pPr>
        <w:ind w:left="380" w:right="280" w:hanging="312"/>
        <w:spacing w:after="0" w:line="289" w:lineRule="auto"/>
        <w:tabs>
          <w:tab w:leader="none" w:pos="356" w:val="left"/>
        </w:tabs>
        <w:numPr>
          <w:ilvl w:val="0"/>
          <w:numId w:val="5"/>
        </w:numPr>
        <w:rPr>
          <w:rFonts w:ascii="Arial" w:cs="Arial" w:eastAsia="Arial" w:hAnsi="Arial"/>
          <w:sz w:val="16"/>
          <w:szCs w:val="16"/>
          <w:color w:val="auto"/>
        </w:rPr>
      </w:pPr>
      <w:r>
        <w:rPr>
          <w:rFonts w:ascii="Arial" w:cs="Arial" w:eastAsia="Arial" w:hAnsi="Arial"/>
          <w:sz w:val="16"/>
          <w:szCs w:val="16"/>
          <w:color w:val="auto"/>
        </w:rPr>
        <w:t>Directors actively participate in continuing education programs</w:t>
      </w:r>
    </w:p>
    <w:p>
      <w:pPr>
        <w:spacing w:after="0" w:line="65" w:lineRule="exact"/>
        <w:rPr>
          <w:rFonts w:ascii="Arial" w:cs="Arial" w:eastAsia="Arial" w:hAnsi="Arial"/>
          <w:sz w:val="16"/>
          <w:szCs w:val="16"/>
          <w:color w:val="auto"/>
        </w:rPr>
      </w:pPr>
    </w:p>
    <w:p>
      <w:pPr>
        <w:ind w:left="380" w:hanging="312"/>
        <w:spacing w:after="0" w:line="289" w:lineRule="auto"/>
        <w:tabs>
          <w:tab w:leader="none" w:pos="356"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directors attended at least 75% of the board and committee meetings</w:t>
      </w:r>
    </w:p>
    <w:p>
      <w:pPr>
        <w:spacing w:after="0" w:line="65" w:lineRule="exact"/>
        <w:rPr>
          <w:rFonts w:ascii="Arial" w:cs="Arial" w:eastAsia="Arial" w:hAnsi="Arial"/>
          <w:sz w:val="16"/>
          <w:szCs w:val="16"/>
          <w:color w:val="auto"/>
        </w:rPr>
      </w:pPr>
    </w:p>
    <w:p>
      <w:pPr>
        <w:ind w:left="360" w:hanging="292"/>
        <w:spacing w:after="0"/>
        <w:tabs>
          <w:tab w:leader="none" w:pos="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Annual Say-on-Pay vote</w:t>
      </w:r>
    </w:p>
    <w:p>
      <w:pPr>
        <w:spacing w:after="0" w:line="123" w:lineRule="exact"/>
        <w:rPr>
          <w:rFonts w:ascii="Arial" w:cs="Arial" w:eastAsia="Arial" w:hAnsi="Arial"/>
          <w:sz w:val="16"/>
          <w:szCs w:val="16"/>
          <w:color w:val="auto"/>
        </w:rPr>
      </w:pPr>
    </w:p>
    <w:p>
      <w:pPr>
        <w:ind w:left="360" w:hanging="292"/>
        <w:spacing w:after="0"/>
        <w:tabs>
          <w:tab w:leader="none" w:pos="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Robust shareholder engagement process</w:t>
      </w:r>
    </w:p>
    <w:p>
      <w:pPr>
        <w:spacing w:after="0" w:line="123" w:lineRule="exact"/>
        <w:rPr>
          <w:rFonts w:ascii="Arial" w:cs="Arial" w:eastAsia="Arial" w:hAnsi="Arial"/>
          <w:sz w:val="16"/>
          <w:szCs w:val="16"/>
          <w:color w:val="auto"/>
        </w:rPr>
      </w:pPr>
    </w:p>
    <w:p>
      <w:pPr>
        <w:ind w:left="360" w:hanging="292"/>
        <w:spacing w:after="0"/>
        <w:tabs>
          <w:tab w:leader="none" w:pos="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Effective whistleblower policy and program</w:t>
      </w:r>
    </w:p>
    <w:p>
      <w:pPr>
        <w:spacing w:after="0" w:line="123" w:lineRule="exact"/>
        <w:rPr>
          <w:rFonts w:ascii="Arial" w:cs="Arial" w:eastAsia="Arial" w:hAnsi="Arial"/>
          <w:sz w:val="16"/>
          <w:szCs w:val="16"/>
          <w:color w:val="auto"/>
        </w:rPr>
      </w:pPr>
    </w:p>
    <w:p>
      <w:pPr>
        <w:ind w:left="360" w:hanging="292"/>
        <w:spacing w:after="0"/>
        <w:tabs>
          <w:tab w:leader="none" w:pos="3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Annual Board and Committee self-evaluations</w:t>
      </w:r>
    </w:p>
    <w:p>
      <w:pPr>
        <w:spacing w:after="0" w:line="146" w:lineRule="exact"/>
        <w:rPr>
          <w:rFonts w:ascii="Arial" w:cs="Arial" w:eastAsia="Arial" w:hAnsi="Arial"/>
          <w:sz w:val="14"/>
          <w:szCs w:val="14"/>
          <w:color w:val="auto"/>
        </w:rPr>
      </w:pPr>
    </w:p>
    <w:p>
      <w:pPr>
        <w:ind w:left="360" w:hanging="292"/>
        <w:spacing w:after="0"/>
        <w:tabs>
          <w:tab w:leader="none" w:pos="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 poison pill</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jc w:val="center"/>
        <w:ind w:left="-54"/>
        <w:spacing w:after="0"/>
        <w:rPr>
          <w:sz w:val="20"/>
          <w:szCs w:val="20"/>
          <w:color w:val="auto"/>
        </w:rPr>
      </w:pPr>
      <w:r>
        <w:rPr>
          <w:rFonts w:ascii="Arial" w:cs="Arial" w:eastAsia="Arial" w:hAnsi="Arial"/>
          <w:sz w:val="13"/>
          <w:szCs w:val="13"/>
          <w:b w:val="1"/>
          <w:bCs w:val="1"/>
          <w:color w:val="FFFFFF"/>
        </w:rPr>
        <w:t>Compensation Program Best Practices</w:t>
      </w:r>
    </w:p>
    <w:p>
      <w:pPr>
        <w:spacing w:after="0" w:line="81" w:lineRule="exact"/>
        <w:rPr>
          <w:sz w:val="20"/>
          <w:szCs w:val="20"/>
          <w:color w:val="auto"/>
        </w:rPr>
      </w:pPr>
    </w:p>
    <w:p>
      <w:pPr>
        <w:ind w:left="315" w:right="300" w:hanging="315"/>
        <w:spacing w:after="0" w:line="275" w:lineRule="auto"/>
        <w:tabs>
          <w:tab w:leader="none" w:pos="291" w:val="left"/>
        </w:tabs>
        <w:numPr>
          <w:ilvl w:val="0"/>
          <w:numId w:val="6"/>
        </w:numPr>
        <w:rPr>
          <w:rFonts w:ascii="Arial" w:cs="Arial" w:eastAsia="Arial" w:hAnsi="Arial"/>
          <w:sz w:val="16"/>
          <w:szCs w:val="16"/>
          <w:color w:val="auto"/>
        </w:rPr>
      </w:pPr>
      <w:r>
        <w:rPr>
          <w:rFonts w:ascii="Arial" w:cs="Arial" w:eastAsia="Arial" w:hAnsi="Arial"/>
          <w:sz w:val="16"/>
          <w:szCs w:val="16"/>
          <w:color w:val="auto"/>
        </w:rPr>
        <w:t>Pay for performance by tying a substantial portion of executive compensation to performance goals</w:t>
      </w:r>
    </w:p>
    <w:p>
      <w:pPr>
        <w:spacing w:after="0" w:line="76" w:lineRule="exact"/>
        <w:rPr>
          <w:rFonts w:ascii="Arial" w:cs="Arial" w:eastAsia="Arial" w:hAnsi="Arial"/>
          <w:sz w:val="16"/>
          <w:szCs w:val="16"/>
          <w:color w:val="auto"/>
        </w:rPr>
      </w:pPr>
    </w:p>
    <w:p>
      <w:pPr>
        <w:ind w:left="315" w:hanging="315"/>
        <w:spacing w:after="0" w:line="289" w:lineRule="auto"/>
        <w:tabs>
          <w:tab w:leader="none" w:pos="291" w:val="left"/>
        </w:tabs>
        <w:numPr>
          <w:ilvl w:val="0"/>
          <w:numId w:val="6"/>
        </w:numPr>
        <w:rPr>
          <w:rFonts w:ascii="Arial" w:cs="Arial" w:eastAsia="Arial" w:hAnsi="Arial"/>
          <w:sz w:val="16"/>
          <w:szCs w:val="16"/>
          <w:color w:val="auto"/>
        </w:rPr>
      </w:pPr>
      <w:r>
        <w:rPr>
          <w:rFonts w:ascii="Arial" w:cs="Arial" w:eastAsia="Arial" w:hAnsi="Arial"/>
          <w:sz w:val="16"/>
          <w:szCs w:val="16"/>
          <w:color w:val="auto"/>
        </w:rPr>
        <w:t>Significant portion of compensation is variable and performance-based</w:t>
      </w:r>
    </w:p>
    <w:p>
      <w:pPr>
        <w:spacing w:after="0" w:line="65" w:lineRule="exact"/>
        <w:rPr>
          <w:rFonts w:ascii="Arial" w:cs="Arial" w:eastAsia="Arial" w:hAnsi="Arial"/>
          <w:sz w:val="16"/>
          <w:szCs w:val="16"/>
          <w:color w:val="auto"/>
        </w:rPr>
      </w:pPr>
    </w:p>
    <w:p>
      <w:pPr>
        <w:ind w:left="315" w:right="100" w:hanging="315"/>
        <w:spacing w:after="0" w:line="364" w:lineRule="auto"/>
        <w:tabs>
          <w:tab w:leader="none" w:pos="291" w:val="left"/>
        </w:tabs>
        <w:numPr>
          <w:ilvl w:val="0"/>
          <w:numId w:val="6"/>
        </w:numPr>
        <w:rPr>
          <w:rFonts w:ascii="Arial" w:cs="Arial" w:eastAsia="Arial" w:hAnsi="Arial"/>
          <w:sz w:val="14"/>
          <w:szCs w:val="14"/>
          <w:color w:val="auto"/>
        </w:rPr>
      </w:pPr>
      <w:r>
        <w:rPr>
          <w:rFonts w:ascii="Arial" w:cs="Arial" w:eastAsia="Arial" w:hAnsi="Arial"/>
          <w:sz w:val="14"/>
          <w:szCs w:val="14"/>
          <w:color w:val="auto"/>
        </w:rPr>
        <w:t>Significant stock ownership requirements (5x base salary for CEO, 2x for other NEOs)</w:t>
      </w:r>
    </w:p>
    <w:p>
      <w:pPr>
        <w:spacing w:after="0" w:line="19" w:lineRule="exact"/>
        <w:rPr>
          <w:rFonts w:ascii="Arial" w:cs="Arial" w:eastAsia="Arial" w:hAnsi="Arial"/>
          <w:sz w:val="14"/>
          <w:szCs w:val="14"/>
          <w:color w:val="auto"/>
        </w:rPr>
      </w:pPr>
    </w:p>
    <w:p>
      <w:pPr>
        <w:ind w:left="315" w:right="40" w:hanging="315"/>
        <w:spacing w:after="0" w:line="289" w:lineRule="auto"/>
        <w:tabs>
          <w:tab w:leader="none" w:pos="291" w:val="left"/>
        </w:tabs>
        <w:numPr>
          <w:ilvl w:val="0"/>
          <w:numId w:val="6"/>
        </w:numPr>
        <w:rPr>
          <w:rFonts w:ascii="Arial" w:cs="Arial" w:eastAsia="Arial" w:hAnsi="Arial"/>
          <w:sz w:val="16"/>
          <w:szCs w:val="16"/>
          <w:color w:val="auto"/>
        </w:rPr>
      </w:pPr>
      <w:r>
        <w:rPr>
          <w:rFonts w:ascii="Arial" w:cs="Arial" w:eastAsia="Arial" w:hAnsi="Arial"/>
          <w:sz w:val="16"/>
          <w:szCs w:val="16"/>
          <w:color w:val="auto"/>
        </w:rPr>
        <w:t>No employment or severance agreements with NEOs</w:t>
      </w:r>
    </w:p>
    <w:p>
      <w:pPr>
        <w:spacing w:after="0" w:line="65" w:lineRule="exact"/>
        <w:rPr>
          <w:rFonts w:ascii="Arial" w:cs="Arial" w:eastAsia="Arial" w:hAnsi="Arial"/>
          <w:sz w:val="16"/>
          <w:szCs w:val="16"/>
          <w:color w:val="auto"/>
        </w:rPr>
      </w:pPr>
    </w:p>
    <w:p>
      <w:pPr>
        <w:ind w:left="295" w:hanging="295"/>
        <w:spacing w:after="0"/>
        <w:tabs>
          <w:tab w:leader="none" w:pos="295" w:val="left"/>
        </w:tabs>
        <w:numPr>
          <w:ilvl w:val="0"/>
          <w:numId w:val="6"/>
        </w:numPr>
        <w:rPr>
          <w:rFonts w:ascii="Arial" w:cs="Arial" w:eastAsia="Arial" w:hAnsi="Arial"/>
          <w:sz w:val="15"/>
          <w:szCs w:val="15"/>
          <w:color w:val="auto"/>
        </w:rPr>
      </w:pPr>
      <w:r>
        <w:rPr>
          <w:rFonts w:ascii="Arial" w:cs="Arial" w:eastAsia="Arial" w:hAnsi="Arial"/>
          <w:sz w:val="15"/>
          <w:szCs w:val="15"/>
          <w:color w:val="auto"/>
        </w:rPr>
        <w:t>Anti-hedging and anti-pledging stock policies</w:t>
      </w:r>
    </w:p>
    <w:p>
      <w:pPr>
        <w:spacing w:after="0" w:line="135" w:lineRule="exact"/>
        <w:rPr>
          <w:rFonts w:ascii="Arial" w:cs="Arial" w:eastAsia="Arial" w:hAnsi="Arial"/>
          <w:sz w:val="15"/>
          <w:szCs w:val="15"/>
          <w:color w:val="auto"/>
        </w:rPr>
      </w:pPr>
    </w:p>
    <w:p>
      <w:pPr>
        <w:ind w:left="315" w:right="40" w:hanging="315"/>
        <w:spacing w:after="0" w:line="324" w:lineRule="auto"/>
        <w:tabs>
          <w:tab w:leader="none" w:pos="291" w:val="left"/>
        </w:tabs>
        <w:numPr>
          <w:ilvl w:val="0"/>
          <w:numId w:val="6"/>
        </w:numPr>
        <w:rPr>
          <w:rFonts w:ascii="Arial" w:cs="Arial" w:eastAsia="Arial" w:hAnsi="Arial"/>
          <w:sz w:val="15"/>
          <w:szCs w:val="15"/>
          <w:color w:val="auto"/>
        </w:rPr>
      </w:pPr>
      <w:r>
        <w:rPr>
          <w:rFonts w:ascii="Arial" w:cs="Arial" w:eastAsia="Arial" w:hAnsi="Arial"/>
          <w:sz w:val="15"/>
          <w:szCs w:val="15"/>
          <w:color w:val="auto"/>
        </w:rPr>
        <w:t>Regularly conduct assessments to identify and mitigate risk in compensation programs</w:t>
      </w:r>
    </w:p>
    <w:p>
      <w:pPr>
        <w:spacing w:after="0" w:line="42" w:lineRule="exact"/>
        <w:rPr>
          <w:rFonts w:ascii="Arial" w:cs="Arial" w:eastAsia="Arial" w:hAnsi="Arial"/>
          <w:sz w:val="15"/>
          <w:szCs w:val="15"/>
          <w:color w:val="auto"/>
        </w:rPr>
      </w:pPr>
    </w:p>
    <w:p>
      <w:pPr>
        <w:ind w:left="315" w:right="60" w:hanging="315"/>
        <w:spacing w:after="0" w:line="268" w:lineRule="auto"/>
        <w:tabs>
          <w:tab w:leader="none" w:pos="291" w:val="left"/>
        </w:tabs>
        <w:numPr>
          <w:ilvl w:val="0"/>
          <w:numId w:val="6"/>
        </w:numPr>
        <w:rPr>
          <w:rFonts w:ascii="Arial" w:cs="Arial" w:eastAsia="Arial" w:hAnsi="Arial"/>
          <w:sz w:val="16"/>
          <w:szCs w:val="16"/>
          <w:color w:val="auto"/>
        </w:rPr>
      </w:pPr>
      <w:r>
        <w:rPr>
          <w:rFonts w:ascii="Arial" w:cs="Arial" w:eastAsia="Arial" w:hAnsi="Arial"/>
          <w:sz w:val="16"/>
          <w:szCs w:val="16"/>
          <w:color w:val="auto"/>
        </w:rPr>
        <w:t>Evaluate executive compensation data and practices of our peer group companies as selected annually by the committee with guidance from the independent compensation consultant</w:t>
      </w:r>
    </w:p>
    <w:p>
      <w:pPr>
        <w:spacing w:after="0" w:line="82" w:lineRule="exact"/>
        <w:rPr>
          <w:rFonts w:ascii="Arial" w:cs="Arial" w:eastAsia="Arial" w:hAnsi="Arial"/>
          <w:sz w:val="16"/>
          <w:szCs w:val="16"/>
          <w:color w:val="auto"/>
        </w:rPr>
      </w:pPr>
    </w:p>
    <w:p>
      <w:pPr>
        <w:ind w:left="295" w:hanging="295"/>
        <w:spacing w:after="0"/>
        <w:tabs>
          <w:tab w:leader="none" w:pos="295" w:val="left"/>
        </w:tabs>
        <w:numPr>
          <w:ilvl w:val="0"/>
          <w:numId w:val="6"/>
        </w:numPr>
        <w:rPr>
          <w:rFonts w:ascii="Arial" w:cs="Arial" w:eastAsia="Arial" w:hAnsi="Arial"/>
          <w:sz w:val="15"/>
          <w:szCs w:val="15"/>
          <w:color w:val="auto"/>
        </w:rPr>
      </w:pPr>
      <w:r>
        <w:rPr>
          <w:rFonts w:ascii="Arial" w:cs="Arial" w:eastAsia="Arial" w:hAnsi="Arial"/>
          <w:sz w:val="15"/>
          <w:szCs w:val="15"/>
          <w:color w:val="auto"/>
        </w:rPr>
        <w:t>Double-trigger change-in-control provisions</w:t>
      </w:r>
    </w:p>
    <w:p>
      <w:pPr>
        <w:spacing w:after="0" w:line="135" w:lineRule="exact"/>
        <w:rPr>
          <w:rFonts w:ascii="Arial" w:cs="Arial" w:eastAsia="Arial" w:hAnsi="Arial"/>
          <w:sz w:val="15"/>
          <w:szCs w:val="15"/>
          <w:color w:val="auto"/>
        </w:rPr>
      </w:pPr>
    </w:p>
    <w:p>
      <w:pPr>
        <w:ind w:left="295" w:hanging="295"/>
        <w:spacing w:after="0"/>
        <w:tabs>
          <w:tab w:leader="none" w:pos="295" w:val="left"/>
        </w:tabs>
        <w:numPr>
          <w:ilvl w:val="0"/>
          <w:numId w:val="6"/>
        </w:numPr>
        <w:rPr>
          <w:rFonts w:ascii="Arial" w:cs="Arial" w:eastAsia="Arial" w:hAnsi="Arial"/>
          <w:sz w:val="16"/>
          <w:szCs w:val="16"/>
          <w:color w:val="auto"/>
        </w:rPr>
      </w:pPr>
      <w:r>
        <w:rPr>
          <w:rFonts w:ascii="Arial" w:cs="Arial" w:eastAsia="Arial" w:hAnsi="Arial"/>
          <w:sz w:val="16"/>
          <w:szCs w:val="16"/>
          <w:color w:val="auto"/>
        </w:rPr>
        <w:t>Independent compensation consultant</w:t>
      </w:r>
    </w:p>
    <w:p>
      <w:pPr>
        <w:spacing w:after="0" w:line="123" w:lineRule="exact"/>
        <w:rPr>
          <w:rFonts w:ascii="Arial" w:cs="Arial" w:eastAsia="Arial" w:hAnsi="Arial"/>
          <w:sz w:val="16"/>
          <w:szCs w:val="16"/>
          <w:color w:val="auto"/>
        </w:rPr>
      </w:pPr>
    </w:p>
    <w:p>
      <w:pPr>
        <w:ind w:left="295" w:hanging="295"/>
        <w:spacing w:after="0"/>
        <w:tabs>
          <w:tab w:leader="none" w:pos="295"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Formalized clawback policy</w:t>
      </w:r>
    </w:p>
    <w:p>
      <w:pPr>
        <w:spacing w:after="0" w:line="123" w:lineRule="exact"/>
        <w:rPr>
          <w:rFonts w:ascii="Arial" w:cs="Arial" w:eastAsia="Arial" w:hAnsi="Arial"/>
          <w:sz w:val="16"/>
          <w:szCs w:val="16"/>
          <w:color w:val="auto"/>
        </w:rPr>
      </w:pPr>
    </w:p>
    <w:p>
      <w:pPr>
        <w:ind w:left="295" w:hanging="295"/>
        <w:spacing w:after="0"/>
        <w:tabs>
          <w:tab w:leader="none" w:pos="295" w:val="left"/>
        </w:tabs>
        <w:numPr>
          <w:ilvl w:val="0"/>
          <w:numId w:val="6"/>
        </w:numPr>
        <w:rPr>
          <w:rFonts w:ascii="Arial" w:cs="Arial" w:eastAsia="Arial" w:hAnsi="Arial"/>
          <w:sz w:val="16"/>
          <w:szCs w:val="16"/>
          <w:color w:val="auto"/>
        </w:rPr>
      </w:pPr>
      <w:r>
        <w:rPr>
          <w:rFonts w:ascii="Arial" w:cs="Arial" w:eastAsia="Arial" w:hAnsi="Arial"/>
          <w:sz w:val="16"/>
          <w:szCs w:val="16"/>
          <w:color w:val="auto"/>
        </w:rPr>
        <w:t>No tax gross-ups</w:t>
      </w:r>
    </w:p>
    <w:p>
      <w:pPr>
        <w:spacing w:after="0" w:line="123" w:lineRule="exact"/>
        <w:rPr>
          <w:rFonts w:ascii="Arial" w:cs="Arial" w:eastAsia="Arial" w:hAnsi="Arial"/>
          <w:sz w:val="16"/>
          <w:szCs w:val="16"/>
          <w:color w:val="auto"/>
        </w:rPr>
      </w:pPr>
    </w:p>
    <w:p>
      <w:pPr>
        <w:ind w:left="295" w:hanging="295"/>
        <w:spacing w:after="0"/>
        <w:tabs>
          <w:tab w:leader="none" w:pos="295" w:val="left"/>
        </w:tabs>
        <w:numPr>
          <w:ilvl w:val="0"/>
          <w:numId w:val="6"/>
        </w:numPr>
        <w:rPr>
          <w:rFonts w:ascii="Arial" w:cs="Arial" w:eastAsia="Arial" w:hAnsi="Arial"/>
          <w:sz w:val="16"/>
          <w:szCs w:val="16"/>
          <w:color w:val="auto"/>
        </w:rPr>
      </w:pPr>
      <w:r>
        <w:rPr>
          <w:rFonts w:ascii="Arial" w:cs="Arial" w:eastAsia="Arial" w:hAnsi="Arial"/>
          <w:sz w:val="16"/>
          <w:szCs w:val="16"/>
          <w:color w:val="auto"/>
        </w:rPr>
        <w:t>No excessive perquisites</w:t>
      </w:r>
    </w:p>
    <w:p>
      <w:pPr>
        <w:spacing w:after="0" w:line="123" w:lineRule="exact"/>
        <w:rPr>
          <w:rFonts w:ascii="Arial" w:cs="Arial" w:eastAsia="Arial" w:hAnsi="Arial"/>
          <w:sz w:val="16"/>
          <w:szCs w:val="16"/>
          <w:color w:val="auto"/>
        </w:rPr>
      </w:pPr>
    </w:p>
    <w:p>
      <w:pPr>
        <w:ind w:left="295" w:hanging="295"/>
        <w:spacing w:after="0"/>
        <w:tabs>
          <w:tab w:leader="none" w:pos="295" w:val="left"/>
        </w:tabs>
        <w:numPr>
          <w:ilvl w:val="0"/>
          <w:numId w:val="6"/>
        </w:numPr>
        <w:rPr>
          <w:rFonts w:ascii="Arial" w:cs="Arial" w:eastAsia="Arial" w:hAnsi="Arial"/>
          <w:sz w:val="16"/>
          <w:szCs w:val="16"/>
          <w:color w:val="auto"/>
        </w:rPr>
      </w:pPr>
      <w:r>
        <w:rPr>
          <w:rFonts w:ascii="Arial" w:cs="Arial" w:eastAsia="Arial" w:hAnsi="Arial"/>
          <w:sz w:val="16"/>
          <w:szCs w:val="16"/>
          <w:color w:val="auto"/>
        </w:rPr>
        <w:t>No repricing of equity incentive awards</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1331"/>
        <w:spacing w:after="0"/>
        <w:rPr>
          <w:sz w:val="20"/>
          <w:szCs w:val="20"/>
          <w:color w:val="auto"/>
        </w:rPr>
      </w:pPr>
      <w:r>
        <w:rPr>
          <w:rFonts w:ascii="Arial" w:cs="Arial" w:eastAsia="Arial" w:hAnsi="Arial"/>
          <w:sz w:val="13"/>
          <w:szCs w:val="13"/>
          <w:b w:val="1"/>
          <w:bCs w:val="1"/>
          <w:color w:val="FFFFFF"/>
        </w:rPr>
        <w:t>Business Performance</w:t>
      </w:r>
    </w:p>
    <w:p>
      <w:pPr>
        <w:spacing w:after="0" w:line="81" w:lineRule="exact"/>
        <w:rPr>
          <w:sz w:val="20"/>
          <w:szCs w:val="20"/>
          <w:color w:val="auto"/>
        </w:rPr>
      </w:pPr>
    </w:p>
    <w:p>
      <w:pPr>
        <w:ind w:left="331" w:right="260" w:hanging="331"/>
        <w:spacing w:after="0" w:line="289" w:lineRule="auto"/>
        <w:tabs>
          <w:tab w:leader="none" w:pos="306" w:val="left"/>
        </w:tabs>
        <w:numPr>
          <w:ilvl w:val="0"/>
          <w:numId w:val="7"/>
        </w:numPr>
        <w:rPr>
          <w:rFonts w:ascii="Arial" w:cs="Arial" w:eastAsia="Arial" w:hAnsi="Arial"/>
          <w:sz w:val="16"/>
          <w:szCs w:val="16"/>
          <w:color w:val="auto"/>
        </w:rPr>
      </w:pPr>
      <w:r>
        <w:rPr>
          <w:rFonts w:ascii="Arial" w:cs="Arial" w:eastAsia="Arial" w:hAnsi="Arial"/>
          <w:sz w:val="16"/>
          <w:szCs w:val="16"/>
          <w:color w:val="auto"/>
        </w:rPr>
        <w:t>Earnings per common share for the full year of 2021 were $6.25</w:t>
      </w:r>
    </w:p>
    <w:p>
      <w:pPr>
        <w:spacing w:after="0" w:line="65" w:lineRule="exact"/>
        <w:rPr>
          <w:rFonts w:ascii="Arial" w:cs="Arial" w:eastAsia="Arial" w:hAnsi="Arial"/>
          <w:sz w:val="16"/>
          <w:szCs w:val="16"/>
          <w:color w:val="auto"/>
        </w:rPr>
      </w:pPr>
    </w:p>
    <w:p>
      <w:pPr>
        <w:ind w:left="331" w:right="380" w:hanging="331"/>
        <w:spacing w:after="0" w:line="364" w:lineRule="auto"/>
        <w:tabs>
          <w:tab w:leader="none" w:pos="306" w:val="left"/>
        </w:tabs>
        <w:numPr>
          <w:ilvl w:val="0"/>
          <w:numId w:val="7"/>
        </w:numPr>
        <w:rPr>
          <w:rFonts w:ascii="Arial" w:cs="Arial" w:eastAsia="Arial" w:hAnsi="Arial"/>
          <w:sz w:val="14"/>
          <w:szCs w:val="14"/>
          <w:color w:val="auto"/>
        </w:rPr>
      </w:pPr>
      <w:r>
        <w:rPr>
          <w:rFonts w:ascii="Arial" w:cs="Arial" w:eastAsia="Arial" w:hAnsi="Arial"/>
          <w:sz w:val="14"/>
          <w:szCs w:val="14"/>
          <w:color w:val="auto"/>
        </w:rPr>
        <w:t>Loans increased 3% from 2020; deposits increased 12%, to a new record high surpassing $20 billion</w:t>
      </w:r>
    </w:p>
    <w:p>
      <w:pPr>
        <w:spacing w:after="0" w:line="19" w:lineRule="exact"/>
        <w:rPr>
          <w:rFonts w:ascii="Arial" w:cs="Arial" w:eastAsia="Arial" w:hAnsi="Arial"/>
          <w:sz w:val="14"/>
          <w:szCs w:val="14"/>
          <w:color w:val="auto"/>
        </w:rPr>
      </w:pPr>
    </w:p>
    <w:p>
      <w:pPr>
        <w:ind w:left="331" w:right="280" w:hanging="331"/>
        <w:spacing w:after="0" w:line="289" w:lineRule="auto"/>
        <w:tabs>
          <w:tab w:leader="none" w:pos="304" w:val="left"/>
        </w:tabs>
        <w:numPr>
          <w:ilvl w:val="0"/>
          <w:numId w:val="7"/>
        </w:numPr>
        <w:rPr>
          <w:rFonts w:ascii="Arial" w:cs="Arial" w:eastAsia="Arial" w:hAnsi="Arial"/>
          <w:sz w:val="16"/>
          <w:szCs w:val="16"/>
          <w:color w:val="auto"/>
        </w:rPr>
      </w:pPr>
      <w:r>
        <w:rPr>
          <w:rFonts w:ascii="Arial" w:cs="Arial" w:eastAsia="Arial" w:hAnsi="Arial"/>
          <w:sz w:val="16"/>
          <w:szCs w:val="16"/>
          <w:color w:val="auto"/>
        </w:rPr>
        <w:t>Total Assets grew to new high and ended the year at $22.8 billion</w:t>
      </w:r>
    </w:p>
    <w:p>
      <w:pPr>
        <w:spacing w:after="0" w:line="65" w:lineRule="exact"/>
        <w:rPr>
          <w:rFonts w:ascii="Arial" w:cs="Arial" w:eastAsia="Arial" w:hAnsi="Arial"/>
          <w:sz w:val="16"/>
          <w:szCs w:val="16"/>
          <w:color w:val="auto"/>
        </w:rPr>
      </w:pPr>
    </w:p>
    <w:p>
      <w:pPr>
        <w:ind w:left="291" w:hanging="291"/>
        <w:spacing w:after="0"/>
        <w:tabs>
          <w:tab w:leader="none" w:pos="291" w:val="left"/>
        </w:tabs>
        <w:numPr>
          <w:ilvl w:val="0"/>
          <w:numId w:val="7"/>
        </w:numPr>
        <w:rPr>
          <w:rFonts w:ascii="Arial" w:cs="Arial" w:eastAsia="Arial" w:hAnsi="Arial"/>
          <w:sz w:val="16"/>
          <w:szCs w:val="16"/>
          <w:color w:val="auto"/>
        </w:rPr>
      </w:pPr>
      <w:r>
        <w:rPr>
          <w:rFonts w:ascii="Arial" w:cs="Arial" w:eastAsia="Arial" w:hAnsi="Arial"/>
          <w:sz w:val="16"/>
          <w:szCs w:val="16"/>
          <w:color w:val="auto"/>
        </w:rPr>
        <w:t>Asset quality, liquidity, and capital all remain strong</w:t>
      </w:r>
    </w:p>
    <w:p>
      <w:pPr>
        <w:spacing w:after="0" w:line="123" w:lineRule="exact"/>
        <w:rPr>
          <w:rFonts w:ascii="Arial" w:cs="Arial" w:eastAsia="Arial" w:hAnsi="Arial"/>
          <w:sz w:val="16"/>
          <w:szCs w:val="16"/>
          <w:color w:val="auto"/>
        </w:rPr>
      </w:pPr>
    </w:p>
    <w:p>
      <w:pPr>
        <w:ind w:left="331" w:hanging="331"/>
        <w:spacing w:after="0" w:line="270" w:lineRule="auto"/>
        <w:tabs>
          <w:tab w:leader="none" w:pos="306" w:val="left"/>
        </w:tabs>
        <w:numPr>
          <w:ilvl w:val="0"/>
          <w:numId w:val="7"/>
        </w:numPr>
        <w:rPr>
          <w:rFonts w:ascii="Arial" w:cs="Arial" w:eastAsia="Arial" w:hAnsi="Arial"/>
          <w:sz w:val="16"/>
          <w:szCs w:val="16"/>
          <w:color w:val="auto"/>
        </w:rPr>
      </w:pPr>
      <w:r>
        <w:rPr>
          <w:rFonts w:ascii="Arial" w:cs="Arial" w:eastAsia="Arial" w:hAnsi="Arial"/>
          <w:sz w:val="16"/>
          <w:szCs w:val="16"/>
          <w:color w:val="auto"/>
        </w:rPr>
        <w:t>Rated A2 “Baseline Credit Assessment” by Moody's Investors Service placing Bank of Hawaii a notch above the current U.S. bank median and 4 notches above the current global bank median</w:t>
      </w:r>
    </w:p>
    <w:p>
      <w:pPr>
        <w:spacing w:after="0" w:line="81" w:lineRule="exact"/>
        <w:rPr>
          <w:rFonts w:ascii="Arial" w:cs="Arial" w:eastAsia="Arial" w:hAnsi="Arial"/>
          <w:sz w:val="16"/>
          <w:szCs w:val="16"/>
          <w:color w:val="auto"/>
        </w:rPr>
      </w:pPr>
    </w:p>
    <w:p>
      <w:pPr>
        <w:ind w:left="331" w:right="60" w:hanging="331"/>
        <w:spacing w:after="0" w:line="331" w:lineRule="auto"/>
        <w:tabs>
          <w:tab w:leader="none" w:pos="306"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reported by the FDIC, Bank of Hawaii had the largest deposit share of any financial institution in the state of Hawaii, as well as the largest market share gain</w:t>
      </w:r>
    </w:p>
    <w:p>
      <w:pPr>
        <w:spacing w:after="0" w:line="42" w:lineRule="exact"/>
        <w:rPr>
          <w:rFonts w:ascii="Arial" w:cs="Arial" w:eastAsia="Arial" w:hAnsi="Arial"/>
          <w:sz w:val="14"/>
          <w:szCs w:val="14"/>
          <w:color w:val="auto"/>
        </w:rPr>
      </w:pPr>
    </w:p>
    <w:p>
      <w:pPr>
        <w:ind w:left="331" w:right="60" w:hanging="331"/>
        <w:spacing w:after="0" w:line="270" w:lineRule="auto"/>
        <w:tabs>
          <w:tab w:leader="none" w:pos="30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Bank of Hawaii Mililani Branch was selected as a 2021 Kukulu Hale Award in the New Commercial category by NAIOP Hawaii (National Association of Industrial and Office Properties)</w:t>
      </w:r>
    </w:p>
    <w:p>
      <w:pPr>
        <w:spacing w:after="0" w:line="81" w:lineRule="exact"/>
        <w:rPr>
          <w:rFonts w:ascii="Arial" w:cs="Arial" w:eastAsia="Arial" w:hAnsi="Arial"/>
          <w:sz w:val="16"/>
          <w:szCs w:val="16"/>
          <w:color w:val="auto"/>
        </w:rPr>
      </w:pPr>
    </w:p>
    <w:p>
      <w:pPr>
        <w:ind w:left="331" w:right="120" w:hanging="331"/>
        <w:spacing w:after="0" w:line="331" w:lineRule="auto"/>
        <w:tabs>
          <w:tab w:leader="none" w:pos="306"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Named Best Bank by the readers of the </w:t>
      </w:r>
      <w:r>
        <w:rPr>
          <w:rFonts w:ascii="Arial" w:cs="Arial" w:eastAsia="Arial" w:hAnsi="Arial"/>
          <w:sz w:val="14"/>
          <w:szCs w:val="14"/>
          <w:i w:val="1"/>
          <w:iCs w:val="1"/>
          <w:color w:val="auto"/>
        </w:rPr>
        <w:t>Honolulu Star-Advertiser</w:t>
      </w:r>
      <w:r>
        <w:rPr>
          <w:rFonts w:ascii="Arial" w:cs="Arial" w:eastAsia="Arial" w:hAnsi="Arial"/>
          <w:sz w:val="14"/>
          <w:szCs w:val="14"/>
          <w:color w:val="auto"/>
        </w:rPr>
        <w:t>,</w:t>
      </w:r>
      <w:r>
        <w:rPr>
          <w:rFonts w:ascii="Arial" w:cs="Arial" w:eastAsia="Arial" w:hAnsi="Arial"/>
          <w:sz w:val="14"/>
          <w:szCs w:val="14"/>
          <w:i w:val="1"/>
          <w:iCs w:val="1"/>
          <w:color w:val="auto"/>
        </w:rPr>
        <w:t xml:space="preserve"> Hawaii Tribune-Herald</w:t>
      </w:r>
      <w:r>
        <w:rPr>
          <w:rFonts w:ascii="Arial" w:cs="Arial" w:eastAsia="Arial" w:hAnsi="Arial"/>
          <w:sz w:val="14"/>
          <w:szCs w:val="14"/>
          <w:color w:val="auto"/>
        </w:rPr>
        <w:t>,</w:t>
      </w:r>
      <w:r>
        <w:rPr>
          <w:rFonts w:ascii="Arial" w:cs="Arial" w:eastAsia="Arial" w:hAnsi="Arial"/>
          <w:sz w:val="14"/>
          <w:szCs w:val="14"/>
          <w:i w:val="1"/>
          <w:iCs w:val="1"/>
          <w:color w:val="auto"/>
        </w:rPr>
        <w:t xml:space="preserve"> West Hawaii Today, and Hawaii Home + Remodeling Magazine</w:t>
      </w:r>
    </w:p>
    <w:p>
      <w:pPr>
        <w:spacing w:after="0" w:line="1045" w:lineRule="exact"/>
        <w:rPr>
          <w:sz w:val="20"/>
          <w:szCs w:val="20"/>
          <w:color w:val="auto"/>
        </w:rPr>
      </w:pPr>
    </w:p>
    <w:p>
      <w:pPr>
        <w:sectPr>
          <w:pgSz w:w="11900" w:h="16838" w:orient="portrait"/>
          <w:cols w:equalWidth="0" w:num="3">
            <w:col w:w="3400" w:space="265"/>
            <w:col w:w="3315" w:space="269"/>
            <w:col w:w="3931"/>
          </w:cols>
          <w:pgMar w:left="320" w:top="130" w:right="399" w:bottom="1440" w:gutter="0" w:footer="0" w:header="0"/>
          <w:type w:val="continuous"/>
        </w:sectPr>
      </w:pPr>
    </w:p>
    <w:p>
      <w:pPr>
        <w:ind w:right="60"/>
        <w:spacing w:after="0" w:line="289" w:lineRule="auto"/>
        <w:rPr>
          <w:sz w:val="20"/>
          <w:szCs w:val="20"/>
          <w:color w:val="auto"/>
        </w:rPr>
      </w:pPr>
      <w:r>
        <w:rPr>
          <w:rFonts w:ascii="Arial" w:cs="Arial" w:eastAsia="Arial" w:hAnsi="Arial"/>
          <w:sz w:val="16"/>
          <w:szCs w:val="16"/>
          <w:color w:val="auto"/>
        </w:rPr>
        <w:t>See “Corporate Governance” starting on page 18, “Compensation Discussion and Analysis” starting on page 36, and “Business and Performance Overview” starting on page 40.</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type w:val="continuous"/>
        </w:sectPr>
      </w:pPr>
    </w:p>
    <w:bookmarkStart w:id="7" w:name="page8"/>
    <w:bookmarkEnd w:id="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PROXY STATEMENT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GENERAL INFORMATION</w:t>
      </w:r>
    </w:p>
    <w:p>
      <w:pPr>
        <w:spacing w:after="0" w:line="235" w:lineRule="exact"/>
        <w:rPr>
          <w:sz w:val="20"/>
          <w:szCs w:val="20"/>
          <w:color w:val="auto"/>
        </w:rPr>
      </w:pPr>
    </w:p>
    <w:p>
      <w:pPr>
        <w:ind w:right="180" w:firstLine="546"/>
        <w:spacing w:after="0" w:line="275" w:lineRule="auto"/>
        <w:rPr>
          <w:sz w:val="20"/>
          <w:szCs w:val="20"/>
          <w:color w:val="auto"/>
        </w:rPr>
      </w:pPr>
      <w:r>
        <w:rPr>
          <w:rFonts w:ascii="Arial" w:cs="Arial" w:eastAsia="Arial" w:hAnsi="Arial"/>
          <w:sz w:val="16"/>
          <w:szCs w:val="16"/>
          <w:color w:val="auto"/>
        </w:rPr>
        <w:t>The Board of Directors (the “Board”) of Bank of Hawaii Corporation is soliciting the enclosed proxy for the Company's 2022 Annual Meeting of Shareholders (the “Annual Meeting”). The proxy statement, proxy card, and the Company's Annual Report to Shareholders and Annual Report on Form 10-K are being distributed to the Company's shareholders on or about March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2272030</wp:posOffset>
            </wp:positionH>
            <wp:positionV relativeFrom="paragraph">
              <wp:posOffset>131445</wp:posOffset>
            </wp:positionV>
            <wp:extent cx="25984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8420" cy="8255"/>
                    </a:xfrm>
                    <a:prstGeom prst="rect">
                      <a:avLst/>
                    </a:prstGeom>
                    <a:noFill/>
                  </pic:spPr>
                </pic:pic>
              </a:graphicData>
            </a:graphic>
          </wp:anchor>
        </w:drawing>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QUESTIONS AND ANSWERS ABOUT THE PROXY MATERIALS AND THE ANNUAL MEETING</w:t>
      </w:r>
    </w:p>
    <w:p>
      <w:pPr>
        <w:spacing w:after="0" w:line="235" w:lineRule="exact"/>
        <w:rPr>
          <w:sz w:val="20"/>
          <w:szCs w:val="20"/>
          <w:color w:val="auto"/>
        </w:rPr>
      </w:pPr>
    </w:p>
    <w:p>
      <w:pPr>
        <w:ind w:left="540" w:hanging="533"/>
        <w:spacing w:after="0"/>
        <w:tabs>
          <w:tab w:leader="none" w:pos="540" w:val="left"/>
        </w:tabs>
        <w:numPr>
          <w:ilvl w:val="0"/>
          <w:numId w:val="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What is a proxy?</w:t>
      </w:r>
    </w:p>
    <w:p>
      <w:pPr>
        <w:spacing w:after="0" w:line="231" w:lineRule="exact"/>
        <w:rPr>
          <w:sz w:val="20"/>
          <w:szCs w:val="20"/>
          <w:color w:val="auto"/>
        </w:rPr>
      </w:pPr>
    </w:p>
    <w:p>
      <w:pPr>
        <w:ind w:left="540" w:hanging="533"/>
        <w:spacing w:after="0" w:line="270" w:lineRule="auto"/>
        <w:tabs>
          <w:tab w:leader="none" w:pos="54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A proxy is your legal designation of another person to vote the shares you own. That other person that you designate is called a proxy and is required to vote your shares in the manner you instruct. If you designate someone as your proxy in a written document, that document also is called a proxy or a proxy card. If you vote by phone or via the Internet, you will have designated Patrick M. McGuirk and/or Russell Lum to act as your proxy to vote your shares at the Annual Meeting in the manner you direct.</w:t>
      </w:r>
    </w:p>
    <w:p>
      <w:pPr>
        <w:spacing w:after="0" w:line="188" w:lineRule="exact"/>
        <w:rPr>
          <w:sz w:val="20"/>
          <w:szCs w:val="20"/>
          <w:color w:val="auto"/>
        </w:rPr>
      </w:pPr>
    </w:p>
    <w:p>
      <w:pPr>
        <w:ind w:left="540" w:hanging="533"/>
        <w:spacing w:after="0"/>
        <w:tabs>
          <w:tab w:leader="none" w:pos="540" w:val="left"/>
        </w:tabs>
        <w:numPr>
          <w:ilvl w:val="0"/>
          <w:numId w:val="1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How many shares must be present to hold the annual meeting?</w:t>
      </w:r>
    </w:p>
    <w:p>
      <w:pPr>
        <w:spacing w:after="0" w:line="231" w:lineRule="exact"/>
        <w:rPr>
          <w:sz w:val="20"/>
          <w:szCs w:val="20"/>
          <w:color w:val="auto"/>
        </w:rPr>
      </w:pPr>
    </w:p>
    <w:p>
      <w:pPr>
        <w:ind w:left="540" w:right="200" w:hanging="533"/>
        <w:spacing w:after="0" w:line="270" w:lineRule="auto"/>
        <w:tabs>
          <w:tab w:leader="none" w:pos="54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 xml:space="preserve">The holders of at least one-third of the Company’s outstanding common stock on the Record Date entitled to vote at the annual meeting must be represented, in person or by proxy, to conduct business. That amount is called a </w:t>
      </w:r>
      <w:r>
        <w:rPr>
          <w:rFonts w:ascii="Arial" w:cs="Arial" w:eastAsia="Arial" w:hAnsi="Arial"/>
          <w:sz w:val="16"/>
          <w:szCs w:val="16"/>
          <w:i w:val="1"/>
          <w:iCs w:val="1"/>
          <w:color w:val="auto"/>
        </w:rPr>
        <w:t>quorum</w:t>
      </w:r>
      <w:r>
        <w:rPr>
          <w:rFonts w:ascii="Arial" w:cs="Arial" w:eastAsia="Arial" w:hAnsi="Arial"/>
          <w:sz w:val="16"/>
          <w:szCs w:val="16"/>
          <w:color w:val="auto"/>
        </w:rPr>
        <w:t>. Shares are counted as present at the meeting if a shareholder entitled to vote is present at the meeting, or has submitted a properly signed proxy in writing, or by voting by telephone or via the Internet. We also count abstentions and broker non-votes as present for purposes of determining a quorum.</w:t>
      </w:r>
    </w:p>
    <w:p>
      <w:pPr>
        <w:spacing w:after="0" w:line="188" w:lineRule="exact"/>
        <w:rPr>
          <w:sz w:val="20"/>
          <w:szCs w:val="20"/>
          <w:color w:val="auto"/>
        </w:rPr>
      </w:pPr>
    </w:p>
    <w:p>
      <w:pPr>
        <w:ind w:left="540" w:hanging="533"/>
        <w:spacing w:after="0"/>
        <w:tabs>
          <w:tab w:leader="none" w:pos="540" w:val="left"/>
        </w:tabs>
        <w:numPr>
          <w:ilvl w:val="0"/>
          <w:numId w:val="1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Why did I receive a one-page notice (the “Notice”) in the mail regarding the Internet availability of proxy materials instead of a full set of proxy materials?</w:t>
      </w:r>
    </w:p>
    <w:p>
      <w:pPr>
        <w:spacing w:after="0" w:line="254" w:lineRule="exact"/>
        <w:rPr>
          <w:sz w:val="20"/>
          <w:szCs w:val="20"/>
          <w:color w:val="auto"/>
        </w:rPr>
      </w:pPr>
    </w:p>
    <w:p>
      <w:pPr>
        <w:ind w:left="540" w:right="160" w:hanging="533"/>
        <w:spacing w:after="0" w:line="315" w:lineRule="auto"/>
        <w:tabs>
          <w:tab w:leader="none" w:pos="540" w:val="left"/>
        </w:tabs>
        <w:numPr>
          <w:ilvl w:val="0"/>
          <w:numId w:val="13"/>
        </w:numPr>
        <w:rPr>
          <w:rFonts w:ascii="Arial" w:cs="Arial" w:eastAsia="Arial" w:hAnsi="Arial"/>
          <w:sz w:val="14"/>
          <w:szCs w:val="14"/>
          <w:b w:val="1"/>
          <w:bCs w:val="1"/>
          <w:color w:val="auto"/>
        </w:rPr>
      </w:pPr>
      <w:r>
        <w:rPr>
          <w:rFonts w:ascii="Arial" w:cs="Arial" w:eastAsia="Arial" w:hAnsi="Arial"/>
          <w:sz w:val="14"/>
          <w:szCs w:val="14"/>
          <w:color w:val="auto"/>
        </w:rPr>
        <w:t>The rules and regulations of the Securities and Exchange Commission (the “SEC”) allow companies to furnish proxy materials by providing access to such documents on the Internet instead of mailing a printed copy of proxy materials to each shareholder of record. Shareholders who previously requested to receive printed copies of proxy materials by mail will continue to receive them by mail. Shareholders who have not previously indicated a preference for printed copies of proxy materials are receiving the Notice. The Notice provides instructions on how to access and review all of the proxy materials and how to submit your proxy via the Internet. If you would like to receive a printed or e-mail copy of the proxy materials, please follow the instructions for requesting such materials in the Notice.</w:t>
      </w:r>
    </w:p>
    <w:p>
      <w:pPr>
        <w:spacing w:after="0" w:line="160" w:lineRule="exact"/>
        <w:rPr>
          <w:sz w:val="20"/>
          <w:szCs w:val="20"/>
          <w:color w:val="auto"/>
        </w:rPr>
      </w:pPr>
    </w:p>
    <w:p>
      <w:pPr>
        <w:ind w:left="540" w:hanging="533"/>
        <w:spacing w:after="0"/>
        <w:tabs>
          <w:tab w:leader="none" w:pos="540" w:val="left"/>
        </w:tabs>
        <w:numPr>
          <w:ilvl w:val="0"/>
          <w:numId w:val="1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What are the voting procedures?</w:t>
      </w:r>
    </w:p>
    <w:p>
      <w:pPr>
        <w:spacing w:after="0" w:line="231" w:lineRule="exact"/>
        <w:rPr>
          <w:sz w:val="20"/>
          <w:szCs w:val="20"/>
          <w:color w:val="auto"/>
        </w:rPr>
      </w:pPr>
    </w:p>
    <w:p>
      <w:pPr>
        <w:ind w:left="540" w:right="280" w:hanging="533"/>
        <w:spacing w:after="0" w:line="302" w:lineRule="auto"/>
        <w:tabs>
          <w:tab w:leader="none" w:pos="540" w:val="left"/>
        </w:tabs>
        <w:numPr>
          <w:ilvl w:val="0"/>
          <w:numId w:val="15"/>
        </w:numPr>
        <w:rPr>
          <w:rFonts w:ascii="Arial" w:cs="Arial" w:eastAsia="Arial" w:hAnsi="Arial"/>
          <w:sz w:val="14"/>
          <w:szCs w:val="14"/>
          <w:b w:val="1"/>
          <w:bCs w:val="1"/>
          <w:color w:val="auto"/>
        </w:rPr>
      </w:pPr>
      <w:r>
        <w:rPr>
          <w:rFonts w:ascii="Arial" w:cs="Arial" w:eastAsia="Arial" w:hAnsi="Arial"/>
          <w:sz w:val="14"/>
          <w:szCs w:val="14"/>
          <w:color w:val="auto"/>
        </w:rPr>
        <w:t>Under our Certificate of Incorporation, Directors are elected annually by majority of votes cast (Proposal 1). This means that a director is elected if the number of votes cast for the nominee exceeds the number of votes cast against the nominee. In the event of a contested election, the election is determined by plurality</w:t>
      </w:r>
    </w:p>
    <w:p>
      <w:pPr>
        <w:ind w:left="540" w:right="20"/>
        <w:spacing w:after="0" w:line="283" w:lineRule="auto"/>
        <w:rPr>
          <w:rFonts w:ascii="Arial" w:cs="Arial" w:eastAsia="Arial" w:hAnsi="Arial"/>
          <w:sz w:val="14"/>
          <w:szCs w:val="14"/>
          <w:b w:val="1"/>
          <w:bCs w:val="1"/>
          <w:color w:val="auto"/>
        </w:rPr>
      </w:pPr>
      <w:r>
        <w:rPr>
          <w:rFonts w:ascii="Arial" w:cs="Arial" w:eastAsia="Arial" w:hAnsi="Arial"/>
          <w:sz w:val="16"/>
          <w:szCs w:val="16"/>
          <w:color w:val="auto"/>
        </w:rPr>
        <w:t>vote. This means that the nominees who receive the highest number of affirmative votes are elected. Abstentions and broker non-votes do not affect the outcome of a plurality vote.</w:t>
      </w:r>
    </w:p>
    <w:p>
      <w:pPr>
        <w:spacing w:after="0" w:line="176" w:lineRule="exact"/>
        <w:rPr>
          <w:rFonts w:ascii="Arial" w:cs="Arial" w:eastAsia="Arial" w:hAnsi="Arial"/>
          <w:sz w:val="14"/>
          <w:szCs w:val="14"/>
          <w:b w:val="1"/>
          <w:bCs w:val="1"/>
          <w:color w:val="auto"/>
        </w:rPr>
      </w:pPr>
    </w:p>
    <w:p>
      <w:pPr>
        <w:ind w:left="560" w:right="120"/>
        <w:spacing w:after="0" w:line="270" w:lineRule="auto"/>
        <w:rPr>
          <w:rFonts w:ascii="Arial" w:cs="Arial" w:eastAsia="Arial" w:hAnsi="Arial"/>
          <w:sz w:val="14"/>
          <w:szCs w:val="14"/>
          <w:b w:val="1"/>
          <w:bCs w:val="1"/>
          <w:color w:val="auto"/>
        </w:rPr>
      </w:pPr>
      <w:r>
        <w:rPr>
          <w:rFonts w:ascii="Arial" w:cs="Arial" w:eastAsia="Arial" w:hAnsi="Arial"/>
          <w:sz w:val="16"/>
          <w:szCs w:val="16"/>
          <w:color w:val="auto"/>
        </w:rPr>
        <w:t>The advisory vote on executive compensation (Proposal 2) and the advisory vote on the ratification of the reappointment of our independent registered public accounting firm (Proposal 3) are also decided by a majority of votes cast. For Proposals 1 and 2, broker non-votes will be treated as not entitled to vote and will not affect the outcome. For Proposal 3, your broker, bank, trustee, or other nominee may exercise its discretion and vote. Abstentions will have the same effect as votes cast against the proposal.</w:t>
      </w:r>
    </w:p>
    <w:p>
      <w:pPr>
        <w:spacing w:after="0" w:line="188" w:lineRule="exact"/>
        <w:rPr>
          <w:sz w:val="20"/>
          <w:szCs w:val="20"/>
          <w:color w:val="auto"/>
        </w:rPr>
      </w:pPr>
    </w:p>
    <w:p>
      <w:pPr>
        <w:ind w:left="560" w:right="40"/>
        <w:spacing w:after="0" w:line="289" w:lineRule="auto"/>
        <w:rPr>
          <w:sz w:val="20"/>
          <w:szCs w:val="20"/>
          <w:color w:val="auto"/>
        </w:rPr>
      </w:pPr>
      <w:r>
        <w:rPr>
          <w:rFonts w:ascii="Arial" w:cs="Arial" w:eastAsia="Arial" w:hAnsi="Arial"/>
          <w:sz w:val="16"/>
          <w:szCs w:val="16"/>
          <w:color w:val="auto"/>
        </w:rPr>
        <w:t>Holders of our common stock are entitled to one vote per share of common stock held on the Record Date. The outstanding shares of Series A Preferred Stock are not entitled to any voting rights for any current proposal.</w:t>
      </w:r>
    </w:p>
    <w:p>
      <w:pPr>
        <w:spacing w:after="0" w:line="172" w:lineRule="exact"/>
        <w:rPr>
          <w:sz w:val="20"/>
          <w:szCs w:val="20"/>
          <w:color w:val="auto"/>
        </w:rPr>
      </w:pPr>
    </w:p>
    <w:p>
      <w:pPr>
        <w:ind w:left="540" w:hanging="533"/>
        <w:spacing w:after="0"/>
        <w:tabs>
          <w:tab w:leader="none" w:pos="540" w:val="left"/>
        </w:tabs>
        <w:numPr>
          <w:ilvl w:val="0"/>
          <w:numId w:val="1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May I change my vote?</w:t>
      </w:r>
    </w:p>
    <w:p>
      <w:pPr>
        <w:spacing w:after="0" w:line="231" w:lineRule="exact"/>
        <w:rPr>
          <w:sz w:val="20"/>
          <w:szCs w:val="20"/>
          <w:color w:val="auto"/>
        </w:rPr>
      </w:pPr>
    </w:p>
    <w:p>
      <w:pPr>
        <w:ind w:left="540" w:right="620" w:hanging="533"/>
        <w:spacing w:after="0" w:line="289" w:lineRule="auto"/>
        <w:tabs>
          <w:tab w:leader="none" w:pos="54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Yes. You may change your proxy instructions any time before the vote at the Annual Meeting. Attendance at the virtual Annual Meeting will not cause your previously granted proxy to be revoked unless you also vote at the meeting.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540" w:hanging="533"/>
        <w:spacing w:after="0"/>
        <w:tabs>
          <w:tab w:leader="none" w:pos="540" w:val="left"/>
        </w:tabs>
        <w:numPr>
          <w:ilvl w:val="0"/>
          <w:numId w:val="1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What is a broker non-vote?</w:t>
      </w:r>
    </w:p>
    <w:p>
      <w:pPr>
        <w:spacing w:after="0" w:line="231" w:lineRule="exact"/>
        <w:rPr>
          <w:sz w:val="20"/>
          <w:szCs w:val="20"/>
          <w:color w:val="auto"/>
        </w:rPr>
      </w:pPr>
    </w:p>
    <w:p>
      <w:pPr>
        <w:ind w:left="540" w:right="60" w:hanging="533"/>
        <w:spacing w:after="0" w:line="284" w:lineRule="auto"/>
        <w:tabs>
          <w:tab w:leader="none" w:pos="540" w:val="left"/>
        </w:tabs>
        <w:numPr>
          <w:ilvl w:val="0"/>
          <w:numId w:val="19"/>
        </w:numPr>
        <w:rPr>
          <w:rFonts w:ascii="Arial" w:cs="Arial" w:eastAsia="Arial" w:hAnsi="Arial"/>
          <w:sz w:val="15"/>
          <w:szCs w:val="15"/>
          <w:b w:val="1"/>
          <w:bCs w:val="1"/>
          <w:color w:val="auto"/>
        </w:rPr>
      </w:pPr>
      <w:r>
        <w:rPr>
          <w:rFonts w:ascii="Arial" w:cs="Arial" w:eastAsia="Arial" w:hAnsi="Arial"/>
          <w:sz w:val="15"/>
          <w:szCs w:val="15"/>
          <w:color w:val="auto"/>
        </w:rPr>
        <w:t>The New York Stock Exchange (“NYSE”) allows its member-brokers to vote shares held by them for their customers on matters the NYSE determines are routine, even though the brokers have not received voting instructions from their customers. Of the proposals anticipated to be brought at the annual meeting, only Proposal 3 (the ratification of the re-appointment of Ernst &amp; Young LLP as the Company's independent registered public accounting firm for the 2022 fiscal year) is considered by the NYSE to be a routine matter. Your broker, therefore, may vote your shares in its discretion on Proposal 3 if you do not instruct your broker how to vote. If the NYSE does not consider a matter routine, then your broker is prohibited from voting your shares on the matter unless you have given voting instructions on that matter to your broker. Therefore, your broker will need to return a proxy card without voting on these non-routine matters if you do not give voting instructions with respect to these matters. This is referred to as a “broker non-vote.” The NYSE does not consider Proposal 1 (election of Directors) and Proposal 2 (advisory vote on executive compensation) to be routine matters, so your broker may not vote on these matters in its discretion. It is important, therefore, that you provide instructions to your broker if your shares are held by a broker so that your vote is counted with respect to these non-routine matters.</w:t>
      </w:r>
    </w:p>
    <w:p>
      <w:pPr>
        <w:spacing w:after="0" w:line="183" w:lineRule="exact"/>
        <w:rPr>
          <w:sz w:val="20"/>
          <w:szCs w:val="20"/>
          <w:color w:val="auto"/>
        </w:rPr>
      </w:pPr>
    </w:p>
    <w:p>
      <w:pPr>
        <w:ind w:left="540" w:hanging="533"/>
        <w:spacing w:after="0"/>
        <w:tabs>
          <w:tab w:leader="none" w:pos="540" w:val="left"/>
        </w:tabs>
        <w:numPr>
          <w:ilvl w:val="0"/>
          <w:numId w:val="2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Why are we holding a virtual Annual Meeting?</w:t>
      </w:r>
    </w:p>
    <w:p>
      <w:pPr>
        <w:spacing w:after="0" w:line="231" w:lineRule="exact"/>
        <w:rPr>
          <w:sz w:val="20"/>
          <w:szCs w:val="20"/>
          <w:color w:val="auto"/>
        </w:rPr>
      </w:pPr>
    </w:p>
    <w:p>
      <w:pPr>
        <w:ind w:left="540" w:right="20" w:hanging="533"/>
        <w:spacing w:after="0" w:line="270" w:lineRule="auto"/>
        <w:tabs>
          <w:tab w:leader="none" w:pos="54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We believe that it is best to hold a virtual only Annual Meeting via webcast this year given the continuing global health concerns associated with the COVID-19 pandemic. In addition, a virtual meeting provides broad and convenient access to the Annual Meeting and enables participation by our shareholders in a cost reducing and environmentally friendly way. The virtual Annual Meeting will allow our shareholders to ask questions and to vote. The Company fully intends to return to an in-person meeting when it is safe to do so.</w:t>
      </w:r>
    </w:p>
    <w:p>
      <w:pPr>
        <w:spacing w:after="0" w:line="188" w:lineRule="exact"/>
        <w:rPr>
          <w:sz w:val="20"/>
          <w:szCs w:val="20"/>
          <w:color w:val="auto"/>
        </w:rPr>
      </w:pPr>
    </w:p>
    <w:p>
      <w:pPr>
        <w:ind w:left="540" w:hanging="533"/>
        <w:spacing w:after="0"/>
        <w:tabs>
          <w:tab w:leader="none" w:pos="540" w:val="left"/>
        </w:tabs>
        <w:numPr>
          <w:ilvl w:val="0"/>
          <w:numId w:val="2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How can I attend the Annual Meeting virtually on the Internet?</w:t>
      </w:r>
    </w:p>
    <w:p>
      <w:pPr>
        <w:spacing w:after="0" w:line="231" w:lineRule="exact"/>
        <w:rPr>
          <w:sz w:val="20"/>
          <w:szCs w:val="20"/>
          <w:color w:val="auto"/>
        </w:rPr>
      </w:pPr>
    </w:p>
    <w:p>
      <w:pPr>
        <w:ind w:left="540" w:right="140" w:hanging="533"/>
        <w:spacing w:after="0" w:line="270" w:lineRule="auto"/>
        <w:tabs>
          <w:tab w:leader="none" w:pos="540"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The Annual Shareholders’ Meeting will be virtual and conducted by webcast. You are entitled to participate in the Annual Meeting only if you were a shareholder of the Company at the close of business on February 28, 2022. An in-person meeting will not be held. You will be able to attend the Annual Meeting online and submit your questions during the meeting by visiting www.meetnow.global/MFQZ9X7. To participate in the Annual Meeting, you will need to review the information included on your Notice, proxy card or the instructions that accompanied your proxy materials.</w:t>
      </w:r>
    </w:p>
    <w:p>
      <w:pPr>
        <w:spacing w:after="0" w:line="188" w:lineRule="exact"/>
        <w:rPr>
          <w:rFonts w:ascii="Arial" w:cs="Arial" w:eastAsia="Arial" w:hAnsi="Arial"/>
          <w:sz w:val="16"/>
          <w:szCs w:val="16"/>
          <w:b w:val="1"/>
          <w:bCs w:val="1"/>
          <w:color w:val="auto"/>
        </w:rPr>
      </w:pPr>
    </w:p>
    <w:p>
      <w:pPr>
        <w:ind w:left="560" w:right="260"/>
        <w:spacing w:after="0" w:line="289" w:lineRule="auto"/>
        <w:rPr>
          <w:rFonts w:ascii="Arial" w:cs="Arial" w:eastAsia="Arial" w:hAnsi="Arial"/>
          <w:sz w:val="16"/>
          <w:szCs w:val="16"/>
          <w:b w:val="1"/>
          <w:bCs w:val="1"/>
          <w:color w:val="auto"/>
        </w:rPr>
      </w:pPr>
      <w:r>
        <w:rPr>
          <w:rFonts w:ascii="Arial" w:cs="Arial" w:eastAsia="Arial" w:hAnsi="Arial"/>
          <w:sz w:val="16"/>
          <w:szCs w:val="16"/>
          <w:color w:val="auto"/>
        </w:rPr>
        <w:t>The online meeting will begin promptly at 8:30 a.m. Hawaii Standard Time. We encourage you to access the virtual meeting website prior to the start time to leave ample time for check-in. Please follow the instructions as outlined in this proxy statement.</w:t>
      </w:r>
    </w:p>
    <w:p>
      <w:pPr>
        <w:spacing w:after="0" w:line="172" w:lineRule="exact"/>
        <w:rPr>
          <w:rFonts w:ascii="Arial" w:cs="Arial" w:eastAsia="Arial" w:hAnsi="Arial"/>
          <w:sz w:val="16"/>
          <w:szCs w:val="16"/>
          <w:b w:val="1"/>
          <w:bCs w:val="1"/>
          <w:color w:val="auto"/>
        </w:rPr>
      </w:pPr>
    </w:p>
    <w:p>
      <w:pPr>
        <w:ind w:left="560" w:right="460"/>
        <w:spacing w:after="0" w:line="289" w:lineRule="auto"/>
        <w:rPr>
          <w:rFonts w:ascii="Arial" w:cs="Arial" w:eastAsia="Arial" w:hAnsi="Arial"/>
          <w:sz w:val="16"/>
          <w:szCs w:val="16"/>
          <w:b w:val="1"/>
          <w:bCs w:val="1"/>
          <w:color w:val="auto"/>
        </w:rPr>
      </w:pPr>
      <w:r>
        <w:rPr>
          <w:rFonts w:ascii="Arial" w:cs="Arial" w:eastAsia="Arial" w:hAnsi="Arial"/>
          <w:sz w:val="16"/>
          <w:szCs w:val="16"/>
          <w:color w:val="auto"/>
        </w:rPr>
        <w:t>If you hold your shares through a bank or broker as a beneficial shareholder, and want to attend the Annual Meeting online by webcast (with the ability to ask a question and/or vote, if you choose to do so) you have two options:</w:t>
      </w:r>
    </w:p>
    <w:p>
      <w:pPr>
        <w:spacing w:after="0" w:line="172" w:lineRule="exact"/>
        <w:rPr>
          <w:rFonts w:ascii="Arial" w:cs="Arial" w:eastAsia="Arial" w:hAnsi="Arial"/>
          <w:sz w:val="16"/>
          <w:szCs w:val="16"/>
          <w:b w:val="1"/>
          <w:bCs w:val="1"/>
          <w:color w:val="auto"/>
        </w:rPr>
      </w:pPr>
    </w:p>
    <w:p>
      <w:pPr>
        <w:ind w:left="1080" w:hanging="538"/>
        <w:spacing w:after="0"/>
        <w:tabs>
          <w:tab w:leader="none" w:pos="10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Registration in Advance of the Annual Meeting</w:t>
      </w:r>
    </w:p>
    <w:p>
      <w:pPr>
        <w:spacing w:after="0" w:line="231" w:lineRule="exact"/>
        <w:rPr>
          <w:sz w:val="20"/>
          <w:szCs w:val="20"/>
          <w:color w:val="auto"/>
        </w:rPr>
      </w:pPr>
    </w:p>
    <w:p>
      <w:pPr>
        <w:ind w:left="560" w:right="80"/>
        <w:spacing w:after="0" w:line="270" w:lineRule="auto"/>
        <w:rPr>
          <w:sz w:val="20"/>
          <w:szCs w:val="20"/>
          <w:color w:val="auto"/>
        </w:rPr>
      </w:pPr>
      <w:r>
        <w:rPr>
          <w:rFonts w:ascii="Arial" w:cs="Arial" w:eastAsia="Arial" w:hAnsi="Arial"/>
          <w:sz w:val="16"/>
          <w:szCs w:val="16"/>
          <w:color w:val="auto"/>
        </w:rPr>
        <w:t>Submit proof of your proxy power (“Legal Proxy”) from your broker or bank reflecting your Bank of Hawaii Corporation holdings along with your name and email address to Computershare. Requests for registration must be labeled “Legal Proxy” and be received no later than 5:00 p.m. Eastern Time, on April 26, 2022. You will receive a confirmation of your registration by email after Computershare receives your registration materials. Requests for registration should be directed to Computershare at the following: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340" w:type="dxa"/>
            <w:vAlign w:val="bottom"/>
          </w:tcPr>
          <w:p>
            <w:pPr>
              <w:ind w:left="560"/>
              <w:spacing w:after="0"/>
              <w:rPr>
                <w:sz w:val="20"/>
                <w:szCs w:val="20"/>
                <w:color w:val="auto"/>
              </w:rPr>
            </w:pPr>
            <w:r>
              <w:rPr>
                <w:rFonts w:ascii="Arial" w:cs="Arial" w:eastAsia="Arial" w:hAnsi="Arial"/>
                <w:sz w:val="16"/>
                <w:szCs w:val="16"/>
                <w:color w:val="auto"/>
              </w:rPr>
              <w:t>By email:</w:t>
            </w:r>
          </w:p>
        </w:tc>
        <w:tc>
          <w:tcPr>
            <w:tcW w:w="9920" w:type="dxa"/>
            <w:vAlign w:val="bottom"/>
          </w:tcPr>
          <w:p>
            <w:pPr>
              <w:ind w:left="160"/>
              <w:spacing w:after="0"/>
              <w:rPr>
                <w:sz w:val="20"/>
                <w:szCs w:val="20"/>
                <w:color w:val="auto"/>
              </w:rPr>
            </w:pPr>
            <w:r>
              <w:rPr>
                <w:rFonts w:ascii="Arial" w:cs="Arial" w:eastAsia="Arial" w:hAnsi="Arial"/>
                <w:sz w:val="16"/>
                <w:szCs w:val="16"/>
                <w:color w:val="auto"/>
              </w:rPr>
              <w:t>Forward the email from your broker granting you a Legal Proxy, or attach an image of your Legal Proxy, to</w:t>
            </w:r>
          </w:p>
        </w:tc>
      </w:tr>
      <w:tr>
        <w:trPr>
          <w:trHeight w:val="205"/>
        </w:trPr>
        <w:tc>
          <w:tcPr>
            <w:tcW w:w="1340" w:type="dxa"/>
            <w:vAlign w:val="bottom"/>
          </w:tcPr>
          <w:p>
            <w:pPr>
              <w:spacing w:after="0"/>
              <w:rPr>
                <w:sz w:val="17"/>
                <w:szCs w:val="17"/>
                <w:color w:val="auto"/>
              </w:rPr>
            </w:pPr>
          </w:p>
        </w:tc>
        <w:tc>
          <w:tcPr>
            <w:tcW w:w="9920" w:type="dxa"/>
            <w:vAlign w:val="bottom"/>
          </w:tcPr>
          <w:p>
            <w:pPr>
              <w:ind w:left="160"/>
              <w:spacing w:after="0"/>
              <w:rPr>
                <w:sz w:val="20"/>
                <w:szCs w:val="20"/>
                <w:color w:val="auto"/>
              </w:rPr>
            </w:pPr>
            <w:r>
              <w:rPr>
                <w:rFonts w:ascii="Arial" w:cs="Arial" w:eastAsia="Arial" w:hAnsi="Arial"/>
                <w:sz w:val="16"/>
                <w:szCs w:val="16"/>
                <w:color w:val="auto"/>
              </w:rPr>
              <w:t>legalproxy@computershare.com</w:t>
            </w:r>
          </w:p>
        </w:tc>
      </w:tr>
      <w:tr>
        <w:trPr>
          <w:trHeight w:val="397"/>
        </w:trPr>
        <w:tc>
          <w:tcPr>
            <w:tcW w:w="1340" w:type="dxa"/>
            <w:vAlign w:val="bottom"/>
          </w:tcPr>
          <w:p>
            <w:pPr>
              <w:ind w:left="560"/>
              <w:spacing w:after="0"/>
              <w:rPr>
                <w:sz w:val="20"/>
                <w:szCs w:val="20"/>
                <w:color w:val="auto"/>
              </w:rPr>
            </w:pPr>
            <w:r>
              <w:rPr>
                <w:rFonts w:ascii="Arial" w:cs="Arial" w:eastAsia="Arial" w:hAnsi="Arial"/>
                <w:sz w:val="16"/>
                <w:szCs w:val="16"/>
                <w:color w:val="auto"/>
              </w:rPr>
              <w:t>By mail:</w:t>
            </w:r>
          </w:p>
        </w:tc>
        <w:tc>
          <w:tcPr>
            <w:tcW w:w="9920" w:type="dxa"/>
            <w:vAlign w:val="bottom"/>
          </w:tcPr>
          <w:p>
            <w:pPr>
              <w:ind w:left="160"/>
              <w:spacing w:after="0"/>
              <w:rPr>
                <w:sz w:val="20"/>
                <w:szCs w:val="20"/>
                <w:color w:val="auto"/>
              </w:rPr>
            </w:pPr>
            <w:r>
              <w:rPr>
                <w:rFonts w:ascii="Arial" w:cs="Arial" w:eastAsia="Arial" w:hAnsi="Arial"/>
                <w:sz w:val="16"/>
                <w:szCs w:val="16"/>
                <w:color w:val="auto"/>
              </w:rPr>
              <w:t>Computershare</w:t>
            </w:r>
          </w:p>
        </w:tc>
      </w:tr>
      <w:tr>
        <w:trPr>
          <w:trHeight w:val="201"/>
        </w:trPr>
        <w:tc>
          <w:tcPr>
            <w:tcW w:w="1340" w:type="dxa"/>
            <w:vAlign w:val="bottom"/>
          </w:tcPr>
          <w:p>
            <w:pPr>
              <w:spacing w:after="0"/>
              <w:rPr>
                <w:sz w:val="17"/>
                <w:szCs w:val="17"/>
                <w:color w:val="auto"/>
              </w:rPr>
            </w:pPr>
          </w:p>
        </w:tc>
        <w:tc>
          <w:tcPr>
            <w:tcW w:w="9920" w:type="dxa"/>
            <w:vAlign w:val="bottom"/>
          </w:tcPr>
          <w:p>
            <w:pPr>
              <w:ind w:left="160"/>
              <w:spacing w:after="0"/>
              <w:rPr>
                <w:sz w:val="20"/>
                <w:szCs w:val="20"/>
                <w:color w:val="auto"/>
              </w:rPr>
            </w:pPr>
            <w:r>
              <w:rPr>
                <w:rFonts w:ascii="Arial" w:cs="Arial" w:eastAsia="Arial" w:hAnsi="Arial"/>
                <w:sz w:val="16"/>
                <w:szCs w:val="16"/>
                <w:color w:val="auto"/>
              </w:rPr>
              <w:t>Bank of Hawaii Legal Proxy</w:t>
            </w:r>
          </w:p>
        </w:tc>
      </w:tr>
      <w:tr>
        <w:trPr>
          <w:trHeight w:val="201"/>
        </w:trPr>
        <w:tc>
          <w:tcPr>
            <w:tcW w:w="1340" w:type="dxa"/>
            <w:vAlign w:val="bottom"/>
          </w:tcPr>
          <w:p>
            <w:pPr>
              <w:spacing w:after="0"/>
              <w:rPr>
                <w:sz w:val="17"/>
                <w:szCs w:val="17"/>
                <w:color w:val="auto"/>
              </w:rPr>
            </w:pPr>
          </w:p>
        </w:tc>
        <w:tc>
          <w:tcPr>
            <w:tcW w:w="9920" w:type="dxa"/>
            <w:vAlign w:val="bottom"/>
          </w:tcPr>
          <w:p>
            <w:pPr>
              <w:ind w:left="160"/>
              <w:spacing w:after="0"/>
              <w:rPr>
                <w:sz w:val="20"/>
                <w:szCs w:val="20"/>
                <w:color w:val="auto"/>
              </w:rPr>
            </w:pPr>
            <w:r>
              <w:rPr>
                <w:rFonts w:ascii="Arial" w:cs="Arial" w:eastAsia="Arial" w:hAnsi="Arial"/>
                <w:sz w:val="16"/>
                <w:szCs w:val="16"/>
                <w:color w:val="auto"/>
              </w:rPr>
              <w:t>P.O. Box 43001</w:t>
            </w:r>
          </w:p>
        </w:tc>
      </w:tr>
      <w:tr>
        <w:trPr>
          <w:trHeight w:val="205"/>
        </w:trPr>
        <w:tc>
          <w:tcPr>
            <w:tcW w:w="1340" w:type="dxa"/>
            <w:vAlign w:val="bottom"/>
          </w:tcPr>
          <w:p>
            <w:pPr>
              <w:spacing w:after="0"/>
              <w:rPr>
                <w:sz w:val="17"/>
                <w:szCs w:val="17"/>
                <w:color w:val="auto"/>
              </w:rPr>
            </w:pPr>
          </w:p>
        </w:tc>
        <w:tc>
          <w:tcPr>
            <w:tcW w:w="9920" w:type="dxa"/>
            <w:vAlign w:val="bottom"/>
          </w:tcPr>
          <w:p>
            <w:pPr>
              <w:ind w:left="160"/>
              <w:spacing w:after="0"/>
              <w:rPr>
                <w:sz w:val="20"/>
                <w:szCs w:val="20"/>
                <w:color w:val="auto"/>
              </w:rPr>
            </w:pPr>
            <w:r>
              <w:rPr>
                <w:rFonts w:ascii="Arial" w:cs="Arial" w:eastAsia="Arial" w:hAnsi="Arial"/>
                <w:sz w:val="16"/>
                <w:szCs w:val="16"/>
                <w:color w:val="auto"/>
              </w:rPr>
              <w:t>Providence, RI 02940-3001</w:t>
            </w:r>
          </w:p>
        </w:tc>
      </w:tr>
      <w:tr>
        <w:trPr>
          <w:trHeight w:val="642"/>
        </w:trPr>
        <w:tc>
          <w:tcPr>
            <w:tcW w:w="1340" w:type="dxa"/>
            <w:vAlign w:val="bottom"/>
          </w:tcPr>
          <w:p>
            <w:pPr>
              <w:spacing w:after="0"/>
              <w:rPr>
                <w:sz w:val="24"/>
                <w:szCs w:val="24"/>
                <w:color w:val="auto"/>
              </w:rPr>
            </w:pPr>
          </w:p>
        </w:tc>
        <w:tc>
          <w:tcPr>
            <w:tcW w:w="9920" w:type="dxa"/>
            <w:vAlign w:val="bottom"/>
          </w:tcPr>
          <w:p>
            <w:pPr>
              <w:ind w:left="4240"/>
              <w:spacing w:after="0"/>
              <w:rPr>
                <w:sz w:val="20"/>
                <w:szCs w:val="20"/>
                <w:color w:val="auto"/>
              </w:rPr>
            </w:pPr>
            <w:r>
              <w:rPr>
                <w:rFonts w:ascii="Arial" w:cs="Arial" w:eastAsia="Arial" w:hAnsi="Arial"/>
                <w:sz w:val="16"/>
                <w:szCs w:val="16"/>
                <w:color w:val="auto"/>
              </w:rPr>
              <w:t>4</w:t>
            </w:r>
          </w:p>
        </w:tc>
      </w:tr>
      <w:tr>
        <w:trPr>
          <w:trHeight w:val="119"/>
        </w:trPr>
        <w:tc>
          <w:tcPr>
            <w:tcW w:w="1340" w:type="dxa"/>
            <w:vAlign w:val="bottom"/>
            <w:tcBorders>
              <w:bottom w:val="single" w:sz="8" w:color="9A9A9A"/>
            </w:tcBorders>
          </w:tcPr>
          <w:p>
            <w:pPr>
              <w:spacing w:after="0"/>
              <w:rPr>
                <w:sz w:val="10"/>
                <w:szCs w:val="10"/>
                <w:color w:val="auto"/>
              </w:rPr>
            </w:pPr>
          </w:p>
        </w:tc>
        <w:tc>
          <w:tcPr>
            <w:tcW w:w="9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1080" w:hanging="538"/>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Register at the Annual Meeting</w:t>
      </w:r>
    </w:p>
    <w:p>
      <w:pPr>
        <w:spacing w:after="0" w:line="231" w:lineRule="exact"/>
        <w:rPr>
          <w:sz w:val="20"/>
          <w:szCs w:val="20"/>
          <w:color w:val="auto"/>
        </w:rPr>
      </w:pPr>
    </w:p>
    <w:p>
      <w:pPr>
        <w:ind w:left="560" w:right="20"/>
        <w:spacing w:after="0" w:line="288" w:lineRule="auto"/>
        <w:rPr>
          <w:sz w:val="20"/>
          <w:szCs w:val="20"/>
          <w:color w:val="auto"/>
        </w:rPr>
      </w:pPr>
      <w:r>
        <w:rPr>
          <w:rFonts w:ascii="Arial" w:cs="Arial" w:eastAsia="Arial" w:hAnsi="Arial"/>
          <w:sz w:val="15"/>
          <w:szCs w:val="15"/>
          <w:color w:val="auto"/>
        </w:rPr>
        <w:t>For the 2022 proxy season, an industry solution has been agreed upon to allow beneficial shareholders to register online at the Annual Meeting to attend, ask questions and vote. We expect that the vast majority of beneficial shareholders will be able to fully participate using the control number received with their voting instruction form. Please note, however, that this option is intended to be provided as a convenience to beneficial shareholders only, and there is no guarantee this option will be available for every type of beneficial shareholder voting control number. The inability to provide this option to any or all beneficial shareholders shall in no way impact the validity of the Annual Meeting. Beneficial shareholders may choose the Register in Advance of the Annual Meeting option above, if they prefer to use this traditional, paper-based option. You may vote your shares as usual via ProxyVote.com.</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any event, please go to www.meetnow.global/MFQZ9X7 for more information on the available options and registration instructions.</w:t>
      </w:r>
    </w:p>
    <w:p>
      <w:pPr>
        <w:spacing w:after="0" w:line="231" w:lineRule="exact"/>
        <w:rPr>
          <w:sz w:val="20"/>
          <w:szCs w:val="20"/>
          <w:color w:val="auto"/>
        </w:rPr>
      </w:pPr>
    </w:p>
    <w:p>
      <w:pPr>
        <w:ind w:left="540" w:hanging="533"/>
        <w:spacing w:after="0"/>
        <w:tabs>
          <w:tab w:leader="none" w:pos="540" w:val="left"/>
        </w:tabs>
        <w:numPr>
          <w:ilvl w:val="0"/>
          <w:numId w:val="2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What if I have trouble accessing the Annual Meeting virtually?</w:t>
      </w:r>
    </w:p>
    <w:p>
      <w:pPr>
        <w:spacing w:after="0" w:line="231" w:lineRule="exact"/>
        <w:rPr>
          <w:sz w:val="20"/>
          <w:szCs w:val="20"/>
          <w:color w:val="auto"/>
        </w:rPr>
      </w:pPr>
    </w:p>
    <w:p>
      <w:pPr>
        <w:ind w:left="540" w:right="140" w:hanging="533"/>
        <w:spacing w:after="0" w:line="275" w:lineRule="auto"/>
        <w:tabs>
          <w:tab w:leader="none" w:pos="540"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The virtual meeting platform is fully supported across browsers (Internet Explorer, Firefox, Chrome and Safari) and devices (desktops, laptops, tablets and cell phones). Please ensure you have a strong internet connection prior to joining the meeting virtually and join the meeting several minutes prior to the start time. There will be a link on the meeting page for further assistance should you need it, or you may call:</w:t>
      </w:r>
    </w:p>
    <w:p>
      <w:pPr>
        <w:spacing w:after="0" w:line="179"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Computershare</w:t>
      </w:r>
    </w:p>
    <w:p>
      <w:pPr>
        <w:spacing w:after="0" w:line="25"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1-888-724-2416</w:t>
      </w:r>
    </w:p>
    <w:p>
      <w:pPr>
        <w:spacing w:after="0" w:line="17"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1-781-575-2748</w:t>
      </w:r>
    </w:p>
    <w:p>
      <w:pPr>
        <w:spacing w:after="0" w:line="17"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Hours: 8:30 a.m. - 6:00 p.m. Eastern Time</w:t>
      </w:r>
    </w:p>
    <w:p>
      <w:pPr>
        <w:spacing w:after="0" w:line="226" w:lineRule="exact"/>
        <w:rPr>
          <w:sz w:val="20"/>
          <w:szCs w:val="20"/>
          <w:color w:val="auto"/>
        </w:rPr>
      </w:pPr>
    </w:p>
    <w:p>
      <w:pPr>
        <w:ind w:left="540" w:hanging="533"/>
        <w:spacing w:after="0"/>
        <w:tabs>
          <w:tab w:leader="none" w:pos="540" w:val="left"/>
        </w:tabs>
        <w:numPr>
          <w:ilvl w:val="0"/>
          <w:numId w:val="2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May I propose actions for consideration at next year's annual meeting of shareholders?</w:t>
      </w:r>
    </w:p>
    <w:p>
      <w:pPr>
        <w:spacing w:after="0" w:line="231" w:lineRule="exact"/>
        <w:rPr>
          <w:sz w:val="20"/>
          <w:szCs w:val="20"/>
          <w:color w:val="auto"/>
        </w:rPr>
      </w:pPr>
    </w:p>
    <w:p>
      <w:pPr>
        <w:ind w:left="540" w:right="200" w:hanging="533"/>
        <w:spacing w:after="0" w:line="289" w:lineRule="auto"/>
        <w:tabs>
          <w:tab w:leader="none" w:pos="540" w:val="left"/>
        </w:tabs>
        <w:numPr>
          <w:ilvl w:val="0"/>
          <w:numId w:val="28"/>
        </w:numPr>
        <w:rPr>
          <w:rFonts w:ascii="Arial" w:cs="Arial" w:eastAsia="Arial" w:hAnsi="Arial"/>
          <w:sz w:val="16"/>
          <w:szCs w:val="16"/>
          <w:b w:val="1"/>
          <w:bCs w:val="1"/>
          <w:color w:val="auto"/>
        </w:rPr>
      </w:pPr>
      <w:r>
        <w:rPr>
          <w:rFonts w:ascii="Arial" w:cs="Arial" w:eastAsia="Arial" w:hAnsi="Arial"/>
          <w:sz w:val="16"/>
          <w:szCs w:val="16"/>
          <w:color w:val="auto"/>
        </w:rPr>
        <w:t>Yes. You may submit proposals for consideration at the 2023 Annual Meeting of Shareholders by presenting your proposal in writing to the Corporate Secretary at 130 Merchant Street, Honolulu, Hawaii 96813 and in accordance with the following schedule and requirements.</w:t>
      </w:r>
    </w:p>
    <w:p>
      <w:pPr>
        <w:spacing w:after="0" w:line="168" w:lineRule="exact"/>
        <w:rPr>
          <w:rFonts w:ascii="Arial" w:cs="Arial" w:eastAsia="Arial" w:hAnsi="Arial"/>
          <w:sz w:val="16"/>
          <w:szCs w:val="16"/>
          <w:b w:val="1"/>
          <w:bCs w:val="1"/>
          <w:color w:val="auto"/>
        </w:rPr>
      </w:pPr>
    </w:p>
    <w:p>
      <w:pPr>
        <w:jc w:val="both"/>
        <w:ind w:left="560" w:right="120"/>
        <w:spacing w:after="0" w:line="277"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Proposals To Be Included In The Proxy Statement and Voted On At The Meeting. </w:t>
      </w:r>
      <w:r>
        <w:rPr>
          <w:rFonts w:ascii="Arial" w:cs="Arial" w:eastAsia="Arial" w:hAnsi="Arial"/>
          <w:sz w:val="16"/>
          <w:szCs w:val="16"/>
          <w:color w:val="auto"/>
        </w:rPr>
        <w:t>Proposals that shareholders wish to have included in the proxy statement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2023 Annual Meeting of Shareholders must be made in accordance with SEC Rule 14a-8. Proposals must be received by the Company's Corporate Secretary on or before November 18, 2022, at the above address.</w:t>
      </w:r>
    </w:p>
    <w:p>
      <w:pPr>
        <w:spacing w:after="0" w:line="178" w:lineRule="exact"/>
        <w:rPr>
          <w:rFonts w:ascii="Arial" w:cs="Arial" w:eastAsia="Arial" w:hAnsi="Arial"/>
          <w:sz w:val="16"/>
          <w:szCs w:val="16"/>
          <w:b w:val="1"/>
          <w:bCs w:val="1"/>
          <w:color w:val="auto"/>
        </w:rPr>
      </w:pPr>
    </w:p>
    <w:p>
      <w:pPr>
        <w:ind w:left="560"/>
        <w:spacing w:after="0" w:line="265"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Proposals To Be Voted On At The Meeting Only. </w:t>
      </w:r>
      <w:r>
        <w:rPr>
          <w:rFonts w:ascii="Arial" w:cs="Arial" w:eastAsia="Arial" w:hAnsi="Arial"/>
          <w:sz w:val="16"/>
          <w:szCs w:val="16"/>
          <w:color w:val="auto"/>
        </w:rPr>
        <w:t>Under Section 1.12 of the Company's Bylaws, for a shareholder to bring a proposal before the 2023 Annual</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the Company must receive the written proposal not later than 80 days nor earlier than 90 days before the first anniversary of the 2022 annual meeting; in other words, not earlier than January 29, 2023, and no later than February 8, 2023. The proposal also must contain the information required in the Bylaws. If you wish to make one or more nominations for election to the Board, the required information includes, among other things, the written consent of such individual to serve as director and (i) the name, age, business address and, if known, residence address of each nominee, (ii) the principal occupation or employment of each nominee, and (iii) the number of shares of Bank of Hawaii Corporation common stock each nominee beneficially owns. These advance notice provisions are separate from the requirements a shareholder must meet to have a proposal included in the proxy statement under SEC rules. By complying with these provisions, a shareholder may present a proposal in person at the meeting, but will not be entitled to have the proposal included in the Company's proxy statement unless they comply with the requirements described in the preceding paragraph. Persons holding proxies solicited by the Board may exercise discretionary authority to vote against such proposals.</w:t>
      </w:r>
    </w:p>
    <w:p>
      <w:pPr>
        <w:spacing w:after="0" w:line="193" w:lineRule="exact"/>
        <w:rPr>
          <w:sz w:val="20"/>
          <w:szCs w:val="20"/>
          <w:color w:val="auto"/>
        </w:rPr>
      </w:pPr>
    </w:p>
    <w:p>
      <w:pPr>
        <w:ind w:left="540" w:hanging="533"/>
        <w:spacing w:after="0"/>
        <w:tabs>
          <w:tab w:leader="none" w:pos="540" w:val="left"/>
        </w:tabs>
        <w:numPr>
          <w:ilvl w:val="0"/>
          <w:numId w:val="2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Where can I find the voting results of the Annual Meeting?</w:t>
      </w:r>
    </w:p>
    <w:p>
      <w:pPr>
        <w:spacing w:after="0" w:line="231" w:lineRule="exact"/>
        <w:rPr>
          <w:sz w:val="20"/>
          <w:szCs w:val="20"/>
          <w:color w:val="auto"/>
        </w:rPr>
      </w:pPr>
    </w:p>
    <w:p>
      <w:pPr>
        <w:ind w:left="540" w:right="120" w:hanging="533"/>
        <w:spacing w:after="0" w:line="289" w:lineRule="auto"/>
        <w:tabs>
          <w:tab w:leader="none" w:pos="540" w:val="left"/>
        </w:tabs>
        <w:numPr>
          <w:ilvl w:val="0"/>
          <w:numId w:val="30"/>
        </w:numPr>
        <w:rPr>
          <w:rFonts w:ascii="Arial" w:cs="Arial" w:eastAsia="Arial" w:hAnsi="Arial"/>
          <w:sz w:val="16"/>
          <w:szCs w:val="16"/>
          <w:b w:val="1"/>
          <w:bCs w:val="1"/>
          <w:color w:val="auto"/>
        </w:rPr>
      </w:pPr>
      <w:r>
        <w:rPr>
          <w:rFonts w:ascii="Arial" w:cs="Arial" w:eastAsia="Arial" w:hAnsi="Arial"/>
          <w:sz w:val="16"/>
          <w:szCs w:val="16"/>
          <w:color w:val="auto"/>
        </w:rPr>
        <w:t>We plan to announce preliminary voting results at the Annual Meeting. We will publish final voting results in a report on Form 8-K within four business days of the Annual Meeting.</w:t>
      </w:r>
    </w:p>
    <w:p>
      <w:pPr>
        <w:spacing w:after="0" w:line="172" w:lineRule="exact"/>
        <w:rPr>
          <w:sz w:val="20"/>
          <w:szCs w:val="20"/>
          <w:color w:val="auto"/>
        </w:rPr>
      </w:pPr>
    </w:p>
    <w:p>
      <w:pPr>
        <w:ind w:left="540" w:hanging="533"/>
        <w:spacing w:after="0"/>
        <w:tabs>
          <w:tab w:leader="none" w:pos="540" w:val="left"/>
        </w:tabs>
        <w:numPr>
          <w:ilvl w:val="0"/>
          <w:numId w:val="3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What happens if the meeting is postponed or adjourned?</w:t>
      </w:r>
    </w:p>
    <w:p>
      <w:pPr>
        <w:spacing w:after="0" w:line="231" w:lineRule="exact"/>
        <w:rPr>
          <w:sz w:val="20"/>
          <w:szCs w:val="20"/>
          <w:color w:val="auto"/>
        </w:rPr>
      </w:pPr>
    </w:p>
    <w:p>
      <w:pPr>
        <w:ind w:left="540" w:hanging="533"/>
        <w:spacing w:after="0"/>
        <w:tabs>
          <w:tab w:leader="none" w:pos="540" w:val="left"/>
        </w:tabs>
        <w:numPr>
          <w:ilvl w:val="0"/>
          <w:numId w:val="32"/>
        </w:numPr>
        <w:rPr>
          <w:rFonts w:ascii="Arial" w:cs="Arial" w:eastAsia="Arial" w:hAnsi="Arial"/>
          <w:sz w:val="15"/>
          <w:szCs w:val="15"/>
          <w:b w:val="1"/>
          <w:bCs w:val="1"/>
          <w:color w:val="auto"/>
        </w:rPr>
      </w:pPr>
      <w:r>
        <w:rPr>
          <w:rFonts w:ascii="Arial" w:cs="Arial" w:eastAsia="Arial" w:hAnsi="Arial"/>
          <w:sz w:val="15"/>
          <w:szCs w:val="15"/>
          <w:color w:val="auto"/>
        </w:rPr>
        <w:t>Your proxy will remain valid and may be voted at the postponed or adjourned meeting. You will still be able to change or revoke your proxy until it is voted.</w:t>
      </w:r>
    </w:p>
    <w:p>
      <w:pPr>
        <w:spacing w:after="0" w:line="200" w:lineRule="exact"/>
        <w:rPr>
          <w:rFonts w:ascii="Arial" w:cs="Arial" w:eastAsia="Arial" w:hAnsi="Arial"/>
          <w:sz w:val="15"/>
          <w:szCs w:val="15"/>
          <w:b w:val="1"/>
          <w:bCs w:val="1"/>
          <w:color w:val="auto"/>
        </w:rPr>
      </w:pPr>
    </w:p>
    <w:p>
      <w:pPr>
        <w:spacing w:after="0" w:line="242" w:lineRule="exact"/>
        <w:rPr>
          <w:rFonts w:ascii="Arial" w:cs="Arial" w:eastAsia="Arial" w:hAnsi="Arial"/>
          <w:sz w:val="15"/>
          <w:szCs w:val="15"/>
          <w:b w:val="1"/>
          <w:bCs w:val="1"/>
          <w:color w:val="auto"/>
        </w:rPr>
      </w:pPr>
    </w:p>
    <w:p>
      <w:pPr>
        <w:ind w:left="5580"/>
        <w:spacing w:after="0"/>
        <w:rPr>
          <w:rFonts w:ascii="Arial" w:cs="Arial" w:eastAsia="Arial" w:hAnsi="Arial"/>
          <w:sz w:val="15"/>
          <w:szCs w:val="15"/>
          <w:b w:val="1"/>
          <w:bCs w:val="1"/>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PROPOSAL 1: ELECTION OF DIRECTORS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BOARD OF DIRECTORS</w:t>
      </w:r>
    </w:p>
    <w:p>
      <w:pPr>
        <w:spacing w:after="0" w:line="235" w:lineRule="exact"/>
        <w:rPr>
          <w:sz w:val="20"/>
          <w:szCs w:val="20"/>
          <w:color w:val="auto"/>
        </w:rPr>
      </w:pPr>
    </w:p>
    <w:p>
      <w:pPr>
        <w:ind w:firstLine="546"/>
        <w:spacing w:after="0" w:line="328" w:lineRule="auto"/>
        <w:rPr>
          <w:sz w:val="20"/>
          <w:szCs w:val="20"/>
          <w:color w:val="auto"/>
        </w:rPr>
      </w:pPr>
      <w:r>
        <w:rPr>
          <w:rFonts w:ascii="Arial" w:cs="Arial" w:eastAsia="Arial" w:hAnsi="Arial"/>
          <w:sz w:val="14"/>
          <w:szCs w:val="14"/>
          <w:color w:val="auto"/>
        </w:rPr>
        <w:t>The Company’s Certificate of Incorporation requires that the Company’s Board consist of not fewer than three directors and not more than 15 directors, with the exact number to be determined by the Board. On October 22, 2021, the Board fixed the number of directors for election at the annual meeting at 14. Each of the 14 directors listed</w:t>
      </w:r>
    </w:p>
    <w:p>
      <w:pPr>
        <w:spacing w:after="0" w:line="1" w:lineRule="exact"/>
        <w:rPr>
          <w:sz w:val="20"/>
          <w:szCs w:val="20"/>
          <w:color w:val="auto"/>
        </w:rPr>
      </w:pPr>
    </w:p>
    <w:p>
      <w:pPr>
        <w:ind w:right="320"/>
        <w:spacing w:after="0" w:line="301" w:lineRule="auto"/>
        <w:rPr>
          <w:sz w:val="20"/>
          <w:szCs w:val="20"/>
          <w:color w:val="auto"/>
        </w:rPr>
      </w:pPr>
      <w:r>
        <w:rPr>
          <w:rFonts w:ascii="Arial" w:cs="Arial" w:eastAsia="Arial" w:hAnsi="Arial"/>
          <w:sz w:val="15"/>
          <w:szCs w:val="15"/>
          <w:color w:val="auto"/>
        </w:rPr>
        <w:t>below has been nominated for a one-year term to serve until the 2023 Annual Meeting of Shareholders and until his or her successor is elected and qualified or until the director’s earlier resignation, removal, death or disqualification. In the event that any or all of the director nominees are unable to stand for election as director, the Board, upon the recommendation of the Nominating &amp; Corporate Governance Committee, may select different nominees for election as directors.</w:t>
      </w:r>
    </w:p>
    <w:p>
      <w:pPr>
        <w:spacing w:after="0" w:line="167" w:lineRule="exact"/>
        <w:rPr>
          <w:sz w:val="20"/>
          <w:szCs w:val="20"/>
          <w:color w:val="auto"/>
        </w:rPr>
      </w:pPr>
    </w:p>
    <w:p>
      <w:pPr>
        <w:ind w:right="20" w:firstLine="546"/>
        <w:spacing w:after="0" w:line="286" w:lineRule="auto"/>
        <w:rPr>
          <w:sz w:val="20"/>
          <w:szCs w:val="20"/>
          <w:color w:val="auto"/>
        </w:rPr>
      </w:pPr>
      <w:r>
        <w:rPr>
          <w:rFonts w:ascii="Arial" w:cs="Arial" w:eastAsia="Arial" w:hAnsi="Arial"/>
          <w:sz w:val="15"/>
          <w:szCs w:val="15"/>
          <w:color w:val="auto"/>
        </w:rPr>
        <w:t>Certain information with respect to each of the nominees is set forth below, including his or her principal occupation, qualifications, and directorships during the past five years. Each nominee has consented to serve and all nominees are currently serving on the Company’s Board. The nominees were each recommended to the Board by the Company’s Nominating &amp; Corporate Governance Committee whose goal is to assemble a board that operates cohesively, encourages candid communication and discussion, and focuses on activities that help the Company create sustainable long-term growth and maximize shareholder value. The Nominating &amp; Corporate Governance Committee also looks at the individual strengths of directors, their ability to contribute to the Board, and whether their skills and experience complement those of the other directors. A more detailed discussion on the nomination process and the criteria the Nominating &amp; Corporate Governance Committee considers in their evaluation of director candidates is found in the Commitment to Effective Corporate Governance section which begins on page 18.</w:t>
      </w:r>
    </w:p>
    <w:p>
      <w:pPr>
        <w:spacing w:after="0" w:line="175"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The Board of Directors recommends a vote “FOR” each of the nominees.</w:t>
      </w:r>
    </w:p>
    <w:p>
      <w:pPr>
        <w:spacing w:after="0" w:line="224" w:lineRule="exact"/>
        <w:rPr>
          <w:sz w:val="20"/>
          <w:szCs w:val="20"/>
          <w:color w:val="auto"/>
        </w:rPr>
      </w:pPr>
    </w:p>
    <w:tbl>
      <w:tblPr>
        <w:tblLayout w:type="fixed"/>
        <w:tblInd w:w="410" w:type="dxa"/>
        <w:tblCellMar>
          <w:top w:w="0" w:type="dxa"/>
          <w:left w:w="0" w:type="dxa"/>
          <w:bottom w:w="0" w:type="dxa"/>
          <w:right w:w="0" w:type="dxa"/>
        </w:tblCellMar>
      </w:tblPr>
      <w:tr>
        <w:trPr>
          <w:trHeight w:val="151"/>
        </w:trPr>
        <w:tc>
          <w:tcPr>
            <w:tcW w:w="2400" w:type="dxa"/>
            <w:vAlign w:val="bottom"/>
            <w:tcBorders>
              <w:top w:val="single" w:sz="8" w:color="auto"/>
              <w:left w:val="single" w:sz="8" w:color="auto"/>
            </w:tcBorders>
            <w:shd w:val="clear" w:color="auto" w:fill="006FB8"/>
          </w:tcPr>
          <w:p>
            <w:pPr>
              <w:spacing w:after="0"/>
              <w:rPr>
                <w:sz w:val="13"/>
                <w:szCs w:val="13"/>
                <w:color w:val="auto"/>
              </w:rPr>
            </w:pPr>
          </w:p>
        </w:tc>
        <w:tc>
          <w:tcPr>
            <w:tcW w:w="1160" w:type="dxa"/>
            <w:vAlign w:val="bottom"/>
            <w:tcBorders>
              <w:top w:val="single" w:sz="8" w:color="auto"/>
            </w:tcBorders>
            <w:shd w:val="clear" w:color="auto" w:fill="006FB8"/>
          </w:tcPr>
          <w:p>
            <w:pPr>
              <w:spacing w:after="0"/>
              <w:rPr>
                <w:sz w:val="13"/>
                <w:szCs w:val="13"/>
                <w:color w:val="auto"/>
              </w:rPr>
            </w:pPr>
          </w:p>
        </w:tc>
        <w:tc>
          <w:tcPr>
            <w:tcW w:w="1440" w:type="dxa"/>
            <w:vAlign w:val="bottom"/>
            <w:tcBorders>
              <w:top w:val="single" w:sz="8" w:color="auto"/>
            </w:tcBorders>
            <w:vMerge w:val="restart"/>
            <w:shd w:val="clear" w:color="auto" w:fill="006FB8"/>
          </w:tcPr>
          <w:p>
            <w:pPr>
              <w:jc w:val="center"/>
              <w:ind w:left="54"/>
              <w:spacing w:after="0"/>
              <w:rPr>
                <w:sz w:val="20"/>
                <w:szCs w:val="20"/>
                <w:color w:val="auto"/>
              </w:rPr>
            </w:pPr>
            <w:r>
              <w:rPr>
                <w:rFonts w:ascii="Arial" w:cs="Arial" w:eastAsia="Arial" w:hAnsi="Arial"/>
                <w:sz w:val="14"/>
                <w:szCs w:val="14"/>
                <w:b w:val="1"/>
                <w:bCs w:val="1"/>
                <w:color w:val="FFFFFF"/>
                <w:w w:val="95"/>
              </w:rPr>
              <w:t>Year First</w:t>
            </w:r>
          </w:p>
        </w:tc>
        <w:tc>
          <w:tcPr>
            <w:tcW w:w="1360" w:type="dxa"/>
            <w:vAlign w:val="bottom"/>
            <w:tcBorders>
              <w:top w:val="single" w:sz="8" w:color="auto"/>
            </w:tcBorders>
            <w:shd w:val="clear" w:color="auto" w:fill="006FB8"/>
          </w:tcPr>
          <w:p>
            <w:pPr>
              <w:spacing w:after="0"/>
              <w:rPr>
                <w:sz w:val="13"/>
                <w:szCs w:val="13"/>
                <w:color w:val="auto"/>
              </w:rPr>
            </w:pPr>
          </w:p>
        </w:tc>
        <w:tc>
          <w:tcPr>
            <w:tcW w:w="1440" w:type="dxa"/>
            <w:vAlign w:val="bottom"/>
            <w:tcBorders>
              <w:top w:val="single" w:sz="8" w:color="auto"/>
            </w:tcBorders>
            <w:shd w:val="clear" w:color="auto" w:fill="006FB8"/>
          </w:tcPr>
          <w:p>
            <w:pPr>
              <w:jc w:val="center"/>
              <w:spacing w:after="0" w:line="151" w:lineRule="exact"/>
              <w:rPr>
                <w:sz w:val="20"/>
                <w:szCs w:val="20"/>
                <w:color w:val="auto"/>
              </w:rPr>
            </w:pPr>
            <w:r>
              <w:rPr>
                <w:rFonts w:ascii="Arial" w:cs="Arial" w:eastAsia="Arial" w:hAnsi="Arial"/>
                <w:sz w:val="14"/>
                <w:szCs w:val="14"/>
                <w:b w:val="1"/>
                <w:bCs w:val="1"/>
                <w:color w:val="FFFFFF"/>
                <w:w w:val="93"/>
              </w:rPr>
              <w:t>Other Public</w:t>
            </w:r>
          </w:p>
        </w:tc>
        <w:tc>
          <w:tcPr>
            <w:tcW w:w="2640" w:type="dxa"/>
            <w:vAlign w:val="bottom"/>
            <w:tcBorders>
              <w:top w:val="single" w:sz="8" w:color="auto"/>
              <w:right w:val="single" w:sz="8" w:color="auto"/>
            </w:tcBorders>
            <w:shd w:val="clear" w:color="auto" w:fill="006FB8"/>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400" w:type="dxa"/>
            <w:vAlign w:val="bottom"/>
            <w:tcBorders>
              <w:left w:val="single" w:sz="8" w:color="auto"/>
            </w:tcBorders>
            <w:shd w:val="clear" w:color="auto" w:fill="006FB8"/>
          </w:tcPr>
          <w:p>
            <w:pPr>
              <w:spacing w:after="0"/>
              <w:rPr>
                <w:sz w:val="12"/>
                <w:szCs w:val="12"/>
                <w:color w:val="auto"/>
              </w:rPr>
            </w:pPr>
          </w:p>
        </w:tc>
        <w:tc>
          <w:tcPr>
            <w:tcW w:w="1160" w:type="dxa"/>
            <w:vAlign w:val="bottom"/>
            <w:shd w:val="clear" w:color="auto" w:fill="006FB8"/>
          </w:tcPr>
          <w:p>
            <w:pPr>
              <w:spacing w:after="0"/>
              <w:rPr>
                <w:sz w:val="12"/>
                <w:szCs w:val="12"/>
                <w:color w:val="auto"/>
              </w:rPr>
            </w:pPr>
          </w:p>
        </w:tc>
        <w:tc>
          <w:tcPr>
            <w:tcW w:w="1440" w:type="dxa"/>
            <w:vAlign w:val="bottom"/>
            <w:vMerge w:val="continue"/>
            <w:shd w:val="clear" w:color="auto" w:fill="006FB8"/>
          </w:tcPr>
          <w:p>
            <w:pPr>
              <w:spacing w:after="0"/>
              <w:rPr>
                <w:sz w:val="12"/>
                <w:szCs w:val="12"/>
                <w:color w:val="auto"/>
              </w:rPr>
            </w:pPr>
          </w:p>
        </w:tc>
        <w:tc>
          <w:tcPr>
            <w:tcW w:w="1360" w:type="dxa"/>
            <w:vAlign w:val="bottom"/>
            <w:shd w:val="clear" w:color="auto" w:fill="006FB8"/>
          </w:tcPr>
          <w:p>
            <w:pPr>
              <w:spacing w:after="0"/>
              <w:rPr>
                <w:sz w:val="12"/>
                <w:szCs w:val="12"/>
                <w:color w:val="auto"/>
              </w:rPr>
            </w:pPr>
          </w:p>
        </w:tc>
        <w:tc>
          <w:tcPr>
            <w:tcW w:w="1440" w:type="dxa"/>
            <w:vAlign w:val="bottom"/>
            <w:shd w:val="clear" w:color="auto" w:fill="006FB8"/>
          </w:tcPr>
          <w:p>
            <w:pPr>
              <w:jc w:val="center"/>
              <w:spacing w:after="0" w:line="147" w:lineRule="exact"/>
              <w:rPr>
                <w:sz w:val="20"/>
                <w:szCs w:val="20"/>
                <w:color w:val="auto"/>
              </w:rPr>
            </w:pPr>
            <w:r>
              <w:rPr>
                <w:rFonts w:ascii="Arial" w:cs="Arial" w:eastAsia="Arial" w:hAnsi="Arial"/>
                <w:sz w:val="14"/>
                <w:szCs w:val="14"/>
                <w:b w:val="1"/>
                <w:bCs w:val="1"/>
                <w:color w:val="FFFFFF"/>
                <w:w w:val="90"/>
              </w:rPr>
              <w:t>Directorships</w:t>
            </w:r>
          </w:p>
        </w:tc>
        <w:tc>
          <w:tcPr>
            <w:tcW w:w="2640" w:type="dxa"/>
            <w:vAlign w:val="bottom"/>
            <w:tcBorders>
              <w:right w:val="single" w:sz="8" w:color="auto"/>
            </w:tcBorders>
            <w:shd w:val="clear" w:color="auto" w:fill="006FB8"/>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400" w:type="dxa"/>
            <w:vAlign w:val="bottom"/>
            <w:tcBorders>
              <w:left w:val="single" w:sz="8" w:color="auto"/>
            </w:tcBorders>
            <w:vMerge w:val="restart"/>
            <w:shd w:val="clear" w:color="auto" w:fill="006FB8"/>
          </w:tcPr>
          <w:p>
            <w:pPr>
              <w:jc w:val="center"/>
              <w:spacing w:after="0"/>
              <w:rPr>
                <w:sz w:val="20"/>
                <w:szCs w:val="20"/>
                <w:color w:val="auto"/>
              </w:rPr>
            </w:pPr>
            <w:r>
              <w:rPr>
                <w:rFonts w:ascii="Arial" w:cs="Arial" w:eastAsia="Arial" w:hAnsi="Arial"/>
                <w:sz w:val="14"/>
                <w:szCs w:val="14"/>
                <w:b w:val="1"/>
                <w:bCs w:val="1"/>
                <w:color w:val="FFFFFF"/>
                <w:w w:val="94"/>
              </w:rPr>
              <w:t>Name</w:t>
            </w:r>
          </w:p>
        </w:tc>
        <w:tc>
          <w:tcPr>
            <w:tcW w:w="1160" w:type="dxa"/>
            <w:vAlign w:val="bottom"/>
            <w:vMerge w:val="restart"/>
            <w:shd w:val="clear" w:color="auto" w:fill="006FB8"/>
          </w:tcPr>
          <w:p>
            <w:pPr>
              <w:jc w:val="right"/>
              <w:ind w:right="392"/>
              <w:spacing w:after="0"/>
              <w:rPr>
                <w:sz w:val="20"/>
                <w:szCs w:val="20"/>
                <w:color w:val="auto"/>
              </w:rPr>
            </w:pPr>
            <w:r>
              <w:rPr>
                <w:rFonts w:ascii="Arial" w:cs="Arial" w:eastAsia="Arial" w:hAnsi="Arial"/>
                <w:sz w:val="14"/>
                <w:szCs w:val="14"/>
                <w:b w:val="1"/>
                <w:bCs w:val="1"/>
                <w:color w:val="FFFFFF"/>
              </w:rPr>
              <w:t>Age</w:t>
            </w:r>
          </w:p>
        </w:tc>
        <w:tc>
          <w:tcPr>
            <w:tcW w:w="1440" w:type="dxa"/>
            <w:vAlign w:val="bottom"/>
            <w:shd w:val="clear" w:color="auto" w:fill="006FB8"/>
          </w:tcPr>
          <w:p>
            <w:pPr>
              <w:jc w:val="center"/>
              <w:ind w:left="54"/>
              <w:spacing w:after="0" w:line="147" w:lineRule="exact"/>
              <w:rPr>
                <w:sz w:val="20"/>
                <w:szCs w:val="20"/>
                <w:color w:val="auto"/>
              </w:rPr>
            </w:pPr>
            <w:r>
              <w:rPr>
                <w:rFonts w:ascii="Arial" w:cs="Arial" w:eastAsia="Arial" w:hAnsi="Arial"/>
                <w:sz w:val="14"/>
                <w:szCs w:val="14"/>
                <w:b w:val="1"/>
                <w:bCs w:val="1"/>
                <w:color w:val="FFFFFF"/>
                <w:w w:val="92"/>
              </w:rPr>
              <w:t>Elected</w:t>
            </w:r>
          </w:p>
        </w:tc>
        <w:tc>
          <w:tcPr>
            <w:tcW w:w="1360" w:type="dxa"/>
            <w:vAlign w:val="bottom"/>
            <w:vMerge w:val="restart"/>
            <w:shd w:val="clear" w:color="auto" w:fill="006FB8"/>
          </w:tcPr>
          <w:p>
            <w:pPr>
              <w:jc w:val="center"/>
              <w:spacing w:after="0"/>
              <w:rPr>
                <w:sz w:val="20"/>
                <w:szCs w:val="20"/>
                <w:color w:val="auto"/>
              </w:rPr>
            </w:pPr>
            <w:r>
              <w:rPr>
                <w:rFonts w:ascii="Arial" w:cs="Arial" w:eastAsia="Arial" w:hAnsi="Arial"/>
                <w:sz w:val="14"/>
                <w:szCs w:val="14"/>
                <w:b w:val="1"/>
                <w:bCs w:val="1"/>
                <w:color w:val="FFFFFF"/>
                <w:w w:val="91"/>
              </w:rPr>
              <w:t>Independent</w:t>
            </w:r>
          </w:p>
        </w:tc>
        <w:tc>
          <w:tcPr>
            <w:tcW w:w="1440" w:type="dxa"/>
            <w:vAlign w:val="bottom"/>
            <w:shd w:val="clear" w:color="auto" w:fill="006FB8"/>
          </w:tcPr>
          <w:p>
            <w:pPr>
              <w:jc w:val="center"/>
              <w:spacing w:after="0" w:line="147" w:lineRule="exact"/>
              <w:rPr>
                <w:sz w:val="20"/>
                <w:szCs w:val="20"/>
                <w:color w:val="auto"/>
              </w:rPr>
            </w:pPr>
            <w:r>
              <w:rPr>
                <w:rFonts w:ascii="Arial" w:cs="Arial" w:eastAsia="Arial" w:hAnsi="Arial"/>
                <w:sz w:val="14"/>
                <w:szCs w:val="14"/>
                <w:b w:val="1"/>
                <w:bCs w:val="1"/>
                <w:color w:val="FFFFFF"/>
                <w:w w:val="93"/>
              </w:rPr>
              <w:t>Held in Last</w:t>
            </w:r>
          </w:p>
        </w:tc>
        <w:tc>
          <w:tcPr>
            <w:tcW w:w="2640" w:type="dxa"/>
            <w:vAlign w:val="bottom"/>
            <w:tcBorders>
              <w:right w:val="single" w:sz="8" w:color="auto"/>
            </w:tcBorders>
            <w:vMerge w:val="restart"/>
            <w:shd w:val="clear" w:color="auto" w:fill="006FB8"/>
          </w:tcPr>
          <w:p>
            <w:pPr>
              <w:jc w:val="center"/>
              <w:spacing w:after="0"/>
              <w:rPr>
                <w:sz w:val="20"/>
                <w:szCs w:val="20"/>
                <w:color w:val="auto"/>
              </w:rPr>
            </w:pPr>
            <w:r>
              <w:rPr>
                <w:rFonts w:ascii="Arial" w:cs="Arial" w:eastAsia="Arial" w:hAnsi="Arial"/>
                <w:sz w:val="14"/>
                <w:szCs w:val="14"/>
                <w:b w:val="1"/>
                <w:bCs w:val="1"/>
                <w:color w:val="FFFFFF"/>
                <w:w w:val="93"/>
              </w:rPr>
              <w:t>Committee Membership</w:t>
            </w:r>
          </w:p>
        </w:tc>
        <w:tc>
          <w:tcPr>
            <w:tcW w:w="0" w:type="dxa"/>
            <w:vAlign w:val="bottom"/>
          </w:tcPr>
          <w:p>
            <w:pPr>
              <w:spacing w:after="0"/>
              <w:rPr>
                <w:sz w:val="1"/>
                <w:szCs w:val="1"/>
                <w:color w:val="auto"/>
              </w:rPr>
            </w:pPr>
          </w:p>
        </w:tc>
      </w:tr>
      <w:tr>
        <w:trPr>
          <w:trHeight w:val="170"/>
        </w:trPr>
        <w:tc>
          <w:tcPr>
            <w:tcW w:w="2400" w:type="dxa"/>
            <w:vAlign w:val="bottom"/>
            <w:tcBorders>
              <w:left w:val="single" w:sz="8" w:color="auto"/>
              <w:bottom w:val="single" w:sz="8" w:color="auto"/>
            </w:tcBorders>
            <w:vMerge w:val="continue"/>
            <w:shd w:val="clear" w:color="auto" w:fill="006FB8"/>
          </w:tcPr>
          <w:p>
            <w:pPr>
              <w:spacing w:after="0"/>
              <w:rPr>
                <w:sz w:val="14"/>
                <w:szCs w:val="14"/>
                <w:color w:val="auto"/>
              </w:rPr>
            </w:pPr>
          </w:p>
        </w:tc>
        <w:tc>
          <w:tcPr>
            <w:tcW w:w="1160" w:type="dxa"/>
            <w:vAlign w:val="bottom"/>
            <w:tcBorders>
              <w:bottom w:val="single" w:sz="8" w:color="auto"/>
            </w:tcBorders>
            <w:vMerge w:val="continue"/>
            <w:shd w:val="clear" w:color="auto" w:fill="006FB8"/>
          </w:tcPr>
          <w:p>
            <w:pPr>
              <w:spacing w:after="0"/>
              <w:rPr>
                <w:sz w:val="14"/>
                <w:szCs w:val="14"/>
                <w:color w:val="auto"/>
              </w:rPr>
            </w:pPr>
          </w:p>
        </w:tc>
        <w:tc>
          <w:tcPr>
            <w:tcW w:w="1440" w:type="dxa"/>
            <w:vAlign w:val="bottom"/>
            <w:tcBorders>
              <w:bottom w:val="single" w:sz="8" w:color="auto"/>
            </w:tcBorders>
            <w:shd w:val="clear" w:color="auto" w:fill="006FB8"/>
          </w:tcPr>
          <w:p>
            <w:pPr>
              <w:jc w:val="center"/>
              <w:ind w:left="54"/>
              <w:spacing w:after="0"/>
              <w:rPr>
                <w:sz w:val="20"/>
                <w:szCs w:val="20"/>
                <w:color w:val="auto"/>
              </w:rPr>
            </w:pPr>
            <w:r>
              <w:rPr>
                <w:rFonts w:ascii="Arial" w:cs="Arial" w:eastAsia="Arial" w:hAnsi="Arial"/>
                <w:sz w:val="14"/>
                <w:szCs w:val="14"/>
                <w:b w:val="1"/>
                <w:bCs w:val="1"/>
                <w:color w:val="FFFFFF"/>
                <w:w w:val="90"/>
              </w:rPr>
              <w:t>as Director</w:t>
            </w:r>
          </w:p>
        </w:tc>
        <w:tc>
          <w:tcPr>
            <w:tcW w:w="1360" w:type="dxa"/>
            <w:vAlign w:val="bottom"/>
            <w:tcBorders>
              <w:bottom w:val="single" w:sz="8" w:color="auto"/>
            </w:tcBorders>
            <w:vMerge w:val="continue"/>
            <w:shd w:val="clear" w:color="auto" w:fill="006FB8"/>
          </w:tcPr>
          <w:p>
            <w:pPr>
              <w:spacing w:after="0"/>
              <w:rPr>
                <w:sz w:val="14"/>
                <w:szCs w:val="14"/>
                <w:color w:val="auto"/>
              </w:rPr>
            </w:pPr>
          </w:p>
        </w:tc>
        <w:tc>
          <w:tcPr>
            <w:tcW w:w="1440" w:type="dxa"/>
            <w:vAlign w:val="bottom"/>
            <w:tcBorders>
              <w:bottom w:val="single" w:sz="8" w:color="auto"/>
            </w:tcBorders>
            <w:shd w:val="clear" w:color="auto" w:fill="006FB8"/>
          </w:tcPr>
          <w:p>
            <w:pPr>
              <w:jc w:val="center"/>
              <w:spacing w:after="0"/>
              <w:rPr>
                <w:sz w:val="20"/>
                <w:szCs w:val="20"/>
                <w:color w:val="auto"/>
              </w:rPr>
            </w:pPr>
            <w:r>
              <w:rPr>
                <w:rFonts w:ascii="Arial" w:cs="Arial" w:eastAsia="Arial" w:hAnsi="Arial"/>
                <w:sz w:val="14"/>
                <w:szCs w:val="14"/>
                <w:b w:val="1"/>
                <w:bCs w:val="1"/>
                <w:color w:val="FFFFFF"/>
                <w:w w:val="92"/>
              </w:rPr>
              <w:t>5 Years</w:t>
            </w:r>
          </w:p>
        </w:tc>
        <w:tc>
          <w:tcPr>
            <w:tcW w:w="2640" w:type="dxa"/>
            <w:vAlign w:val="bottom"/>
            <w:tcBorders>
              <w:bottom w:val="single" w:sz="8" w:color="auto"/>
              <w:right w:val="single" w:sz="8" w:color="auto"/>
            </w:tcBorders>
            <w:vMerge w:val="continue"/>
            <w:shd w:val="clear" w:color="auto" w:fill="006FB8"/>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40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S. Haunani Apoliona</w:t>
            </w: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72</w:t>
            </w:r>
          </w:p>
        </w:tc>
        <w:tc>
          <w:tcPr>
            <w:tcW w:w="1440" w:type="dxa"/>
            <w:vAlign w:val="bottom"/>
            <w:tcBorders>
              <w:bottom w:val="single" w:sz="8" w:color="auto"/>
            </w:tcBorders>
          </w:tcPr>
          <w:p>
            <w:pPr>
              <w:jc w:val="center"/>
              <w:ind w:left="34"/>
              <w:spacing w:after="0"/>
              <w:rPr>
                <w:sz w:val="20"/>
                <w:szCs w:val="20"/>
                <w:color w:val="auto"/>
              </w:rPr>
            </w:pPr>
            <w:r>
              <w:rPr>
                <w:rFonts w:ascii="Arial" w:cs="Arial" w:eastAsia="Arial" w:hAnsi="Arial"/>
                <w:sz w:val="18"/>
                <w:szCs w:val="18"/>
                <w:color w:val="auto"/>
                <w:w w:val="89"/>
              </w:rPr>
              <w:t>2004</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BPC, FIMC, NCGC</w:t>
            </w:r>
          </w:p>
        </w:tc>
        <w:tc>
          <w:tcPr>
            <w:tcW w:w="0" w:type="dxa"/>
            <w:vAlign w:val="bottom"/>
          </w:tcPr>
          <w:p>
            <w:pPr>
              <w:spacing w:after="0"/>
              <w:rPr>
                <w:sz w:val="1"/>
                <w:szCs w:val="1"/>
                <w:color w:val="auto"/>
              </w:rPr>
            </w:pPr>
          </w:p>
        </w:tc>
      </w:tr>
      <w:tr>
        <w:trPr>
          <w:trHeight w:val="234"/>
        </w:trPr>
        <w:tc>
          <w:tcPr>
            <w:tcW w:w="240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6"/>
              </w:rPr>
              <w:t>Mark A. Burak</w:t>
            </w: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73</w:t>
            </w:r>
          </w:p>
        </w:tc>
        <w:tc>
          <w:tcPr>
            <w:tcW w:w="1440" w:type="dxa"/>
            <w:vAlign w:val="bottom"/>
            <w:tcBorders>
              <w:bottom w:val="single" w:sz="8" w:color="auto"/>
            </w:tcBorders>
          </w:tcPr>
          <w:p>
            <w:pPr>
              <w:jc w:val="center"/>
              <w:ind w:left="34"/>
              <w:spacing w:after="0"/>
              <w:rPr>
                <w:sz w:val="20"/>
                <w:szCs w:val="20"/>
                <w:color w:val="auto"/>
              </w:rPr>
            </w:pPr>
            <w:r>
              <w:rPr>
                <w:rFonts w:ascii="Arial" w:cs="Arial" w:eastAsia="Arial" w:hAnsi="Arial"/>
                <w:sz w:val="18"/>
                <w:szCs w:val="18"/>
                <w:color w:val="auto"/>
                <w:w w:val="89"/>
              </w:rPr>
              <w:t>2009</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ARC, NCGC</w:t>
            </w:r>
          </w:p>
        </w:tc>
        <w:tc>
          <w:tcPr>
            <w:tcW w:w="0" w:type="dxa"/>
            <w:vAlign w:val="bottom"/>
          </w:tcPr>
          <w:p>
            <w:pPr>
              <w:spacing w:after="0"/>
              <w:rPr>
                <w:sz w:val="1"/>
                <w:szCs w:val="1"/>
                <w:color w:val="auto"/>
              </w:rPr>
            </w:pPr>
          </w:p>
        </w:tc>
      </w:tr>
      <w:tr>
        <w:trPr>
          <w:trHeight w:val="234"/>
        </w:trPr>
        <w:tc>
          <w:tcPr>
            <w:tcW w:w="240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John C. Erickson</w:t>
            </w: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60</w:t>
            </w:r>
          </w:p>
        </w:tc>
        <w:tc>
          <w:tcPr>
            <w:tcW w:w="1440" w:type="dxa"/>
            <w:vAlign w:val="bottom"/>
            <w:tcBorders>
              <w:bottom w:val="single" w:sz="8" w:color="auto"/>
            </w:tcBorders>
          </w:tcPr>
          <w:p>
            <w:pPr>
              <w:jc w:val="center"/>
              <w:ind w:left="34"/>
              <w:spacing w:after="0"/>
              <w:rPr>
                <w:sz w:val="20"/>
                <w:szCs w:val="20"/>
                <w:color w:val="auto"/>
              </w:rPr>
            </w:pPr>
            <w:r>
              <w:rPr>
                <w:rFonts w:ascii="Arial" w:cs="Arial" w:eastAsia="Arial" w:hAnsi="Arial"/>
                <w:sz w:val="18"/>
                <w:szCs w:val="18"/>
                <w:color w:val="auto"/>
                <w:w w:val="89"/>
              </w:rPr>
              <w:t>2019</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ARC, NCGC</w:t>
            </w:r>
          </w:p>
        </w:tc>
        <w:tc>
          <w:tcPr>
            <w:tcW w:w="0" w:type="dxa"/>
            <w:vAlign w:val="bottom"/>
          </w:tcPr>
          <w:p>
            <w:pPr>
              <w:spacing w:after="0"/>
              <w:rPr>
                <w:sz w:val="1"/>
                <w:szCs w:val="1"/>
                <w:color w:val="auto"/>
              </w:rPr>
            </w:pPr>
          </w:p>
        </w:tc>
      </w:tr>
      <w:tr>
        <w:trPr>
          <w:trHeight w:val="234"/>
        </w:trPr>
        <w:tc>
          <w:tcPr>
            <w:tcW w:w="240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Joshua D. Feldman</w:t>
            </w: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49</w:t>
            </w:r>
          </w:p>
        </w:tc>
        <w:tc>
          <w:tcPr>
            <w:tcW w:w="1440" w:type="dxa"/>
            <w:vAlign w:val="bottom"/>
            <w:tcBorders>
              <w:bottom w:val="single" w:sz="8" w:color="auto"/>
            </w:tcBorders>
          </w:tcPr>
          <w:p>
            <w:pPr>
              <w:jc w:val="center"/>
              <w:ind w:left="34"/>
              <w:spacing w:after="0"/>
              <w:rPr>
                <w:sz w:val="20"/>
                <w:szCs w:val="20"/>
                <w:color w:val="auto"/>
              </w:rPr>
            </w:pPr>
            <w:r>
              <w:rPr>
                <w:rFonts w:ascii="Arial" w:cs="Arial" w:eastAsia="Arial" w:hAnsi="Arial"/>
                <w:sz w:val="18"/>
                <w:szCs w:val="18"/>
                <w:color w:val="auto"/>
                <w:w w:val="89"/>
              </w:rPr>
              <w:t>2019</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BPC, DAC, HRC, NCGC</w:t>
            </w:r>
          </w:p>
        </w:tc>
        <w:tc>
          <w:tcPr>
            <w:tcW w:w="0" w:type="dxa"/>
            <w:vAlign w:val="bottom"/>
          </w:tcPr>
          <w:p>
            <w:pPr>
              <w:spacing w:after="0"/>
              <w:rPr>
                <w:sz w:val="1"/>
                <w:szCs w:val="1"/>
                <w:color w:val="auto"/>
              </w:rPr>
            </w:pPr>
          </w:p>
        </w:tc>
      </w:tr>
      <w:tr>
        <w:trPr>
          <w:trHeight w:val="234"/>
        </w:trPr>
        <w:tc>
          <w:tcPr>
            <w:tcW w:w="240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Peter S. Ho</w:t>
            </w: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56</w:t>
            </w:r>
          </w:p>
        </w:tc>
        <w:tc>
          <w:tcPr>
            <w:tcW w:w="1440" w:type="dxa"/>
            <w:vAlign w:val="bottom"/>
            <w:tcBorders>
              <w:bottom w:val="single" w:sz="8" w:color="auto"/>
            </w:tcBorders>
          </w:tcPr>
          <w:p>
            <w:pPr>
              <w:jc w:val="center"/>
              <w:ind w:left="34"/>
              <w:spacing w:after="0"/>
              <w:rPr>
                <w:sz w:val="20"/>
                <w:szCs w:val="20"/>
                <w:color w:val="auto"/>
              </w:rPr>
            </w:pPr>
            <w:r>
              <w:rPr>
                <w:rFonts w:ascii="Arial" w:cs="Arial" w:eastAsia="Arial" w:hAnsi="Arial"/>
                <w:sz w:val="18"/>
                <w:szCs w:val="18"/>
                <w:color w:val="auto"/>
                <w:w w:val="89"/>
              </w:rPr>
              <w:t>2009</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234"/>
        </w:trPr>
        <w:tc>
          <w:tcPr>
            <w:tcW w:w="240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Michelle E. Hulst</w:t>
            </w: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48</w:t>
            </w:r>
          </w:p>
        </w:tc>
        <w:tc>
          <w:tcPr>
            <w:tcW w:w="1440" w:type="dxa"/>
            <w:vAlign w:val="bottom"/>
            <w:tcBorders>
              <w:bottom w:val="single" w:sz="8" w:color="auto"/>
            </w:tcBorders>
          </w:tcPr>
          <w:p>
            <w:pPr>
              <w:jc w:val="center"/>
              <w:ind w:left="34"/>
              <w:spacing w:after="0"/>
              <w:rPr>
                <w:sz w:val="20"/>
                <w:szCs w:val="20"/>
                <w:color w:val="auto"/>
              </w:rPr>
            </w:pPr>
            <w:r>
              <w:rPr>
                <w:rFonts w:ascii="Arial" w:cs="Arial" w:eastAsia="Arial" w:hAnsi="Arial"/>
                <w:sz w:val="18"/>
                <w:szCs w:val="18"/>
                <w:color w:val="auto"/>
                <w:w w:val="89"/>
              </w:rPr>
              <w:t>2019</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DAC, HRC, NCGC</w:t>
            </w:r>
          </w:p>
        </w:tc>
        <w:tc>
          <w:tcPr>
            <w:tcW w:w="0" w:type="dxa"/>
            <w:vAlign w:val="bottom"/>
          </w:tcPr>
          <w:p>
            <w:pPr>
              <w:spacing w:after="0"/>
              <w:rPr>
                <w:sz w:val="1"/>
                <w:szCs w:val="1"/>
                <w:color w:val="auto"/>
              </w:rPr>
            </w:pPr>
          </w:p>
        </w:tc>
      </w:tr>
      <w:tr>
        <w:trPr>
          <w:trHeight w:val="234"/>
        </w:trPr>
        <w:tc>
          <w:tcPr>
            <w:tcW w:w="240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Kent T. Lucien</w:t>
            </w: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68</w:t>
            </w:r>
          </w:p>
        </w:tc>
        <w:tc>
          <w:tcPr>
            <w:tcW w:w="1440" w:type="dxa"/>
            <w:vAlign w:val="bottom"/>
            <w:tcBorders>
              <w:bottom w:val="single" w:sz="8" w:color="auto"/>
            </w:tcBorders>
          </w:tcPr>
          <w:p>
            <w:pPr>
              <w:jc w:val="center"/>
              <w:ind w:left="34"/>
              <w:spacing w:after="0"/>
              <w:rPr>
                <w:sz w:val="20"/>
                <w:szCs w:val="20"/>
                <w:color w:val="auto"/>
              </w:rPr>
            </w:pPr>
            <w:r>
              <w:rPr>
                <w:rFonts w:ascii="Arial" w:cs="Arial" w:eastAsia="Arial" w:hAnsi="Arial"/>
                <w:sz w:val="18"/>
                <w:szCs w:val="18"/>
                <w:color w:val="auto"/>
                <w:w w:val="89"/>
              </w:rPr>
              <w:t>2006</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BPC, DAC, FIMC</w:t>
            </w:r>
          </w:p>
        </w:tc>
        <w:tc>
          <w:tcPr>
            <w:tcW w:w="0" w:type="dxa"/>
            <w:vAlign w:val="bottom"/>
          </w:tcPr>
          <w:p>
            <w:pPr>
              <w:spacing w:after="0"/>
              <w:rPr>
                <w:sz w:val="1"/>
                <w:szCs w:val="1"/>
                <w:color w:val="auto"/>
              </w:rPr>
            </w:pPr>
          </w:p>
        </w:tc>
      </w:tr>
      <w:tr>
        <w:trPr>
          <w:trHeight w:val="234"/>
        </w:trPr>
        <w:tc>
          <w:tcPr>
            <w:tcW w:w="240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Elliot K. Mills</w:t>
            </w: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52</w:t>
            </w:r>
          </w:p>
        </w:tc>
        <w:tc>
          <w:tcPr>
            <w:tcW w:w="1440" w:type="dxa"/>
            <w:vAlign w:val="bottom"/>
            <w:tcBorders>
              <w:bottom w:val="single" w:sz="8" w:color="auto"/>
            </w:tcBorders>
          </w:tcPr>
          <w:p>
            <w:pPr>
              <w:jc w:val="center"/>
              <w:ind w:left="34"/>
              <w:spacing w:after="0"/>
              <w:rPr>
                <w:sz w:val="20"/>
                <w:szCs w:val="20"/>
                <w:color w:val="auto"/>
              </w:rPr>
            </w:pPr>
            <w:r>
              <w:rPr>
                <w:rFonts w:ascii="Arial" w:cs="Arial" w:eastAsia="Arial" w:hAnsi="Arial"/>
                <w:sz w:val="18"/>
                <w:szCs w:val="18"/>
                <w:color w:val="auto"/>
                <w:w w:val="89"/>
              </w:rPr>
              <w:t>2021</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DAC, HRC, NCGC</w:t>
            </w:r>
          </w:p>
        </w:tc>
        <w:tc>
          <w:tcPr>
            <w:tcW w:w="0" w:type="dxa"/>
            <w:vAlign w:val="bottom"/>
          </w:tcPr>
          <w:p>
            <w:pPr>
              <w:spacing w:after="0"/>
              <w:rPr>
                <w:sz w:val="1"/>
                <w:szCs w:val="1"/>
                <w:color w:val="auto"/>
              </w:rPr>
            </w:pPr>
          </w:p>
        </w:tc>
      </w:tr>
      <w:tr>
        <w:trPr>
          <w:trHeight w:val="234"/>
        </w:trPr>
        <w:tc>
          <w:tcPr>
            <w:tcW w:w="240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8"/>
              </w:rPr>
              <w:t>Alicia E. Moy</w:t>
            </w: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44</w:t>
            </w:r>
          </w:p>
        </w:tc>
        <w:tc>
          <w:tcPr>
            <w:tcW w:w="1440" w:type="dxa"/>
            <w:vAlign w:val="bottom"/>
            <w:tcBorders>
              <w:bottom w:val="single" w:sz="8" w:color="auto"/>
            </w:tcBorders>
          </w:tcPr>
          <w:p>
            <w:pPr>
              <w:jc w:val="center"/>
              <w:ind w:left="34"/>
              <w:spacing w:after="0"/>
              <w:rPr>
                <w:sz w:val="20"/>
                <w:szCs w:val="20"/>
                <w:color w:val="auto"/>
              </w:rPr>
            </w:pPr>
            <w:r>
              <w:rPr>
                <w:rFonts w:ascii="Arial" w:cs="Arial" w:eastAsia="Arial" w:hAnsi="Arial"/>
                <w:sz w:val="18"/>
                <w:szCs w:val="18"/>
                <w:color w:val="auto"/>
                <w:w w:val="89"/>
              </w:rPr>
              <w:t>2017</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ARC, FIMC, NCGC</w:t>
            </w:r>
          </w:p>
        </w:tc>
        <w:tc>
          <w:tcPr>
            <w:tcW w:w="0" w:type="dxa"/>
            <w:vAlign w:val="bottom"/>
          </w:tcPr>
          <w:p>
            <w:pPr>
              <w:spacing w:after="0"/>
              <w:rPr>
                <w:sz w:val="1"/>
                <w:szCs w:val="1"/>
                <w:color w:val="auto"/>
              </w:rPr>
            </w:pPr>
          </w:p>
        </w:tc>
      </w:tr>
      <w:tr>
        <w:trPr>
          <w:trHeight w:val="234"/>
        </w:trPr>
        <w:tc>
          <w:tcPr>
            <w:tcW w:w="240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5"/>
              </w:rPr>
              <w:t>Victor K. Nichols</w:t>
            </w: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65</w:t>
            </w:r>
          </w:p>
        </w:tc>
        <w:tc>
          <w:tcPr>
            <w:tcW w:w="1440" w:type="dxa"/>
            <w:vAlign w:val="bottom"/>
            <w:tcBorders>
              <w:bottom w:val="single" w:sz="8" w:color="auto"/>
            </w:tcBorders>
          </w:tcPr>
          <w:p>
            <w:pPr>
              <w:jc w:val="center"/>
              <w:ind w:left="34"/>
              <w:spacing w:after="0"/>
              <w:rPr>
                <w:sz w:val="20"/>
                <w:szCs w:val="20"/>
                <w:color w:val="auto"/>
              </w:rPr>
            </w:pPr>
            <w:r>
              <w:rPr>
                <w:rFonts w:ascii="Arial" w:cs="Arial" w:eastAsia="Arial" w:hAnsi="Arial"/>
                <w:sz w:val="18"/>
                <w:szCs w:val="18"/>
                <w:color w:val="auto"/>
                <w:w w:val="89"/>
              </w:rPr>
              <w:t>2014</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ARC, DAC, NCGC</w:t>
            </w:r>
          </w:p>
        </w:tc>
        <w:tc>
          <w:tcPr>
            <w:tcW w:w="0" w:type="dxa"/>
            <w:vAlign w:val="bottom"/>
          </w:tcPr>
          <w:p>
            <w:pPr>
              <w:spacing w:after="0"/>
              <w:rPr>
                <w:sz w:val="1"/>
                <w:szCs w:val="1"/>
                <w:color w:val="auto"/>
              </w:rPr>
            </w:pPr>
          </w:p>
        </w:tc>
      </w:tr>
      <w:tr>
        <w:trPr>
          <w:trHeight w:val="234"/>
        </w:trPr>
        <w:tc>
          <w:tcPr>
            <w:tcW w:w="240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5"/>
              </w:rPr>
              <w:t>Barbara J. Tanabe</w:t>
            </w: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72</w:t>
            </w:r>
          </w:p>
        </w:tc>
        <w:tc>
          <w:tcPr>
            <w:tcW w:w="1440" w:type="dxa"/>
            <w:vAlign w:val="bottom"/>
            <w:tcBorders>
              <w:bottom w:val="single" w:sz="8" w:color="auto"/>
            </w:tcBorders>
          </w:tcPr>
          <w:p>
            <w:pPr>
              <w:jc w:val="center"/>
              <w:ind w:left="34"/>
              <w:spacing w:after="0"/>
              <w:rPr>
                <w:sz w:val="20"/>
                <w:szCs w:val="20"/>
                <w:color w:val="auto"/>
              </w:rPr>
            </w:pPr>
            <w:r>
              <w:rPr>
                <w:rFonts w:ascii="Arial" w:cs="Arial" w:eastAsia="Arial" w:hAnsi="Arial"/>
                <w:sz w:val="18"/>
                <w:szCs w:val="18"/>
                <w:color w:val="auto"/>
                <w:w w:val="89"/>
              </w:rPr>
              <w:t>2004</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ARC, FIMC, HRC, NCGC</w:t>
            </w:r>
          </w:p>
        </w:tc>
        <w:tc>
          <w:tcPr>
            <w:tcW w:w="0" w:type="dxa"/>
            <w:vAlign w:val="bottom"/>
          </w:tcPr>
          <w:p>
            <w:pPr>
              <w:spacing w:after="0"/>
              <w:rPr>
                <w:sz w:val="1"/>
                <w:szCs w:val="1"/>
                <w:color w:val="auto"/>
              </w:rPr>
            </w:pPr>
          </w:p>
        </w:tc>
      </w:tr>
      <w:tr>
        <w:trPr>
          <w:trHeight w:val="234"/>
        </w:trPr>
        <w:tc>
          <w:tcPr>
            <w:tcW w:w="240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2"/>
              </w:rPr>
              <w:t>Dana M. Tokioka</w:t>
            </w: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51</w:t>
            </w:r>
          </w:p>
        </w:tc>
        <w:tc>
          <w:tcPr>
            <w:tcW w:w="1440" w:type="dxa"/>
            <w:vAlign w:val="bottom"/>
            <w:tcBorders>
              <w:bottom w:val="single" w:sz="8" w:color="auto"/>
            </w:tcBorders>
          </w:tcPr>
          <w:p>
            <w:pPr>
              <w:jc w:val="center"/>
              <w:ind w:left="34"/>
              <w:spacing w:after="0"/>
              <w:rPr>
                <w:sz w:val="20"/>
                <w:szCs w:val="20"/>
                <w:color w:val="auto"/>
              </w:rPr>
            </w:pPr>
            <w:r>
              <w:rPr>
                <w:rFonts w:ascii="Arial" w:cs="Arial" w:eastAsia="Arial" w:hAnsi="Arial"/>
                <w:sz w:val="18"/>
                <w:szCs w:val="18"/>
                <w:color w:val="auto"/>
                <w:w w:val="89"/>
              </w:rPr>
              <w:t>2020</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DAC, FIMC</w:t>
            </w:r>
          </w:p>
        </w:tc>
        <w:tc>
          <w:tcPr>
            <w:tcW w:w="0" w:type="dxa"/>
            <w:vAlign w:val="bottom"/>
          </w:tcPr>
          <w:p>
            <w:pPr>
              <w:spacing w:after="0"/>
              <w:rPr>
                <w:sz w:val="1"/>
                <w:szCs w:val="1"/>
                <w:color w:val="auto"/>
              </w:rPr>
            </w:pPr>
          </w:p>
        </w:tc>
      </w:tr>
      <w:tr>
        <w:trPr>
          <w:trHeight w:val="234"/>
        </w:trPr>
        <w:tc>
          <w:tcPr>
            <w:tcW w:w="240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Raymond P. Vara, Jr.</w:t>
            </w: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52</w:t>
            </w:r>
          </w:p>
        </w:tc>
        <w:tc>
          <w:tcPr>
            <w:tcW w:w="1440" w:type="dxa"/>
            <w:vAlign w:val="bottom"/>
            <w:tcBorders>
              <w:bottom w:val="single" w:sz="8" w:color="auto"/>
            </w:tcBorders>
          </w:tcPr>
          <w:p>
            <w:pPr>
              <w:jc w:val="center"/>
              <w:ind w:left="34"/>
              <w:spacing w:after="0"/>
              <w:rPr>
                <w:sz w:val="20"/>
                <w:szCs w:val="20"/>
                <w:color w:val="auto"/>
              </w:rPr>
            </w:pPr>
            <w:r>
              <w:rPr>
                <w:rFonts w:ascii="Arial" w:cs="Arial" w:eastAsia="Arial" w:hAnsi="Arial"/>
                <w:sz w:val="18"/>
                <w:szCs w:val="18"/>
                <w:color w:val="auto"/>
                <w:w w:val="89"/>
              </w:rPr>
              <w:t>2013</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ARC, HRC, NCGC</w:t>
            </w:r>
          </w:p>
        </w:tc>
        <w:tc>
          <w:tcPr>
            <w:tcW w:w="0" w:type="dxa"/>
            <w:vAlign w:val="bottom"/>
          </w:tcPr>
          <w:p>
            <w:pPr>
              <w:spacing w:after="0"/>
              <w:rPr>
                <w:sz w:val="1"/>
                <w:szCs w:val="1"/>
                <w:color w:val="auto"/>
              </w:rPr>
            </w:pPr>
          </w:p>
        </w:tc>
      </w:tr>
      <w:tr>
        <w:trPr>
          <w:trHeight w:val="234"/>
        </w:trPr>
        <w:tc>
          <w:tcPr>
            <w:tcW w:w="240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Robert W. Wo</w:t>
            </w: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69</w:t>
            </w:r>
          </w:p>
        </w:tc>
        <w:tc>
          <w:tcPr>
            <w:tcW w:w="1440" w:type="dxa"/>
            <w:vAlign w:val="bottom"/>
            <w:tcBorders>
              <w:bottom w:val="single" w:sz="8" w:color="auto"/>
            </w:tcBorders>
          </w:tcPr>
          <w:p>
            <w:pPr>
              <w:jc w:val="center"/>
              <w:ind w:left="34"/>
              <w:spacing w:after="0"/>
              <w:rPr>
                <w:sz w:val="20"/>
                <w:szCs w:val="20"/>
                <w:color w:val="auto"/>
              </w:rPr>
            </w:pPr>
            <w:r>
              <w:rPr>
                <w:rFonts w:ascii="Arial" w:cs="Arial" w:eastAsia="Arial" w:hAnsi="Arial"/>
                <w:sz w:val="18"/>
                <w:szCs w:val="18"/>
                <w:color w:val="auto"/>
                <w:w w:val="89"/>
              </w:rPr>
              <w:t>2002</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FIMC, HRC, NCGC</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ARC - Audit &amp; Risk Committee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BPC - Benefit Plans Committee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DAC - Digital Advisory Committee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FIMC - Fiduciary &amp; Investment Management Committee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HRC - Human Resources &amp; Compensation Committee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NCGC - Nominating &amp; Corporate Governance Committee</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240" w:firstLine="546"/>
        <w:spacing w:after="0" w:line="270" w:lineRule="auto"/>
        <w:rPr>
          <w:sz w:val="20"/>
          <w:szCs w:val="20"/>
          <w:color w:val="auto"/>
        </w:rPr>
      </w:pPr>
      <w:r>
        <w:rPr>
          <w:rFonts w:ascii="Arial" w:cs="Arial" w:eastAsia="Arial" w:hAnsi="Arial"/>
          <w:sz w:val="16"/>
          <w:szCs w:val="16"/>
          <w:color w:val="auto"/>
        </w:rPr>
        <w:t>As one of the largest financial institutions in Hawaii, finding director candidates with a deep knowledge of the focused market in which we operate is critical. The nominees' breadth and diversity of experience, mix of qualifications, attributes, and skills strengthen our Board of Director's effective oversight of the Company's business. While our longer tenured directors bring a wealth of experience and deep understanding of the business, we recognize the need for fresh perspectives, have consistently added new directors, and are committed to continued board and committee diversity and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134620</wp:posOffset>
            </wp:positionV>
            <wp:extent cx="7125335" cy="18770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5335" cy="1877060"/>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FFFFFF"/>
        </w:rPr>
        <w:t>Board Diversity &amp; Skills</w:t>
      </w: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339"/>
        </w:trPr>
        <w:tc>
          <w:tcPr>
            <w:tcW w:w="2280" w:type="dxa"/>
            <w:vAlign w:val="bottom"/>
            <w:tcBorders>
              <w:top w:val="single" w:sz="8" w:color="auto"/>
              <w:right w:val="single" w:sz="8" w:color="auto"/>
            </w:tcBorders>
          </w:tcPr>
          <w:p>
            <w:pPr>
              <w:jc w:val="right"/>
              <w:ind w:right="935"/>
              <w:spacing w:after="0"/>
              <w:rPr>
                <w:sz w:val="20"/>
                <w:szCs w:val="20"/>
                <w:color w:val="auto"/>
              </w:rPr>
            </w:pPr>
            <w:r>
              <w:rPr>
                <w:rFonts w:ascii="Arial" w:cs="Arial" w:eastAsia="Arial" w:hAnsi="Arial"/>
                <w:sz w:val="20"/>
                <w:szCs w:val="20"/>
                <w:b w:val="1"/>
                <w:bCs w:val="1"/>
                <w:color w:val="auto"/>
              </w:rPr>
              <w:t>11</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6</w:t>
            </w:r>
          </w:p>
        </w:tc>
        <w:tc>
          <w:tcPr>
            <w:tcW w:w="226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9"/>
              </w:rPr>
              <w:t>4</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6</w:t>
            </w: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0" w:type="dxa"/>
            <w:vAlign w:val="bottom"/>
          </w:tcPr>
          <w:p>
            <w:pPr>
              <w:spacing w:after="0"/>
              <w:rPr>
                <w:sz w:val="1"/>
                <w:szCs w:val="1"/>
                <w:color w:val="auto"/>
              </w:rPr>
            </w:pPr>
          </w:p>
        </w:tc>
      </w:tr>
      <w:tr>
        <w:trPr>
          <w:trHeight w:val="531"/>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Experience with unique Hawaii</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Independent directors with</w:t>
            </w:r>
          </w:p>
        </w:tc>
        <w:tc>
          <w:tcPr>
            <w:tcW w:w="226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5"/>
                <w:szCs w:val="15"/>
                <w:color w:val="auto"/>
                <w:w w:val="95"/>
              </w:rPr>
              <w:t>Significant international</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1"/>
              </w:rPr>
              <w:t>Banking experience</w:t>
            </w:r>
          </w:p>
        </w:tc>
        <w:tc>
          <w:tcPr>
            <w:tcW w:w="2240" w:type="dxa"/>
            <w:vAlign w:val="bottom"/>
          </w:tcPr>
          <w:p>
            <w:pPr>
              <w:jc w:val="center"/>
              <w:spacing w:after="0"/>
              <w:rPr>
                <w:sz w:val="20"/>
                <w:szCs w:val="20"/>
                <w:color w:val="auto"/>
              </w:rPr>
            </w:pPr>
            <w:r>
              <w:rPr>
                <w:rFonts w:ascii="Arial" w:cs="Arial" w:eastAsia="Arial" w:hAnsi="Arial"/>
                <w:sz w:val="15"/>
                <w:szCs w:val="15"/>
                <w:color w:val="auto"/>
                <w:w w:val="92"/>
              </w:rPr>
              <w:t>Other public company board</w:t>
            </w:r>
          </w:p>
        </w:tc>
        <w:tc>
          <w:tcPr>
            <w:tcW w:w="0" w:type="dxa"/>
            <w:vAlign w:val="bottom"/>
          </w:tcPr>
          <w:p>
            <w:pPr>
              <w:spacing w:after="0"/>
              <w:rPr>
                <w:sz w:val="1"/>
                <w:szCs w:val="1"/>
                <w:color w:val="auto"/>
              </w:rPr>
            </w:pPr>
          </w:p>
        </w:tc>
      </w:tr>
      <w:tr>
        <w:trPr>
          <w:trHeight w:val="111"/>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0"/>
              </w:rPr>
              <w:t>marketplace</w:t>
            </w:r>
          </w:p>
        </w:tc>
        <w:tc>
          <w:tcPr>
            <w:tcW w:w="2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3"/>
              </w:rPr>
              <w:t>financial expertise</w:t>
            </w:r>
          </w:p>
        </w:tc>
        <w:tc>
          <w:tcPr>
            <w:tcW w:w="226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5"/>
                <w:szCs w:val="15"/>
                <w:color w:val="auto"/>
                <w:w w:val="89"/>
              </w:rPr>
              <w:t>experience</w:t>
            </w:r>
          </w:p>
        </w:tc>
        <w:tc>
          <w:tcPr>
            <w:tcW w:w="2240" w:type="dxa"/>
            <w:vAlign w:val="bottom"/>
            <w:tcBorders>
              <w:right w:val="single" w:sz="8" w:color="auto"/>
            </w:tcBorders>
            <w:vMerge w:val="continue"/>
          </w:tcPr>
          <w:p>
            <w:pPr>
              <w:spacing w:after="0"/>
              <w:rPr>
                <w:sz w:val="9"/>
                <w:szCs w:val="9"/>
                <w:color w:val="auto"/>
              </w:rPr>
            </w:pPr>
          </w:p>
        </w:tc>
        <w:tc>
          <w:tcPr>
            <w:tcW w:w="2240" w:type="dxa"/>
            <w:vAlign w:val="bottom"/>
            <w:vMerge w:val="restart"/>
          </w:tcPr>
          <w:p>
            <w:pPr>
              <w:jc w:val="center"/>
              <w:spacing w:after="0"/>
              <w:rPr>
                <w:sz w:val="20"/>
                <w:szCs w:val="20"/>
                <w:color w:val="auto"/>
              </w:rPr>
            </w:pPr>
            <w:r>
              <w:rPr>
                <w:rFonts w:ascii="Arial" w:cs="Arial" w:eastAsia="Arial" w:hAnsi="Arial"/>
                <w:sz w:val="15"/>
                <w:szCs w:val="15"/>
                <w:color w:val="auto"/>
                <w:w w:val="89"/>
              </w:rPr>
              <w:t>experience</w:t>
            </w:r>
          </w:p>
        </w:tc>
        <w:tc>
          <w:tcPr>
            <w:tcW w:w="0" w:type="dxa"/>
            <w:vAlign w:val="bottom"/>
          </w:tcPr>
          <w:p>
            <w:pPr>
              <w:spacing w:after="0"/>
              <w:rPr>
                <w:sz w:val="1"/>
                <w:szCs w:val="1"/>
                <w:color w:val="auto"/>
              </w:rPr>
            </w:pPr>
          </w:p>
        </w:tc>
      </w:tr>
      <w:tr>
        <w:trPr>
          <w:trHeight w:val="80"/>
        </w:trPr>
        <w:tc>
          <w:tcPr>
            <w:tcW w:w="2280" w:type="dxa"/>
            <w:vAlign w:val="bottom"/>
            <w:tcBorders>
              <w:right w:val="single" w:sz="8" w:color="auto"/>
            </w:tcBorders>
            <w:vMerge w:val="continue"/>
          </w:tcPr>
          <w:p>
            <w:pPr>
              <w:spacing w:after="0"/>
              <w:rPr>
                <w:sz w:val="6"/>
                <w:szCs w:val="6"/>
                <w:color w:val="auto"/>
              </w:rPr>
            </w:pPr>
          </w:p>
        </w:tc>
        <w:tc>
          <w:tcPr>
            <w:tcW w:w="2220" w:type="dxa"/>
            <w:vAlign w:val="bottom"/>
            <w:tcBorders>
              <w:right w:val="single" w:sz="8" w:color="auto"/>
            </w:tcBorders>
            <w:vMerge w:val="continue"/>
          </w:tcPr>
          <w:p>
            <w:pPr>
              <w:spacing w:after="0"/>
              <w:rPr>
                <w:sz w:val="6"/>
                <w:szCs w:val="6"/>
                <w:color w:val="auto"/>
              </w:rPr>
            </w:pPr>
          </w:p>
        </w:tc>
        <w:tc>
          <w:tcPr>
            <w:tcW w:w="2260" w:type="dxa"/>
            <w:vAlign w:val="bottom"/>
            <w:tcBorders>
              <w:right w:val="single" w:sz="8" w:color="auto"/>
            </w:tcBorders>
            <w:gridSpan w:val="2"/>
            <w:vMerge w:val="continue"/>
          </w:tcPr>
          <w:p>
            <w:pPr>
              <w:spacing w:after="0"/>
              <w:rPr>
                <w:sz w:val="6"/>
                <w:szCs w:val="6"/>
                <w:color w:val="auto"/>
              </w:rPr>
            </w:pPr>
          </w:p>
        </w:tc>
        <w:tc>
          <w:tcPr>
            <w:tcW w:w="2240" w:type="dxa"/>
            <w:vAlign w:val="bottom"/>
            <w:tcBorders>
              <w:right w:val="single" w:sz="8" w:color="auto"/>
            </w:tcBorders>
          </w:tcPr>
          <w:p>
            <w:pPr>
              <w:spacing w:after="0"/>
              <w:rPr>
                <w:sz w:val="6"/>
                <w:szCs w:val="6"/>
                <w:color w:val="auto"/>
              </w:rPr>
            </w:pPr>
          </w:p>
        </w:tc>
        <w:tc>
          <w:tcPr>
            <w:tcW w:w="2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228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280" w:type="dxa"/>
            <w:vAlign w:val="bottom"/>
            <w:tcBorders>
              <w:right w:val="single" w:sz="8" w:color="auto"/>
            </w:tcBorders>
          </w:tcPr>
          <w:p>
            <w:pPr>
              <w:jc w:val="right"/>
              <w:ind w:right="995"/>
              <w:spacing w:after="0"/>
              <w:rPr>
                <w:sz w:val="20"/>
                <w:szCs w:val="20"/>
                <w:color w:val="auto"/>
              </w:rPr>
            </w:pPr>
            <w:r>
              <w:rPr>
                <w:rFonts w:ascii="Arial" w:cs="Arial" w:eastAsia="Arial" w:hAnsi="Arial"/>
                <w:sz w:val="20"/>
                <w:szCs w:val="20"/>
                <w:b w:val="1"/>
                <w:bCs w:val="1"/>
                <w:color w:val="auto"/>
              </w:rPr>
              <w:t>2</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226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9"/>
              </w:rPr>
              <w:t>3</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5</w:t>
            </w:r>
          </w:p>
        </w:tc>
        <w:tc>
          <w:tcPr>
            <w:tcW w:w="2240" w:type="dxa"/>
            <w:vAlign w:val="bottom"/>
          </w:tcPr>
          <w:p>
            <w:pPr>
              <w:jc w:val="center"/>
              <w:spacing w:after="0"/>
              <w:rPr>
                <w:sz w:val="20"/>
                <w:szCs w:val="20"/>
                <w:color w:val="auto"/>
              </w:rPr>
            </w:pPr>
            <w:r>
              <w:rPr>
                <w:rFonts w:ascii="Arial" w:cs="Arial" w:eastAsia="Arial" w:hAnsi="Arial"/>
                <w:sz w:val="20"/>
                <w:szCs w:val="20"/>
                <w:b w:val="1"/>
                <w:bCs w:val="1"/>
                <w:color w:val="auto"/>
                <w:w w:val="89"/>
              </w:rPr>
              <w:t>7</w:t>
            </w:r>
          </w:p>
        </w:tc>
        <w:tc>
          <w:tcPr>
            <w:tcW w:w="0" w:type="dxa"/>
            <w:vAlign w:val="bottom"/>
          </w:tcPr>
          <w:p>
            <w:pPr>
              <w:spacing w:after="0"/>
              <w:rPr>
                <w:sz w:val="1"/>
                <w:szCs w:val="1"/>
                <w:color w:val="auto"/>
              </w:rPr>
            </w:pPr>
          </w:p>
        </w:tc>
      </w:tr>
      <w:tr>
        <w:trPr>
          <w:trHeight w:val="531"/>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0"/>
              </w:rPr>
              <w:t>Media expertise</w:t>
            </w:r>
          </w:p>
        </w:tc>
        <w:tc>
          <w:tcPr>
            <w:tcW w:w="2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4"/>
              </w:rPr>
              <w:t>Background in public policy</w:t>
            </w:r>
          </w:p>
        </w:tc>
        <w:tc>
          <w:tcPr>
            <w:tcW w:w="226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5"/>
                <w:szCs w:val="15"/>
                <w:color w:val="auto"/>
                <w:w w:val="90"/>
              </w:rPr>
              <w:t>Technology experience</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1"/>
              </w:rPr>
              <w:t>Female directors</w:t>
            </w:r>
          </w:p>
        </w:tc>
        <w:tc>
          <w:tcPr>
            <w:tcW w:w="2240" w:type="dxa"/>
            <w:vAlign w:val="bottom"/>
          </w:tcPr>
          <w:p>
            <w:pPr>
              <w:jc w:val="center"/>
              <w:spacing w:after="0"/>
              <w:rPr>
                <w:sz w:val="20"/>
                <w:szCs w:val="20"/>
                <w:color w:val="auto"/>
              </w:rPr>
            </w:pPr>
            <w:r>
              <w:rPr>
                <w:rFonts w:ascii="Arial" w:cs="Arial" w:eastAsia="Arial" w:hAnsi="Arial"/>
                <w:sz w:val="15"/>
                <w:szCs w:val="15"/>
                <w:color w:val="auto"/>
                <w:w w:val="93"/>
              </w:rPr>
              <w:t>Native Hawaiian and/or Asian</w:t>
            </w:r>
          </w:p>
        </w:tc>
        <w:tc>
          <w:tcPr>
            <w:tcW w:w="0" w:type="dxa"/>
            <w:vAlign w:val="bottom"/>
          </w:tcPr>
          <w:p>
            <w:pPr>
              <w:spacing w:after="0"/>
              <w:rPr>
                <w:sz w:val="1"/>
                <w:szCs w:val="1"/>
                <w:color w:val="auto"/>
              </w:rPr>
            </w:pPr>
          </w:p>
        </w:tc>
      </w:tr>
      <w:tr>
        <w:trPr>
          <w:trHeight w:val="111"/>
        </w:trPr>
        <w:tc>
          <w:tcPr>
            <w:tcW w:w="2280" w:type="dxa"/>
            <w:vAlign w:val="bottom"/>
            <w:tcBorders>
              <w:right w:val="single" w:sz="8" w:color="auto"/>
            </w:tcBorders>
            <w:vMerge w:val="continue"/>
          </w:tcPr>
          <w:p>
            <w:pPr>
              <w:spacing w:after="0"/>
              <w:rPr>
                <w:sz w:val="9"/>
                <w:szCs w:val="9"/>
                <w:color w:val="auto"/>
              </w:rPr>
            </w:pPr>
          </w:p>
        </w:tc>
        <w:tc>
          <w:tcPr>
            <w:tcW w:w="2220" w:type="dxa"/>
            <w:vAlign w:val="bottom"/>
            <w:tcBorders>
              <w:right w:val="single" w:sz="8" w:color="auto"/>
            </w:tcBorders>
            <w:vMerge w:val="continue"/>
          </w:tcPr>
          <w:p>
            <w:pPr>
              <w:spacing w:after="0"/>
              <w:rPr>
                <w:sz w:val="9"/>
                <w:szCs w:val="9"/>
                <w:color w:val="auto"/>
              </w:rPr>
            </w:pPr>
          </w:p>
        </w:tc>
        <w:tc>
          <w:tcPr>
            <w:tcW w:w="2260" w:type="dxa"/>
            <w:vAlign w:val="bottom"/>
            <w:tcBorders>
              <w:right w:val="single" w:sz="8" w:color="auto"/>
            </w:tcBorders>
            <w:gridSpan w:val="2"/>
            <w:vMerge w:val="continue"/>
          </w:tcPr>
          <w:p>
            <w:pPr>
              <w:spacing w:after="0"/>
              <w:rPr>
                <w:sz w:val="9"/>
                <w:szCs w:val="9"/>
                <w:color w:val="auto"/>
              </w:rPr>
            </w:pPr>
          </w:p>
        </w:tc>
        <w:tc>
          <w:tcPr>
            <w:tcW w:w="2240" w:type="dxa"/>
            <w:vAlign w:val="bottom"/>
            <w:tcBorders>
              <w:right w:val="single" w:sz="8" w:color="auto"/>
            </w:tcBorders>
            <w:vMerge w:val="continue"/>
          </w:tcPr>
          <w:p>
            <w:pPr>
              <w:spacing w:after="0"/>
              <w:rPr>
                <w:sz w:val="9"/>
                <w:szCs w:val="9"/>
                <w:color w:val="auto"/>
              </w:rPr>
            </w:pPr>
          </w:p>
        </w:tc>
        <w:tc>
          <w:tcPr>
            <w:tcW w:w="2240" w:type="dxa"/>
            <w:vAlign w:val="bottom"/>
            <w:vMerge w:val="restart"/>
          </w:tcPr>
          <w:p>
            <w:pPr>
              <w:jc w:val="center"/>
              <w:spacing w:after="0"/>
              <w:rPr>
                <w:sz w:val="20"/>
                <w:szCs w:val="20"/>
                <w:color w:val="auto"/>
              </w:rPr>
            </w:pPr>
            <w:r>
              <w:rPr>
                <w:rFonts w:ascii="Arial" w:cs="Arial" w:eastAsia="Arial" w:hAnsi="Arial"/>
                <w:sz w:val="15"/>
                <w:szCs w:val="15"/>
                <w:color w:val="auto"/>
                <w:w w:val="88"/>
              </w:rPr>
              <w:t>ancestry</w:t>
            </w:r>
          </w:p>
        </w:tc>
        <w:tc>
          <w:tcPr>
            <w:tcW w:w="0" w:type="dxa"/>
            <w:vAlign w:val="bottom"/>
          </w:tcPr>
          <w:p>
            <w:pPr>
              <w:spacing w:after="0"/>
              <w:rPr>
                <w:sz w:val="1"/>
                <w:szCs w:val="1"/>
                <w:color w:val="auto"/>
              </w:rPr>
            </w:pPr>
          </w:p>
        </w:tc>
      </w:tr>
      <w:tr>
        <w:trPr>
          <w:trHeight w:val="80"/>
        </w:trPr>
        <w:tc>
          <w:tcPr>
            <w:tcW w:w="2280" w:type="dxa"/>
            <w:vAlign w:val="bottom"/>
            <w:tcBorders>
              <w:right w:val="single" w:sz="8" w:color="auto"/>
            </w:tcBorders>
          </w:tcPr>
          <w:p>
            <w:pPr>
              <w:spacing w:after="0"/>
              <w:rPr>
                <w:sz w:val="6"/>
                <w:szCs w:val="6"/>
                <w:color w:val="auto"/>
              </w:rPr>
            </w:pPr>
          </w:p>
        </w:tc>
        <w:tc>
          <w:tcPr>
            <w:tcW w:w="2220" w:type="dxa"/>
            <w:vAlign w:val="bottom"/>
            <w:tcBorders>
              <w:right w:val="single" w:sz="8" w:color="auto"/>
            </w:tcBorders>
          </w:tcPr>
          <w:p>
            <w:pPr>
              <w:spacing w:after="0"/>
              <w:rPr>
                <w:sz w:val="6"/>
                <w:szCs w:val="6"/>
                <w:color w:val="auto"/>
              </w:rPr>
            </w:pPr>
          </w:p>
        </w:tc>
        <w:tc>
          <w:tcPr>
            <w:tcW w:w="1040" w:type="dxa"/>
            <w:vAlign w:val="bottom"/>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2240" w:type="dxa"/>
            <w:vAlign w:val="bottom"/>
            <w:tcBorders>
              <w:right w:val="single" w:sz="8" w:color="auto"/>
            </w:tcBorders>
          </w:tcPr>
          <w:p>
            <w:pPr>
              <w:spacing w:after="0"/>
              <w:rPr>
                <w:sz w:val="6"/>
                <w:szCs w:val="6"/>
                <w:color w:val="auto"/>
              </w:rPr>
            </w:pPr>
          </w:p>
        </w:tc>
        <w:tc>
          <w:tcPr>
            <w:tcW w:w="2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228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2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49"/>
        </w:trPr>
        <w:tc>
          <w:tcPr>
            <w:tcW w:w="2280" w:type="dxa"/>
            <w:vAlign w:val="bottom"/>
            <w:tcBorders>
              <w:left w:val="single" w:sz="8" w:color="auto"/>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77"/>
        </w:trPr>
        <w:tc>
          <w:tcPr>
            <w:tcW w:w="2280" w:type="dxa"/>
            <w:vAlign w:val="bottom"/>
            <w:tcBorders>
              <w:left w:val="single" w:sz="8" w:color="auto"/>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-3973830</wp:posOffset>
            </wp:positionV>
            <wp:extent cx="2157095" cy="38893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7095" cy="3889375"/>
                    </a:xfrm>
                    <a:prstGeom prst="rect">
                      <a:avLst/>
                    </a:prstGeom>
                    <a:noFill/>
                  </pic:spPr>
                </pic:pic>
              </a:graphicData>
            </a:graphic>
          </wp:anchor>
        </w:drawing>
        <w:drawing>
          <wp:anchor simplePos="0" relativeHeight="251657728" behindDoc="1" locked="0" layoutInCell="0" allowOverlap="1">
            <wp:simplePos x="0" y="0"/>
            <wp:positionH relativeFrom="column">
              <wp:posOffset>4352290</wp:posOffset>
            </wp:positionH>
            <wp:positionV relativeFrom="paragraph">
              <wp:posOffset>-2088515</wp:posOffset>
            </wp:positionV>
            <wp:extent cx="1945005" cy="20129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45005" cy="2012950"/>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2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980" w:type="dxa"/>
            <w:vAlign w:val="bottom"/>
          </w:tcPr>
          <w:p>
            <w:pPr>
              <w:ind w:left="920"/>
              <w:spacing w:after="0"/>
              <w:rPr>
                <w:sz w:val="20"/>
                <w:szCs w:val="20"/>
                <w:color w:val="auto"/>
              </w:rPr>
            </w:pPr>
            <w:r>
              <w:rPr>
                <w:rFonts w:ascii="Arial" w:cs="Arial" w:eastAsia="Arial" w:hAnsi="Arial"/>
                <w:sz w:val="16"/>
                <w:szCs w:val="16"/>
                <w:b w:val="1"/>
                <w:bCs w:val="1"/>
                <w:color w:val="auto"/>
              </w:rPr>
              <w:t>QUALIFICATIONS AND EXPERIENCE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9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320" w:type="dxa"/>
            <w:vAlign w:val="bottom"/>
            <w:tcBorders>
              <w:left w:val="single" w:sz="8" w:color="auto"/>
              <w:bottom w:val="single" w:sz="8" w:color="auto"/>
            </w:tcBorders>
            <w:shd w:val="clear" w:color="auto" w:fill="086FB8"/>
          </w:tcPr>
          <w:p>
            <w:pPr>
              <w:jc w:val="center"/>
              <w:ind w:left="84"/>
              <w:spacing w:after="0"/>
              <w:rPr>
                <w:sz w:val="20"/>
                <w:szCs w:val="20"/>
                <w:color w:val="auto"/>
              </w:rPr>
            </w:pPr>
            <w:r>
              <w:rPr>
                <w:rFonts w:ascii="Arial" w:cs="Arial" w:eastAsia="Arial" w:hAnsi="Arial"/>
                <w:sz w:val="13"/>
                <w:szCs w:val="13"/>
                <w:color w:val="FFFFFF"/>
                <w:w w:val="92"/>
              </w:rPr>
              <w:t>Name</w:t>
            </w:r>
          </w:p>
        </w:tc>
        <w:tc>
          <w:tcPr>
            <w:tcW w:w="940" w:type="dxa"/>
            <w:vAlign w:val="bottom"/>
            <w:tcBorders>
              <w:bottom w:val="single" w:sz="8" w:color="auto"/>
            </w:tcBorders>
            <w:shd w:val="clear" w:color="auto" w:fill="086FB8"/>
          </w:tcPr>
          <w:p>
            <w:pPr>
              <w:spacing w:after="0"/>
              <w:rPr>
                <w:sz w:val="18"/>
                <w:szCs w:val="18"/>
                <w:color w:val="auto"/>
              </w:rPr>
            </w:pPr>
          </w:p>
        </w:tc>
        <w:tc>
          <w:tcPr>
            <w:tcW w:w="7980" w:type="dxa"/>
            <w:vAlign w:val="bottom"/>
            <w:tcBorders>
              <w:bottom w:val="single" w:sz="8" w:color="auto"/>
              <w:right w:val="single" w:sz="8" w:color="auto"/>
            </w:tcBorders>
            <w:shd w:val="clear" w:color="auto" w:fill="086FB8"/>
          </w:tcPr>
          <w:p>
            <w:pPr>
              <w:ind w:left="3340"/>
              <w:spacing w:after="0"/>
              <w:rPr>
                <w:sz w:val="20"/>
                <w:szCs w:val="20"/>
                <w:color w:val="auto"/>
              </w:rPr>
            </w:pPr>
            <w:r>
              <w:rPr>
                <w:rFonts w:ascii="Arial" w:cs="Arial" w:eastAsia="Arial" w:hAnsi="Arial"/>
                <w:sz w:val="13"/>
                <w:szCs w:val="13"/>
                <w:color w:val="FFFFFF"/>
              </w:rPr>
              <w:t>Qualifications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320" w:type="dxa"/>
            <w:vAlign w:val="bottom"/>
            <w:tcBorders>
              <w:left w:val="single" w:sz="8" w:color="auto"/>
            </w:tcBorders>
          </w:tcPr>
          <w:p>
            <w:pPr>
              <w:spacing w:after="0"/>
              <w:rPr>
                <w:sz w:val="20"/>
                <w:szCs w:val="20"/>
                <w:color w:val="auto"/>
              </w:rPr>
            </w:pPr>
          </w:p>
        </w:tc>
        <w:tc>
          <w:tcPr>
            <w:tcW w:w="892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Key Experience and Qualifications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320" w:type="dxa"/>
            <w:vAlign w:val="bottom"/>
            <w:tcBorders>
              <w:left w:val="single" w:sz="8" w:color="auto"/>
            </w:tcBorders>
          </w:tcPr>
          <w:p>
            <w:pPr>
              <w:spacing w:after="0"/>
              <w:rPr>
                <w:sz w:val="19"/>
                <w:szCs w:val="19"/>
                <w:color w:val="auto"/>
              </w:rPr>
            </w:pPr>
          </w:p>
        </w:tc>
        <w:tc>
          <w:tcPr>
            <w:tcW w:w="940" w:type="dxa"/>
            <w:vAlign w:val="bottom"/>
          </w:tcPr>
          <w:p>
            <w:pPr>
              <w:ind w:left="720"/>
              <w:spacing w:after="0"/>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w w:val="97"/>
              </w:rPr>
              <w:t>Ms. Apoliona has dedicated more than 40 years working with and on behalf of Native Hawaiians. Her knowledge of Native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320" w:type="dxa"/>
            <w:vAlign w:val="bottom"/>
            <w:tcBorders>
              <w:lef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7980" w:type="dxa"/>
            <w:vAlign w:val="bottom"/>
            <w:tcBorders>
              <w:right w:val="single" w:sz="8" w:color="auto"/>
            </w:tcBorders>
          </w:tcPr>
          <w:p>
            <w:pPr>
              <w:ind w:left="100"/>
              <w:spacing w:after="0" w:line="161" w:lineRule="exact"/>
              <w:rPr>
                <w:sz w:val="20"/>
                <w:szCs w:val="20"/>
                <w:color w:val="auto"/>
              </w:rPr>
            </w:pPr>
            <w:r>
              <w:rPr>
                <w:rFonts w:ascii="Arial" w:cs="Arial" w:eastAsia="Arial" w:hAnsi="Arial"/>
                <w:sz w:val="15"/>
                <w:szCs w:val="15"/>
                <w:color w:val="auto"/>
                <w:w w:val="93"/>
              </w:rPr>
              <w:t>Hawaiian affairs and cultural and charitable causes in Hawaii gives her a unique perspective on the values and interests of our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20" w:type="dxa"/>
            <w:vAlign w:val="bottom"/>
            <w:tcBorders>
              <w:lef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7980" w:type="dxa"/>
            <w:vAlign w:val="bottom"/>
            <w:tcBorders>
              <w:right w:val="single" w:sz="8" w:color="auto"/>
            </w:tcBorders>
          </w:tcPr>
          <w:p>
            <w:pPr>
              <w:ind w:left="100"/>
              <w:spacing w:after="0" w:line="161" w:lineRule="exact"/>
              <w:rPr>
                <w:sz w:val="20"/>
                <w:szCs w:val="20"/>
                <w:color w:val="auto"/>
              </w:rPr>
            </w:pPr>
            <w:r>
              <w:rPr>
                <w:rFonts w:ascii="Arial" w:cs="Arial" w:eastAsia="Arial" w:hAnsi="Arial"/>
                <w:sz w:val="15"/>
                <w:szCs w:val="15"/>
                <w:color w:val="auto"/>
                <w:w w:val="97"/>
              </w:rPr>
              <w:t>core market, which pervade the business environment. These insights inform the discussion at both the Board and on the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3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Nominating &amp; Corporate Governance Committee.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320" w:type="dxa"/>
            <w:vAlign w:val="bottom"/>
            <w:tcBorders>
              <w:left w:val="single" w:sz="8" w:color="auto"/>
            </w:tcBorders>
          </w:tcPr>
          <w:p>
            <w:pPr>
              <w:spacing w:after="0"/>
              <w:rPr>
                <w:sz w:val="20"/>
                <w:szCs w:val="20"/>
                <w:color w:val="auto"/>
              </w:rPr>
            </w:pPr>
          </w:p>
        </w:tc>
        <w:tc>
          <w:tcPr>
            <w:tcW w:w="8920" w:type="dxa"/>
            <w:vAlign w:val="bottom"/>
            <w:tcBorders>
              <w:right w:val="single" w:sz="8" w:color="auto"/>
            </w:tcBorders>
            <w:gridSpan w:val="2"/>
          </w:tcPr>
          <w:p>
            <w:pPr>
              <w:ind w:left="400"/>
              <w:spacing w:after="0"/>
              <w:rPr>
                <w:sz w:val="20"/>
                <w:szCs w:val="20"/>
                <w:color w:val="auto"/>
              </w:rPr>
            </w:pPr>
            <w:r>
              <w:rPr>
                <w:rFonts w:ascii="Arial" w:cs="Arial" w:eastAsia="Arial" w:hAnsi="Arial"/>
                <w:sz w:val="16"/>
                <w:szCs w:val="16"/>
                <w:color w:val="auto"/>
              </w:rPr>
              <w:t>Career Highlights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auto"/>
            </w:tcBorders>
            <w:vMerge w:val="restart"/>
          </w:tcPr>
          <w:p>
            <w:pPr>
              <w:jc w:val="center"/>
              <w:ind w:left="64"/>
              <w:spacing w:after="0"/>
              <w:rPr>
                <w:sz w:val="20"/>
                <w:szCs w:val="20"/>
                <w:color w:val="auto"/>
              </w:rPr>
            </w:pPr>
            <w:r>
              <w:rPr>
                <w:rFonts w:ascii="Arial" w:cs="Arial" w:eastAsia="Arial" w:hAnsi="Arial"/>
                <w:sz w:val="16"/>
                <w:szCs w:val="16"/>
                <w:color w:val="auto"/>
                <w:w w:val="91"/>
              </w:rPr>
              <w:t>S. Haunani Apoliona</w:t>
            </w:r>
          </w:p>
        </w:tc>
        <w:tc>
          <w:tcPr>
            <w:tcW w:w="940" w:type="dxa"/>
            <w:vAlign w:val="bottom"/>
          </w:tcPr>
          <w:p>
            <w:pPr>
              <w:ind w:left="720"/>
              <w:spacing w:after="0"/>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w w:val="94"/>
              </w:rPr>
              <w:t>Ms. Apoliona was elected Trustee of the Office of Hawaiian Affairs (“OHA”) (entity established by the Constitution of the State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320" w:type="dxa"/>
            <w:vAlign w:val="bottom"/>
            <w:tcBorders>
              <w:left w:val="single" w:sz="8" w:color="auto"/>
            </w:tcBorders>
            <w:vMerge w:val="continue"/>
          </w:tcPr>
          <w:p>
            <w:pPr>
              <w:spacing w:after="0"/>
              <w:rPr>
                <w:sz w:val="13"/>
                <w:szCs w:val="13"/>
                <w:color w:val="auto"/>
              </w:rPr>
            </w:pPr>
          </w:p>
        </w:tc>
        <w:tc>
          <w:tcPr>
            <w:tcW w:w="940" w:type="dxa"/>
            <w:vAlign w:val="bottom"/>
          </w:tcPr>
          <w:p>
            <w:pPr>
              <w:spacing w:after="0"/>
              <w:rPr>
                <w:sz w:val="13"/>
                <w:szCs w:val="13"/>
                <w:color w:val="auto"/>
              </w:rPr>
            </w:pPr>
          </w:p>
        </w:tc>
        <w:tc>
          <w:tcPr>
            <w:tcW w:w="7980" w:type="dxa"/>
            <w:vAlign w:val="bottom"/>
            <w:tcBorders>
              <w:right w:val="single" w:sz="8" w:color="auto"/>
            </w:tcBorders>
          </w:tcPr>
          <w:p>
            <w:pPr>
              <w:ind w:left="100"/>
              <w:spacing w:after="0" w:line="161" w:lineRule="exact"/>
              <w:rPr>
                <w:sz w:val="20"/>
                <w:szCs w:val="20"/>
                <w:color w:val="auto"/>
              </w:rPr>
            </w:pPr>
            <w:r>
              <w:rPr>
                <w:rFonts w:ascii="Arial" w:cs="Arial" w:eastAsia="Arial" w:hAnsi="Arial"/>
                <w:sz w:val="15"/>
                <w:szCs w:val="15"/>
                <w:color w:val="auto"/>
                <w:w w:val="98"/>
              </w:rPr>
              <w:t>of Hawaii to improve the conditions and protect the entitlements of Native Hawaiians) in 1996 and served through 2016.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20" w:type="dxa"/>
            <w:vAlign w:val="bottom"/>
            <w:tcBorders>
              <w:left w:val="single" w:sz="8" w:color="auto"/>
            </w:tcBorders>
          </w:tcPr>
          <w:p>
            <w:pPr>
              <w:spacing w:after="0"/>
              <w:rPr>
                <w:sz w:val="13"/>
                <w:szCs w:val="13"/>
                <w:color w:val="auto"/>
              </w:rPr>
            </w:pPr>
          </w:p>
        </w:tc>
        <w:tc>
          <w:tcPr>
            <w:tcW w:w="940" w:type="dxa"/>
            <w:vAlign w:val="bottom"/>
          </w:tcPr>
          <w:p>
            <w:pPr>
              <w:ind w:left="720"/>
              <w:spacing w:after="0" w:line="161" w:lineRule="exact"/>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00"/>
              <w:spacing w:after="0" w:line="161" w:lineRule="exact"/>
              <w:rPr>
                <w:sz w:val="20"/>
                <w:szCs w:val="20"/>
                <w:color w:val="auto"/>
              </w:rPr>
            </w:pPr>
            <w:r>
              <w:rPr>
                <w:rFonts w:ascii="Arial" w:cs="Arial" w:eastAsia="Arial" w:hAnsi="Arial"/>
                <w:sz w:val="15"/>
                <w:szCs w:val="15"/>
                <w:color w:val="auto"/>
              </w:rPr>
              <w:t>As Chair of the OHA Board of Trustees from 2000 through 2010, she led the pursuit of Federal Recognition for Native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20" w:type="dxa"/>
            <w:vAlign w:val="bottom"/>
            <w:tcBorders>
              <w:lef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7980" w:type="dxa"/>
            <w:vAlign w:val="bottom"/>
            <w:tcBorders>
              <w:right w:val="single" w:sz="8" w:color="auto"/>
            </w:tcBorders>
          </w:tcPr>
          <w:p>
            <w:pPr>
              <w:ind w:left="100"/>
              <w:spacing w:after="0" w:line="161" w:lineRule="exact"/>
              <w:rPr>
                <w:sz w:val="20"/>
                <w:szCs w:val="20"/>
                <w:color w:val="auto"/>
              </w:rPr>
            </w:pPr>
            <w:r>
              <w:rPr>
                <w:rFonts w:ascii="Arial" w:cs="Arial" w:eastAsia="Arial" w:hAnsi="Arial"/>
                <w:sz w:val="15"/>
                <w:szCs w:val="15"/>
                <w:color w:val="auto"/>
              </w:rPr>
              <w:t>Hawaiians, resolution of long-standing ceded land revenue disputes, and a vast array of advocacy initiatives for Native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3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Hawaiians.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320" w:type="dxa"/>
            <w:vAlign w:val="bottom"/>
            <w:tcBorders>
              <w:left w:val="single" w:sz="8" w:color="auto"/>
            </w:tcBorders>
          </w:tcPr>
          <w:p>
            <w:pPr>
              <w:spacing w:after="0"/>
              <w:rPr>
                <w:sz w:val="20"/>
                <w:szCs w:val="20"/>
                <w:color w:val="auto"/>
              </w:rPr>
            </w:pPr>
          </w:p>
        </w:tc>
        <w:tc>
          <w:tcPr>
            <w:tcW w:w="8920" w:type="dxa"/>
            <w:vAlign w:val="bottom"/>
            <w:tcBorders>
              <w:right w:val="single" w:sz="8" w:color="auto"/>
            </w:tcBorders>
            <w:gridSpan w:val="2"/>
          </w:tcPr>
          <w:p>
            <w:pPr>
              <w:ind w:left="400"/>
              <w:spacing w:after="0"/>
              <w:rPr>
                <w:sz w:val="20"/>
                <w:szCs w:val="20"/>
                <w:color w:val="auto"/>
              </w:rPr>
            </w:pPr>
            <w:r>
              <w:rPr>
                <w:rFonts w:ascii="Arial" w:cs="Arial" w:eastAsia="Arial" w:hAnsi="Arial"/>
                <w:sz w:val="16"/>
                <w:szCs w:val="16"/>
                <w:color w:val="auto"/>
              </w:rPr>
              <w:t>Other Professional Experience and Community Involvement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auto"/>
            </w:tcBorders>
          </w:tcPr>
          <w:p>
            <w:pPr>
              <w:spacing w:after="0"/>
              <w:rPr>
                <w:sz w:val="16"/>
                <w:szCs w:val="16"/>
                <w:color w:val="auto"/>
              </w:rPr>
            </w:pPr>
          </w:p>
        </w:tc>
        <w:tc>
          <w:tcPr>
            <w:tcW w:w="940" w:type="dxa"/>
            <w:vAlign w:val="bottom"/>
          </w:tcPr>
          <w:p>
            <w:pPr>
              <w:ind w:left="720"/>
              <w:spacing w:after="0"/>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w w:val="96"/>
              </w:rPr>
              <w:t>Ms. Apoliona was President and Chief Executive Officer of Alu Like, a nonprofit organization with a mission to assist Native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320" w:type="dxa"/>
            <w:vAlign w:val="bottom"/>
            <w:tcBorders>
              <w:lef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7980" w:type="dxa"/>
            <w:vAlign w:val="bottom"/>
            <w:tcBorders>
              <w:right w:val="single" w:sz="8" w:color="auto"/>
            </w:tcBorders>
          </w:tcPr>
          <w:p>
            <w:pPr>
              <w:ind w:left="100"/>
              <w:spacing w:after="0" w:line="161" w:lineRule="exact"/>
              <w:rPr>
                <w:sz w:val="20"/>
                <w:szCs w:val="20"/>
                <w:color w:val="auto"/>
              </w:rPr>
            </w:pPr>
            <w:r>
              <w:rPr>
                <w:rFonts w:ascii="Arial" w:cs="Arial" w:eastAsia="Arial" w:hAnsi="Arial"/>
                <w:sz w:val="15"/>
                <w:szCs w:val="15"/>
                <w:color w:val="auto"/>
                <w:w w:val="94"/>
              </w:rPr>
              <w:t>Hawaiians in achieving social and economic self-sufficiency, including workforce training, vocational education, and training in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20" w:type="dxa"/>
            <w:vAlign w:val="bottom"/>
            <w:tcBorders>
              <w:lef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7980" w:type="dxa"/>
            <w:vAlign w:val="bottom"/>
            <w:tcBorders>
              <w:right w:val="single" w:sz="8" w:color="auto"/>
            </w:tcBorders>
          </w:tcPr>
          <w:p>
            <w:pPr>
              <w:ind w:left="100"/>
              <w:spacing w:after="0" w:line="161" w:lineRule="exact"/>
              <w:rPr>
                <w:sz w:val="20"/>
                <w:szCs w:val="20"/>
                <w:color w:val="auto"/>
              </w:rPr>
            </w:pPr>
            <w:r>
              <w:rPr>
                <w:rFonts w:ascii="Arial" w:cs="Arial" w:eastAsia="Arial" w:hAnsi="Arial"/>
                <w:sz w:val="15"/>
                <w:szCs w:val="15"/>
                <w:color w:val="auto"/>
                <w:w w:val="92"/>
              </w:rPr>
              <w:t>entrepreneurship, business development and computer technology. She was recently appointed by Governor David Ige to the 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20" w:type="dxa"/>
            <w:vAlign w:val="bottom"/>
            <w:tcBorders>
              <w:lef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7980" w:type="dxa"/>
            <w:vAlign w:val="bottom"/>
            <w:tcBorders>
              <w:right w:val="single" w:sz="8" w:color="auto"/>
            </w:tcBorders>
          </w:tcPr>
          <w:p>
            <w:pPr>
              <w:ind w:left="100"/>
              <w:spacing w:after="0" w:line="161" w:lineRule="exact"/>
              <w:rPr>
                <w:sz w:val="20"/>
                <w:szCs w:val="20"/>
                <w:color w:val="auto"/>
              </w:rPr>
            </w:pPr>
            <w:r>
              <w:rPr>
                <w:rFonts w:ascii="Arial" w:cs="Arial" w:eastAsia="Arial" w:hAnsi="Arial"/>
                <w:sz w:val="15"/>
                <w:szCs w:val="15"/>
                <w:color w:val="auto"/>
                <w:w w:val="92"/>
              </w:rPr>
              <w:t>member Commission on Salaries for the State of Hawai‘i. She has also been an honored composer and musician for more than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20" w:type="dxa"/>
            <w:vAlign w:val="bottom"/>
            <w:tcBorders>
              <w:lef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7980" w:type="dxa"/>
            <w:vAlign w:val="bottom"/>
            <w:tcBorders>
              <w:right w:val="single" w:sz="8" w:color="auto"/>
            </w:tcBorders>
          </w:tcPr>
          <w:p>
            <w:pPr>
              <w:ind w:left="100"/>
              <w:spacing w:after="0" w:line="161" w:lineRule="exact"/>
              <w:rPr>
                <w:sz w:val="20"/>
                <w:szCs w:val="20"/>
                <w:color w:val="auto"/>
              </w:rPr>
            </w:pPr>
            <w:r>
              <w:rPr>
                <w:rFonts w:ascii="Arial" w:cs="Arial" w:eastAsia="Arial" w:hAnsi="Arial"/>
                <w:sz w:val="15"/>
                <w:szCs w:val="15"/>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20" w:type="dxa"/>
            <w:vAlign w:val="bottom"/>
            <w:tcBorders>
              <w:left w:val="single" w:sz="8" w:color="auto"/>
            </w:tcBorders>
          </w:tcPr>
          <w:p>
            <w:pPr>
              <w:spacing w:after="0"/>
              <w:rPr>
                <w:sz w:val="13"/>
                <w:szCs w:val="13"/>
                <w:color w:val="auto"/>
              </w:rPr>
            </w:pPr>
          </w:p>
        </w:tc>
        <w:tc>
          <w:tcPr>
            <w:tcW w:w="940" w:type="dxa"/>
            <w:vAlign w:val="bottom"/>
          </w:tcPr>
          <w:p>
            <w:pPr>
              <w:ind w:left="720"/>
              <w:spacing w:after="0" w:line="161" w:lineRule="exact"/>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00"/>
              <w:spacing w:after="0" w:line="161" w:lineRule="exact"/>
              <w:rPr>
                <w:sz w:val="20"/>
                <w:szCs w:val="20"/>
                <w:color w:val="auto"/>
              </w:rPr>
            </w:pPr>
            <w:r>
              <w:rPr>
                <w:rFonts w:ascii="Arial" w:cs="Arial" w:eastAsia="Arial" w:hAnsi="Arial"/>
                <w:sz w:val="15"/>
                <w:szCs w:val="15"/>
                <w:color w:val="auto"/>
                <w:w w:val="92"/>
              </w:rPr>
              <w:t>Ms. Apoliona served on the State of Hawai‘i Commission on Salaries from 2019 through 2020, and received the JFM Leadership</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3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Award.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320" w:type="dxa"/>
            <w:vAlign w:val="bottom"/>
            <w:tcBorders>
              <w:left w:val="single" w:sz="8" w:color="auto"/>
            </w:tcBorders>
          </w:tcPr>
          <w:p>
            <w:pPr>
              <w:spacing w:after="0"/>
              <w:rPr>
                <w:sz w:val="20"/>
                <w:szCs w:val="20"/>
                <w:color w:val="auto"/>
              </w:rPr>
            </w:pPr>
          </w:p>
        </w:tc>
        <w:tc>
          <w:tcPr>
            <w:tcW w:w="8920" w:type="dxa"/>
            <w:vAlign w:val="bottom"/>
            <w:tcBorders>
              <w:right w:val="single" w:sz="8" w:color="auto"/>
            </w:tcBorders>
            <w:gridSpan w:val="2"/>
          </w:tcPr>
          <w:p>
            <w:pPr>
              <w:ind w:left="400"/>
              <w:spacing w:after="0"/>
              <w:rPr>
                <w:sz w:val="20"/>
                <w:szCs w:val="20"/>
                <w:color w:val="auto"/>
              </w:rPr>
            </w:pPr>
            <w:r>
              <w:rPr>
                <w:rFonts w:ascii="Arial" w:cs="Arial" w:eastAsia="Arial" w:hAnsi="Arial"/>
                <w:sz w:val="16"/>
                <w:szCs w:val="16"/>
                <w:color w:val="auto"/>
              </w:rPr>
              <w:t>Education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auto"/>
            </w:tcBorders>
          </w:tcPr>
          <w:p>
            <w:pPr>
              <w:spacing w:after="0"/>
              <w:rPr>
                <w:sz w:val="16"/>
                <w:szCs w:val="16"/>
                <w:color w:val="auto"/>
              </w:rPr>
            </w:pPr>
          </w:p>
        </w:tc>
        <w:tc>
          <w:tcPr>
            <w:tcW w:w="940" w:type="dxa"/>
            <w:vAlign w:val="bottom"/>
          </w:tcPr>
          <w:p>
            <w:pPr>
              <w:ind w:left="720"/>
              <w:spacing w:after="0"/>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w w:val="96"/>
              </w:rPr>
              <w:t>Ms. Apoliona studied at the University of Hawai‘i at Mānoa graduating with bachelor’s degrees in sociology and liberal arts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320" w:type="dxa"/>
            <w:vAlign w:val="bottom"/>
            <w:tcBorders>
              <w:left w:val="single" w:sz="8" w:color="auto"/>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7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(Hawaiian studies) and a master’s degree from the School of Social Work.</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320" w:type="dxa"/>
            <w:vAlign w:val="bottom"/>
            <w:tcBorders>
              <w:left w:val="single" w:sz="8" w:color="auto"/>
            </w:tcBorders>
          </w:tcPr>
          <w:p>
            <w:pPr>
              <w:spacing w:after="0"/>
              <w:rPr>
                <w:sz w:val="19"/>
                <w:szCs w:val="19"/>
                <w:color w:val="auto"/>
              </w:rPr>
            </w:pPr>
          </w:p>
        </w:tc>
        <w:tc>
          <w:tcPr>
            <w:tcW w:w="892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Key Experience and Qualifications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auto"/>
            </w:tcBorders>
          </w:tcPr>
          <w:p>
            <w:pPr>
              <w:spacing w:after="0"/>
              <w:rPr>
                <w:sz w:val="16"/>
                <w:szCs w:val="16"/>
                <w:color w:val="auto"/>
              </w:rPr>
            </w:pPr>
          </w:p>
        </w:tc>
        <w:tc>
          <w:tcPr>
            <w:tcW w:w="940" w:type="dxa"/>
            <w:vAlign w:val="bottom"/>
          </w:tcPr>
          <w:p>
            <w:pPr>
              <w:ind w:left="780"/>
              <w:spacing w:after="0"/>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Mr. Burak’s career in accounting, finance and strategic planning for major banking organizations brings a high level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320" w:type="dxa"/>
            <w:vAlign w:val="bottom"/>
            <w:tcBorders>
              <w:lef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7980" w:type="dxa"/>
            <w:vAlign w:val="bottom"/>
            <w:tcBorders>
              <w:right w:val="single" w:sz="8" w:color="auto"/>
            </w:tcBorders>
          </w:tcPr>
          <w:p>
            <w:pPr>
              <w:ind w:left="160"/>
              <w:spacing w:after="0" w:line="161" w:lineRule="exact"/>
              <w:rPr>
                <w:sz w:val="20"/>
                <w:szCs w:val="20"/>
                <w:color w:val="auto"/>
              </w:rPr>
            </w:pPr>
            <w:r>
              <w:rPr>
                <w:rFonts w:ascii="Arial" w:cs="Arial" w:eastAsia="Arial" w:hAnsi="Arial"/>
                <w:sz w:val="15"/>
                <w:szCs w:val="15"/>
                <w:color w:val="auto"/>
                <w:w w:val="94"/>
              </w:rPr>
              <w:t>sophistication to his participation in Board discussions of a wide range of financial, strategic planning and operating matters,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20" w:type="dxa"/>
            <w:vAlign w:val="bottom"/>
            <w:tcBorders>
              <w:lef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7980" w:type="dxa"/>
            <w:vAlign w:val="bottom"/>
            <w:tcBorders>
              <w:right w:val="single" w:sz="8" w:color="auto"/>
            </w:tcBorders>
          </w:tcPr>
          <w:p>
            <w:pPr>
              <w:ind w:left="160"/>
              <w:spacing w:after="0" w:line="161" w:lineRule="exact"/>
              <w:rPr>
                <w:sz w:val="20"/>
                <w:szCs w:val="20"/>
                <w:color w:val="auto"/>
              </w:rPr>
            </w:pPr>
            <w:r>
              <w:rPr>
                <w:rFonts w:ascii="Arial" w:cs="Arial" w:eastAsia="Arial" w:hAnsi="Arial"/>
                <w:sz w:val="15"/>
                <w:szCs w:val="15"/>
                <w:color w:val="auto"/>
                <w:w w:val="92"/>
              </w:rPr>
              <w:t>and his prior engagement as a consultant to Bank of Hawaii, including considerable involvement in formulating our longer term</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20" w:type="dxa"/>
            <w:vAlign w:val="bottom"/>
            <w:tcBorders>
              <w:lef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7980" w:type="dxa"/>
            <w:vAlign w:val="bottom"/>
            <w:tcBorders>
              <w:right w:val="single" w:sz="8" w:color="auto"/>
            </w:tcBorders>
          </w:tcPr>
          <w:p>
            <w:pPr>
              <w:ind w:left="160"/>
              <w:spacing w:after="0" w:line="161" w:lineRule="exact"/>
              <w:rPr>
                <w:sz w:val="20"/>
                <w:szCs w:val="20"/>
                <w:color w:val="auto"/>
              </w:rPr>
            </w:pPr>
            <w:r>
              <w:rPr>
                <w:rFonts w:ascii="Arial" w:cs="Arial" w:eastAsia="Arial" w:hAnsi="Arial"/>
                <w:sz w:val="15"/>
                <w:szCs w:val="15"/>
                <w:color w:val="auto"/>
                <w:w w:val="97"/>
              </w:rPr>
              <w:t>strategy, along with his twelve years of experience on the Board, provide him substantial knowledge of our business. His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20" w:type="dxa"/>
            <w:vAlign w:val="bottom"/>
            <w:tcBorders>
              <w:lef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7980" w:type="dxa"/>
            <w:vAlign w:val="bottom"/>
            <w:tcBorders>
              <w:right w:val="single" w:sz="8" w:color="auto"/>
            </w:tcBorders>
          </w:tcPr>
          <w:p>
            <w:pPr>
              <w:ind w:left="160"/>
              <w:spacing w:after="0" w:line="161" w:lineRule="exact"/>
              <w:rPr>
                <w:sz w:val="20"/>
                <w:szCs w:val="20"/>
                <w:color w:val="auto"/>
              </w:rPr>
            </w:pPr>
            <w:r>
              <w:rPr>
                <w:rFonts w:ascii="Arial" w:cs="Arial" w:eastAsia="Arial" w:hAnsi="Arial"/>
                <w:sz w:val="15"/>
                <w:szCs w:val="15"/>
                <w:color w:val="auto"/>
                <w:w w:val="92"/>
              </w:rPr>
              <w:t>professional experience and educational background make him qualified to serve on the Board and as Chair of the Audit &amp; Risk</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3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5"/>
                <w:szCs w:val="15"/>
                <w:color w:val="auto"/>
              </w:rPr>
              <w:t>Committee.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320" w:type="dxa"/>
            <w:vAlign w:val="bottom"/>
            <w:tcBorders>
              <w:left w:val="single" w:sz="8" w:color="auto"/>
            </w:tcBorders>
            <w:vMerge w:val="restart"/>
          </w:tcPr>
          <w:p>
            <w:pPr>
              <w:jc w:val="center"/>
              <w:ind w:left="64"/>
              <w:spacing w:after="0"/>
              <w:rPr>
                <w:sz w:val="20"/>
                <w:szCs w:val="20"/>
                <w:color w:val="auto"/>
              </w:rPr>
            </w:pPr>
            <w:r>
              <w:rPr>
                <w:rFonts w:ascii="Arial" w:cs="Arial" w:eastAsia="Arial" w:hAnsi="Arial"/>
                <w:sz w:val="16"/>
                <w:szCs w:val="16"/>
                <w:color w:val="auto"/>
                <w:w w:val="96"/>
              </w:rPr>
              <w:t>Mark A. Burak</w:t>
            </w:r>
          </w:p>
        </w:tc>
        <w:tc>
          <w:tcPr>
            <w:tcW w:w="892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Career Highlights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320" w:type="dxa"/>
            <w:vAlign w:val="bottom"/>
            <w:tcBorders>
              <w:left w:val="single" w:sz="8" w:color="auto"/>
            </w:tcBorders>
            <w:vMerge w:val="continue"/>
          </w:tcPr>
          <w:p>
            <w:pPr>
              <w:spacing w:after="0"/>
              <w:rPr>
                <w:sz w:val="8"/>
                <w:szCs w:val="8"/>
                <w:color w:val="auto"/>
              </w:rPr>
            </w:pPr>
          </w:p>
        </w:tc>
        <w:tc>
          <w:tcPr>
            <w:tcW w:w="940" w:type="dxa"/>
            <w:vAlign w:val="bottom"/>
            <w:vMerge w:val="restart"/>
          </w:tcPr>
          <w:p>
            <w:pPr>
              <w:ind w:left="780"/>
              <w:spacing w:after="0"/>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5"/>
                <w:szCs w:val="15"/>
                <w:color w:val="auto"/>
              </w:rPr>
              <w:t>Mr. Burak was an independent consultant providing planning and business performance evaluation advisory services.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320" w:type="dxa"/>
            <w:vAlign w:val="bottom"/>
            <w:tcBorders>
              <w:left w:val="single" w:sz="8" w:color="auto"/>
            </w:tcBorders>
          </w:tcPr>
          <w:p>
            <w:pPr>
              <w:spacing w:after="0"/>
              <w:rPr>
                <w:sz w:val="8"/>
                <w:szCs w:val="8"/>
                <w:color w:val="auto"/>
              </w:rPr>
            </w:pPr>
          </w:p>
        </w:tc>
        <w:tc>
          <w:tcPr>
            <w:tcW w:w="940" w:type="dxa"/>
            <w:vAlign w:val="bottom"/>
            <w:vMerge w:val="continue"/>
          </w:tcPr>
          <w:p>
            <w:pPr>
              <w:spacing w:after="0"/>
              <w:rPr>
                <w:sz w:val="8"/>
                <w:szCs w:val="8"/>
                <w:color w:val="auto"/>
              </w:rPr>
            </w:pPr>
          </w:p>
        </w:tc>
        <w:tc>
          <w:tcPr>
            <w:tcW w:w="7980" w:type="dxa"/>
            <w:vAlign w:val="bottom"/>
            <w:tcBorders>
              <w:right w:val="single" w:sz="8" w:color="auto"/>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320" w:type="dxa"/>
            <w:vAlign w:val="bottom"/>
            <w:tcBorders>
              <w:left w:val="single" w:sz="8" w:color="auto"/>
            </w:tcBorders>
          </w:tcPr>
          <w:p>
            <w:pPr>
              <w:spacing w:after="0"/>
              <w:rPr>
                <w:sz w:val="13"/>
                <w:szCs w:val="13"/>
                <w:color w:val="auto"/>
              </w:rPr>
            </w:pPr>
          </w:p>
        </w:tc>
        <w:tc>
          <w:tcPr>
            <w:tcW w:w="940" w:type="dxa"/>
            <w:vAlign w:val="bottom"/>
          </w:tcPr>
          <w:p>
            <w:pPr>
              <w:ind w:left="780"/>
              <w:spacing w:after="0" w:line="161" w:lineRule="exact"/>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5"/>
              </w:rPr>
              <w:t>He formerly served as Executive Vice President for Planning, Analysis and Performance Measurement at Bank of America,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20" w:type="dxa"/>
            <w:vAlign w:val="bottom"/>
            <w:tcBorders>
              <w:lef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7980" w:type="dxa"/>
            <w:vAlign w:val="bottom"/>
            <w:tcBorders>
              <w:right w:val="single" w:sz="8" w:color="auto"/>
            </w:tcBorders>
          </w:tcPr>
          <w:p>
            <w:pPr>
              <w:ind w:left="160"/>
              <w:spacing w:after="0" w:line="161" w:lineRule="exact"/>
              <w:rPr>
                <w:sz w:val="20"/>
                <w:szCs w:val="20"/>
                <w:color w:val="auto"/>
              </w:rPr>
            </w:pPr>
            <w:r>
              <w:rPr>
                <w:rFonts w:ascii="Arial" w:cs="Arial" w:eastAsia="Arial" w:hAnsi="Arial"/>
                <w:sz w:val="15"/>
                <w:szCs w:val="15"/>
                <w:color w:val="auto"/>
              </w:rPr>
              <w:t>having retired after more than thirty years of service.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20" w:type="dxa"/>
            <w:vAlign w:val="bottom"/>
            <w:tcBorders>
              <w:left w:val="single" w:sz="8" w:color="auto"/>
            </w:tcBorders>
          </w:tcPr>
          <w:p>
            <w:pPr>
              <w:spacing w:after="0"/>
              <w:rPr>
                <w:sz w:val="13"/>
                <w:szCs w:val="13"/>
                <w:color w:val="auto"/>
              </w:rPr>
            </w:pPr>
          </w:p>
        </w:tc>
        <w:tc>
          <w:tcPr>
            <w:tcW w:w="940" w:type="dxa"/>
            <w:vAlign w:val="bottom"/>
          </w:tcPr>
          <w:p>
            <w:pPr>
              <w:ind w:left="780"/>
              <w:spacing w:after="0" w:line="161" w:lineRule="exact"/>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4"/>
              </w:rPr>
              <w:t>Mr. Burak held various accounting and finance positions based in Chicago, London, San Francisco, and Charlotte at Bank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3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5"/>
                <w:szCs w:val="15"/>
                <w:color w:val="auto"/>
              </w:rPr>
              <w:t>America and the former Continental Illinois National Bank.</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320" w:type="dxa"/>
            <w:vAlign w:val="bottom"/>
            <w:tcBorders>
              <w:left w:val="single" w:sz="8" w:color="auto"/>
            </w:tcBorders>
          </w:tcPr>
          <w:p>
            <w:pPr>
              <w:spacing w:after="0"/>
              <w:rPr>
                <w:sz w:val="20"/>
                <w:szCs w:val="20"/>
                <w:color w:val="auto"/>
              </w:rPr>
            </w:pPr>
          </w:p>
        </w:tc>
        <w:tc>
          <w:tcPr>
            <w:tcW w:w="892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Other Professional Experience and Community Involvement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auto"/>
            </w:tcBorders>
          </w:tcPr>
          <w:p>
            <w:pPr>
              <w:spacing w:after="0"/>
              <w:rPr>
                <w:sz w:val="16"/>
                <w:szCs w:val="16"/>
                <w:color w:val="auto"/>
              </w:rPr>
            </w:pPr>
          </w:p>
        </w:tc>
        <w:tc>
          <w:tcPr>
            <w:tcW w:w="940" w:type="dxa"/>
            <w:vAlign w:val="bottom"/>
          </w:tcPr>
          <w:p>
            <w:pPr>
              <w:ind w:left="780"/>
              <w:spacing w:after="0"/>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Mr. Burak is a Certified Public Accountant and served as Controller, Managing Director of Management Accounting &amp;</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320" w:type="dxa"/>
            <w:vAlign w:val="bottom"/>
            <w:tcBorders>
              <w:lef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7980" w:type="dxa"/>
            <w:vAlign w:val="bottom"/>
            <w:tcBorders>
              <w:right w:val="single" w:sz="8" w:color="auto"/>
            </w:tcBorders>
          </w:tcPr>
          <w:p>
            <w:pPr>
              <w:ind w:left="160"/>
              <w:spacing w:after="0" w:line="161" w:lineRule="exact"/>
              <w:rPr>
                <w:sz w:val="20"/>
                <w:szCs w:val="20"/>
                <w:color w:val="auto"/>
              </w:rPr>
            </w:pPr>
            <w:r>
              <w:rPr>
                <w:rFonts w:ascii="Arial" w:cs="Arial" w:eastAsia="Arial" w:hAnsi="Arial"/>
                <w:sz w:val="15"/>
                <w:szCs w:val="15"/>
                <w:color w:val="auto"/>
                <w:w w:val="99"/>
              </w:rPr>
              <w:t>Analysis, Business Segment Controller, and Regional Controller for Europe and Asia for the former Continental Illinois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20" w:type="dxa"/>
            <w:vAlign w:val="bottom"/>
            <w:tcBorders>
              <w:lef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7980" w:type="dxa"/>
            <w:vAlign w:val="bottom"/>
            <w:tcBorders>
              <w:right w:val="single" w:sz="8" w:color="auto"/>
            </w:tcBorders>
          </w:tcPr>
          <w:p>
            <w:pPr>
              <w:ind w:left="160"/>
              <w:spacing w:after="0" w:line="161" w:lineRule="exact"/>
              <w:rPr>
                <w:sz w:val="20"/>
                <w:szCs w:val="20"/>
                <w:color w:val="auto"/>
              </w:rPr>
            </w:pPr>
            <w:r>
              <w:rPr>
                <w:rFonts w:ascii="Arial" w:cs="Arial" w:eastAsia="Arial" w:hAnsi="Arial"/>
                <w:sz w:val="15"/>
                <w:szCs w:val="15"/>
                <w:color w:val="auto"/>
              </w:rPr>
              <w:t>National Bank.</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20" w:type="dxa"/>
            <w:vAlign w:val="bottom"/>
            <w:tcBorders>
              <w:left w:val="single" w:sz="8" w:color="auto"/>
            </w:tcBorders>
          </w:tcPr>
          <w:p>
            <w:pPr>
              <w:spacing w:after="0"/>
              <w:rPr>
                <w:sz w:val="13"/>
                <w:szCs w:val="13"/>
                <w:color w:val="auto"/>
              </w:rPr>
            </w:pPr>
          </w:p>
        </w:tc>
        <w:tc>
          <w:tcPr>
            <w:tcW w:w="940" w:type="dxa"/>
            <w:vAlign w:val="bottom"/>
          </w:tcPr>
          <w:p>
            <w:pPr>
              <w:ind w:left="780"/>
              <w:spacing w:after="0" w:line="161" w:lineRule="exact"/>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6"/>
              </w:rPr>
              <w:t>He serves on the Board of Trustees of the Manoa Heritage Center and the Honolulu Museum of Art where he was also the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20" w:type="dxa"/>
            <w:vAlign w:val="bottom"/>
            <w:tcBorders>
              <w:lef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7980" w:type="dxa"/>
            <w:vAlign w:val="bottom"/>
            <w:tcBorders>
              <w:right w:val="single" w:sz="8" w:color="auto"/>
            </w:tcBorders>
          </w:tcPr>
          <w:p>
            <w:pPr>
              <w:ind w:left="160"/>
              <w:spacing w:after="0" w:line="161" w:lineRule="exact"/>
              <w:rPr>
                <w:sz w:val="20"/>
                <w:szCs w:val="20"/>
                <w:color w:val="auto"/>
              </w:rPr>
            </w:pPr>
            <w:r>
              <w:rPr>
                <w:rFonts w:ascii="Arial" w:cs="Arial" w:eastAsia="Arial" w:hAnsi="Arial"/>
                <w:sz w:val="15"/>
                <w:szCs w:val="15"/>
                <w:color w:val="auto"/>
                <w:w w:val="91"/>
              </w:rPr>
              <w:t>organization’s Treasurer and Chairman of the Finance Committee before reaching his term limit and moved to Emeritus Trustee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20" w:type="dxa"/>
            <w:vAlign w:val="bottom"/>
            <w:tcBorders>
              <w:lef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7980" w:type="dxa"/>
            <w:vAlign w:val="bottom"/>
            <w:tcBorders>
              <w:right w:val="single" w:sz="8" w:color="auto"/>
            </w:tcBorders>
          </w:tcPr>
          <w:p>
            <w:pPr>
              <w:ind w:left="160"/>
              <w:spacing w:after="0" w:line="161" w:lineRule="exact"/>
              <w:rPr>
                <w:sz w:val="20"/>
                <w:szCs w:val="20"/>
                <w:color w:val="auto"/>
              </w:rPr>
            </w:pPr>
            <w:r>
              <w:rPr>
                <w:rFonts w:ascii="Arial" w:cs="Arial" w:eastAsia="Arial" w:hAnsi="Arial"/>
                <w:sz w:val="15"/>
                <w:szCs w:val="15"/>
                <w:color w:val="auto"/>
              </w:rPr>
              <w:t>status in 2020. He served as an Interim Director of the Honolulu Museum of Art from 2019 to early 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20" w:type="dxa"/>
            <w:vAlign w:val="bottom"/>
            <w:tcBorders>
              <w:left w:val="single" w:sz="8" w:color="auto"/>
            </w:tcBorders>
          </w:tcPr>
          <w:p>
            <w:pPr>
              <w:spacing w:after="0"/>
              <w:rPr>
                <w:sz w:val="13"/>
                <w:szCs w:val="13"/>
                <w:color w:val="auto"/>
              </w:rPr>
            </w:pPr>
          </w:p>
        </w:tc>
        <w:tc>
          <w:tcPr>
            <w:tcW w:w="940" w:type="dxa"/>
            <w:vAlign w:val="bottom"/>
          </w:tcPr>
          <w:p>
            <w:pPr>
              <w:ind w:left="780"/>
              <w:spacing w:after="0" w:line="161" w:lineRule="exact"/>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1"/>
              </w:rPr>
              <w:t>He is a member of Financial Executives International, having served on several local chapter boards and as President of the San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3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5"/>
                <w:szCs w:val="15"/>
                <w:color w:val="auto"/>
              </w:rPr>
              <w:t>Francisco Chapter, and is a member of the American Institute of Certified Public Accountants.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320" w:type="dxa"/>
            <w:vAlign w:val="bottom"/>
            <w:tcBorders>
              <w:left w:val="single" w:sz="8" w:color="auto"/>
            </w:tcBorders>
          </w:tcPr>
          <w:p>
            <w:pPr>
              <w:spacing w:after="0"/>
              <w:rPr>
                <w:sz w:val="20"/>
                <w:szCs w:val="20"/>
                <w:color w:val="auto"/>
              </w:rPr>
            </w:pPr>
          </w:p>
        </w:tc>
        <w:tc>
          <w:tcPr>
            <w:tcW w:w="892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Education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auto"/>
            </w:tcBorders>
          </w:tcPr>
          <w:p>
            <w:pPr>
              <w:spacing w:after="0"/>
              <w:rPr>
                <w:sz w:val="16"/>
                <w:szCs w:val="16"/>
                <w:color w:val="auto"/>
              </w:rPr>
            </w:pPr>
          </w:p>
        </w:tc>
        <w:tc>
          <w:tcPr>
            <w:tcW w:w="940" w:type="dxa"/>
            <w:vAlign w:val="bottom"/>
          </w:tcPr>
          <w:p>
            <w:pPr>
              <w:ind w:left="780"/>
              <w:spacing w:after="0"/>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w w:val="95"/>
              </w:rPr>
              <w:t>Mr. Burak received his bachelor’s degree in business administration in public accounting from Loyola University of Chicago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320" w:type="dxa"/>
            <w:vAlign w:val="bottom"/>
            <w:tcBorders>
              <w:left w:val="single" w:sz="8" w:color="auto"/>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79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5"/>
                <w:szCs w:val="15"/>
                <w:color w:val="auto"/>
              </w:rPr>
              <w:t>and his M.B.A. in finance from the Kellogg Graduate School of Management at Northwestern University.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3"/>
        </w:trPr>
        <w:tc>
          <w:tcPr>
            <w:tcW w:w="2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980" w:type="dxa"/>
            <w:vAlign w:val="bottom"/>
          </w:tcPr>
          <w:p>
            <w:pPr>
              <w:ind w:left="2320"/>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377825</wp:posOffset>
            </wp:positionH>
            <wp:positionV relativeFrom="paragraph">
              <wp:posOffset>-5842000</wp:posOffset>
            </wp:positionV>
            <wp:extent cx="815340" cy="815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5340" cy="815340"/>
                    </a:xfrm>
                    <a:prstGeom prst="rect">
                      <a:avLst/>
                    </a:prstGeom>
                    <a:noFill/>
                  </pic:spPr>
                </pic:pic>
              </a:graphicData>
            </a:graphic>
          </wp:anchor>
        </w:drawing>
        <w:drawing>
          <wp:anchor simplePos="0" relativeHeight="251657728" behindDoc="1" locked="0" layoutInCell="0" allowOverlap="1">
            <wp:simplePos x="0" y="0"/>
            <wp:positionH relativeFrom="column">
              <wp:posOffset>377825</wp:posOffset>
            </wp:positionH>
            <wp:positionV relativeFrom="paragraph">
              <wp:posOffset>-3243580</wp:posOffset>
            </wp:positionV>
            <wp:extent cx="815340" cy="815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15340" cy="81534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280035</wp:posOffset>
            </wp:positionV>
            <wp:extent cx="7125335" cy="52736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5335" cy="527367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1080"/>
        <w:spacing w:after="0"/>
        <w:tabs>
          <w:tab w:leader="none" w:pos="6580" w:val="left"/>
        </w:tabs>
        <w:rPr>
          <w:sz w:val="20"/>
          <w:szCs w:val="20"/>
          <w:color w:val="auto"/>
        </w:rPr>
      </w:pPr>
      <w:r>
        <w:rPr>
          <w:rFonts w:ascii="Arial" w:cs="Arial" w:eastAsia="Arial" w:hAnsi="Arial"/>
          <w:sz w:val="13"/>
          <w:szCs w:val="13"/>
          <w:color w:val="FFFFFF"/>
        </w:rPr>
        <w:t>Name</w:t>
      </w:r>
      <w:r>
        <w:rPr>
          <w:sz w:val="20"/>
          <w:szCs w:val="20"/>
          <w:color w:val="auto"/>
        </w:rPr>
        <w:tab/>
      </w:r>
      <w:r>
        <w:rPr>
          <w:rFonts w:ascii="Arial" w:cs="Arial" w:eastAsia="Arial" w:hAnsi="Arial"/>
          <w:sz w:val="13"/>
          <w:szCs w:val="13"/>
          <w:color w:val="FFFFFF"/>
        </w:rPr>
        <w:t>Qualifications</w:t>
      </w:r>
    </w:p>
    <w:p>
      <w:pPr>
        <w:spacing w:after="0" w:line="79"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Key Experience and Qualifications</w:t>
      </w:r>
    </w:p>
    <w:p>
      <w:pPr>
        <w:spacing w:after="0" w:line="53" w:lineRule="exact"/>
        <w:rPr>
          <w:sz w:val="20"/>
          <w:szCs w:val="20"/>
          <w:color w:val="auto"/>
        </w:rPr>
      </w:pPr>
    </w:p>
    <w:p>
      <w:pPr>
        <w:ind w:left="3420" w:right="340" w:hanging="330"/>
        <w:spacing w:after="0" w:line="267" w:lineRule="auto"/>
        <w:tabs>
          <w:tab w:leader="none" w:pos="3417" w:val="left"/>
        </w:tabs>
        <w:numPr>
          <w:ilvl w:val="0"/>
          <w:numId w:val="33"/>
        </w:numPr>
        <w:rPr>
          <w:rFonts w:ascii="Arial" w:cs="Arial" w:eastAsia="Arial" w:hAnsi="Arial"/>
          <w:sz w:val="13"/>
          <w:szCs w:val="13"/>
          <w:color w:val="auto"/>
        </w:rPr>
      </w:pPr>
      <w:r>
        <w:rPr>
          <w:rFonts w:ascii="Arial" w:cs="Arial" w:eastAsia="Arial" w:hAnsi="Arial"/>
          <w:sz w:val="13"/>
          <w:szCs w:val="13"/>
          <w:color w:val="auto"/>
        </w:rPr>
        <w:t>A seasoned financial services executive with over 38 years in the industry, Mr. Erickson brings a wealth of strategic, operational and management experience, having led a wide range of business units, including commercial lending, deposits,</w:t>
      </w:r>
    </w:p>
    <w:p>
      <w:pPr>
        <w:ind w:left="3420" w:right="100"/>
        <w:spacing w:after="0" w:line="255" w:lineRule="auto"/>
        <w:rPr>
          <w:sz w:val="20"/>
          <w:szCs w:val="20"/>
          <w:color w:val="auto"/>
        </w:rPr>
      </w:pPr>
      <w:r>
        <w:rPr>
          <w:rFonts w:ascii="Arial" w:cs="Arial" w:eastAsia="Arial" w:hAnsi="Arial"/>
          <w:sz w:val="13"/>
          <w:szCs w:val="13"/>
          <w:color w:val="auto"/>
        </w:rPr>
        <w:t>risk management, capital markets and wealth management. Mr. Erickson worked with Union Bank in California until 2014 and his tenure included serving as Vice Chairman and Chief Risk Officer as well as Chief Corporate Banking Officer during that time. In addition, he served on the board of Zions Bancorporation, a publicly traded financial services holding company, as Chairman of the Risk Oversight Committee and as an Audit Committee member from 2014 to 2016. He has served on the board of Luther Burbank Corporation, a publicly traded financial services holding company, since 2017 and is a member of the</w:t>
      </w:r>
    </w:p>
    <w:p>
      <w:pPr>
        <w:jc w:val="center"/>
        <w:spacing w:after="0" w:line="226" w:lineRule="auto"/>
        <w:rPr>
          <w:sz w:val="20"/>
          <w:szCs w:val="20"/>
          <w:color w:val="auto"/>
        </w:rPr>
      </w:pPr>
      <w:r>
        <w:rPr>
          <w:rFonts w:ascii="Arial" w:cs="Arial" w:eastAsia="Arial" w:hAnsi="Arial"/>
          <w:sz w:val="16"/>
          <w:szCs w:val="16"/>
          <w:color w:val="auto"/>
        </w:rPr>
        <w:t xml:space="preserve">John C. Erickson                     </w:t>
      </w:r>
      <w:r>
        <w:rPr>
          <w:rFonts w:ascii="Arial" w:cs="Arial" w:eastAsia="Arial" w:hAnsi="Arial"/>
          <w:sz w:val="15"/>
          <w:szCs w:val="15"/>
          <w:color w:val="auto"/>
        </w:rPr>
        <w:t>Audit &amp; Risk and Compensation Committees. Mr. Erickson’s strong banking, risk management, board, and executive</w:t>
      </w:r>
      <w:r>
        <w:rPr>
          <w:rFonts w:ascii="Arial" w:cs="Arial" w:eastAsia="Arial" w:hAnsi="Arial"/>
          <w:sz w:val="16"/>
          <w:szCs w:val="16"/>
          <w:color w:val="auto"/>
        </w:rPr>
        <w:t xml:space="preserve"> </w:t>
      </w:r>
      <w:r>
        <w:rPr>
          <w:rFonts w:ascii="Arial" w:cs="Arial" w:eastAsia="Arial" w:hAnsi="Arial"/>
          <w:sz w:val="15"/>
          <w:szCs w:val="15"/>
          <w:color w:val="auto"/>
        </w:rPr>
        <w:t>background qualify him to serve on our Board and Audit &amp; Risk Committee.</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Career Highlights</w:t>
      </w:r>
    </w:p>
    <w:p>
      <w:pPr>
        <w:spacing w:after="0" w:line="53" w:lineRule="exact"/>
        <w:rPr>
          <w:sz w:val="20"/>
          <w:szCs w:val="20"/>
          <w:color w:val="auto"/>
        </w:rPr>
      </w:pPr>
    </w:p>
    <w:p>
      <w:pPr>
        <w:ind w:left="3420" w:right="160" w:hanging="330"/>
        <w:spacing w:after="0" w:line="233" w:lineRule="auto"/>
        <w:tabs>
          <w:tab w:leader="none" w:pos="3417" w:val="left"/>
        </w:tabs>
        <w:numPr>
          <w:ilvl w:val="0"/>
          <w:numId w:val="34"/>
        </w:numPr>
        <w:rPr>
          <w:rFonts w:ascii="Arial" w:cs="Arial" w:eastAsia="Arial" w:hAnsi="Arial"/>
          <w:sz w:val="15"/>
          <w:szCs w:val="15"/>
          <w:color w:val="auto"/>
        </w:rPr>
      </w:pPr>
      <w:r>
        <w:rPr>
          <w:rFonts w:ascii="Arial" w:cs="Arial" w:eastAsia="Arial" w:hAnsi="Arial"/>
          <w:sz w:val="15"/>
          <w:szCs w:val="15"/>
          <w:color w:val="auto"/>
        </w:rPr>
        <w:t>Mr. Erickson began his career at Union Bank in 1983, and served in various leadership roles including Vice Chairman, Chief Corporate Banking Officer responsible for Commercial Banking, Real Estate Industries, Global Treasury Management, Global Capital Markets, and Wealth Management, and as Vice Chairman and Chief Risk Officer responsible for enterprise-wide risk management and regulatory relations.</w:t>
      </w:r>
    </w:p>
    <w:p>
      <w:pPr>
        <w:spacing w:after="0" w:line="3"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Other Professional Experience and Community Involvement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60" w:type="dxa"/>
            <w:vAlign w:val="bottom"/>
          </w:tcPr>
          <w:p>
            <w:pPr>
              <w:ind w:left="780"/>
              <w:spacing w:after="0"/>
              <w:rPr>
                <w:sz w:val="20"/>
                <w:szCs w:val="20"/>
                <w:color w:val="auto"/>
              </w:rPr>
            </w:pPr>
            <w:r>
              <w:rPr>
                <w:rFonts w:ascii="Arial" w:cs="Arial" w:eastAsia="Arial" w:hAnsi="Arial"/>
                <w:sz w:val="15"/>
                <w:szCs w:val="15"/>
                <w:color w:val="auto"/>
              </w:rPr>
              <w:t>•</w:t>
            </w:r>
          </w:p>
        </w:tc>
        <w:tc>
          <w:tcPr>
            <w:tcW w:w="7960" w:type="dxa"/>
            <w:vAlign w:val="bottom"/>
          </w:tcPr>
          <w:p>
            <w:pPr>
              <w:ind w:left="120"/>
              <w:spacing w:after="0"/>
              <w:rPr>
                <w:sz w:val="20"/>
                <w:szCs w:val="20"/>
                <w:color w:val="auto"/>
              </w:rPr>
            </w:pPr>
            <w:r>
              <w:rPr>
                <w:rFonts w:ascii="Arial" w:cs="Arial" w:eastAsia="Arial" w:hAnsi="Arial"/>
                <w:sz w:val="15"/>
                <w:szCs w:val="15"/>
                <w:color w:val="auto"/>
                <w:w w:val="94"/>
              </w:rPr>
              <w:t>Mr. Erickson served on the boards of the California Bankers Association, The Living Desert as a member of the Finance and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960" w:type="dxa"/>
            <w:vAlign w:val="bottom"/>
          </w:tcPr>
          <w:p>
            <w:pPr>
              <w:ind w:left="140"/>
              <w:spacing w:after="0" w:line="161" w:lineRule="exact"/>
              <w:rPr>
                <w:sz w:val="20"/>
                <w:szCs w:val="20"/>
                <w:color w:val="auto"/>
              </w:rPr>
            </w:pPr>
            <w:r>
              <w:rPr>
                <w:rFonts w:ascii="Arial" w:cs="Arial" w:eastAsia="Arial" w:hAnsi="Arial"/>
                <w:sz w:val="15"/>
                <w:szCs w:val="15"/>
                <w:color w:val="auto"/>
                <w:w w:val="99"/>
              </w:rPr>
              <w:t>Long Range Planning Committees, and The Music Center as its Treasurer and a member of the Executive Committee.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60" w:type="dxa"/>
            <w:vAlign w:val="bottom"/>
          </w:tcPr>
          <w:p>
            <w:pPr>
              <w:ind w:left="780"/>
              <w:spacing w:after="0" w:line="161" w:lineRule="exact"/>
              <w:rPr>
                <w:sz w:val="20"/>
                <w:szCs w:val="20"/>
                <w:color w:val="auto"/>
              </w:rPr>
            </w:pPr>
            <w:r>
              <w:rPr>
                <w:rFonts w:ascii="Arial" w:cs="Arial" w:eastAsia="Arial" w:hAnsi="Arial"/>
                <w:sz w:val="15"/>
                <w:szCs w:val="15"/>
                <w:color w:val="auto"/>
              </w:rPr>
              <w:t>•</w:t>
            </w:r>
          </w:p>
        </w:tc>
        <w:tc>
          <w:tcPr>
            <w:tcW w:w="7960" w:type="dxa"/>
            <w:vAlign w:val="bottom"/>
          </w:tcPr>
          <w:p>
            <w:pPr>
              <w:ind w:left="120"/>
              <w:spacing w:after="0" w:line="161" w:lineRule="exact"/>
              <w:rPr>
                <w:sz w:val="20"/>
                <w:szCs w:val="20"/>
                <w:color w:val="auto"/>
              </w:rPr>
            </w:pPr>
            <w:r>
              <w:rPr>
                <w:rFonts w:ascii="Arial" w:cs="Arial" w:eastAsia="Arial" w:hAnsi="Arial"/>
                <w:sz w:val="15"/>
                <w:szCs w:val="15"/>
                <w:color w:val="auto"/>
                <w:w w:val="95"/>
              </w:rPr>
              <w:t>He was a member of the Audit Committee Roundtable of Orange County, the Financial Services Board Roundtable and the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960" w:type="dxa"/>
            <w:vAlign w:val="bottom"/>
          </w:tcPr>
          <w:p>
            <w:pPr>
              <w:ind w:left="140"/>
              <w:spacing w:after="0"/>
              <w:rPr>
                <w:sz w:val="20"/>
                <w:szCs w:val="20"/>
                <w:color w:val="auto"/>
              </w:rPr>
            </w:pPr>
            <w:r>
              <w:rPr>
                <w:rFonts w:ascii="Arial" w:cs="Arial" w:eastAsia="Arial" w:hAnsi="Arial"/>
                <w:sz w:val="15"/>
                <w:szCs w:val="15"/>
                <w:color w:val="auto"/>
              </w:rPr>
              <w:t>American Bankers Association Bankers Council.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920" w:type="dxa"/>
            <w:vAlign w:val="bottom"/>
            <w:gridSpan w:val="2"/>
          </w:tcPr>
          <w:p>
            <w:pPr>
              <w:ind w:left="440"/>
              <w:spacing w:after="0"/>
              <w:rPr>
                <w:sz w:val="20"/>
                <w:szCs w:val="20"/>
                <w:color w:val="auto"/>
              </w:rPr>
            </w:pPr>
            <w:r>
              <w:rPr>
                <w:rFonts w:ascii="Arial" w:cs="Arial" w:eastAsia="Arial" w:hAnsi="Arial"/>
                <w:sz w:val="16"/>
                <w:szCs w:val="16"/>
                <w:color w:val="auto"/>
              </w:rPr>
              <w:t>Education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960" w:type="dxa"/>
            <w:vAlign w:val="bottom"/>
          </w:tcPr>
          <w:p>
            <w:pPr>
              <w:ind w:left="780"/>
              <w:spacing w:after="0"/>
              <w:rPr>
                <w:sz w:val="20"/>
                <w:szCs w:val="20"/>
                <w:color w:val="auto"/>
              </w:rPr>
            </w:pPr>
            <w:r>
              <w:rPr>
                <w:rFonts w:ascii="Arial" w:cs="Arial" w:eastAsia="Arial" w:hAnsi="Arial"/>
                <w:sz w:val="15"/>
                <w:szCs w:val="15"/>
                <w:color w:val="auto"/>
              </w:rPr>
              <w:t>•</w:t>
            </w:r>
          </w:p>
        </w:tc>
        <w:tc>
          <w:tcPr>
            <w:tcW w:w="7960" w:type="dxa"/>
            <w:vAlign w:val="bottom"/>
          </w:tcPr>
          <w:p>
            <w:pPr>
              <w:ind w:left="120"/>
              <w:spacing w:after="0"/>
              <w:rPr>
                <w:sz w:val="20"/>
                <w:szCs w:val="20"/>
                <w:color w:val="auto"/>
              </w:rPr>
            </w:pPr>
            <w:r>
              <w:rPr>
                <w:rFonts w:ascii="Arial" w:cs="Arial" w:eastAsia="Arial" w:hAnsi="Arial"/>
                <w:sz w:val="15"/>
                <w:szCs w:val="15"/>
                <w:color w:val="auto"/>
                <w:w w:val="94"/>
              </w:rPr>
              <w:t>Mr. Erickson received his bachelor’s degree with an emphasis in economics and his M.B.A. with an emphasis in finance from</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960" w:type="dxa"/>
            <w:vAlign w:val="bottom"/>
          </w:tcPr>
          <w:p>
            <w:pPr>
              <w:ind w:left="140"/>
              <w:spacing w:after="0"/>
              <w:rPr>
                <w:sz w:val="20"/>
                <w:szCs w:val="20"/>
                <w:color w:val="auto"/>
              </w:rPr>
            </w:pPr>
            <w:r>
              <w:rPr>
                <w:rFonts w:ascii="Arial" w:cs="Arial" w:eastAsia="Arial" w:hAnsi="Arial"/>
                <w:sz w:val="15"/>
                <w:szCs w:val="15"/>
                <w:color w:val="auto"/>
              </w:rPr>
              <w:t>the University of Southern California.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8920" w:type="dxa"/>
            <w:vAlign w:val="bottom"/>
            <w:tcBorders>
              <w:bottom w:val="single" w:sz="8" w:color="auto"/>
            </w:tcBorders>
            <w:gridSpan w:val="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8920" w:type="dxa"/>
            <w:vAlign w:val="bottom"/>
            <w:gridSpan w:val="2"/>
          </w:tcPr>
          <w:p>
            <w:pPr>
              <w:ind w:left="440"/>
              <w:spacing w:after="0"/>
              <w:rPr>
                <w:sz w:val="20"/>
                <w:szCs w:val="20"/>
                <w:color w:val="auto"/>
              </w:rPr>
            </w:pPr>
            <w:r>
              <w:rPr>
                <w:rFonts w:ascii="Arial" w:cs="Arial" w:eastAsia="Arial" w:hAnsi="Arial"/>
                <w:sz w:val="16"/>
                <w:szCs w:val="16"/>
                <w:color w:val="auto"/>
              </w:rPr>
              <w:t>Key Experience and Qualifications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960" w:type="dxa"/>
            <w:vAlign w:val="bottom"/>
          </w:tcPr>
          <w:p>
            <w:pPr>
              <w:ind w:left="780"/>
              <w:spacing w:after="0"/>
              <w:rPr>
                <w:sz w:val="20"/>
                <w:szCs w:val="20"/>
                <w:color w:val="auto"/>
              </w:rPr>
            </w:pPr>
            <w:r>
              <w:rPr>
                <w:rFonts w:ascii="Arial" w:cs="Arial" w:eastAsia="Arial" w:hAnsi="Arial"/>
                <w:sz w:val="15"/>
                <w:szCs w:val="15"/>
                <w:color w:val="auto"/>
              </w:rPr>
              <w:t>•</w:t>
            </w:r>
          </w:p>
        </w:tc>
        <w:tc>
          <w:tcPr>
            <w:tcW w:w="7960" w:type="dxa"/>
            <w:vAlign w:val="bottom"/>
          </w:tcPr>
          <w:p>
            <w:pPr>
              <w:ind w:left="120"/>
              <w:spacing w:after="0"/>
              <w:rPr>
                <w:sz w:val="20"/>
                <w:szCs w:val="20"/>
                <w:color w:val="auto"/>
              </w:rPr>
            </w:pPr>
            <w:r>
              <w:rPr>
                <w:rFonts w:ascii="Arial" w:cs="Arial" w:eastAsia="Arial" w:hAnsi="Arial"/>
                <w:sz w:val="15"/>
                <w:szCs w:val="15"/>
                <w:color w:val="auto"/>
              </w:rPr>
              <w:t>Mr. Feldman is President and CEO of Tori Richard, Ltd., founded in 1956. Tori Richard, Ltd. is a Honolulu-based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960" w:type="dxa"/>
            <w:vAlign w:val="bottom"/>
          </w:tcPr>
          <w:p>
            <w:pPr>
              <w:ind w:left="140"/>
              <w:spacing w:after="0" w:line="161" w:lineRule="exact"/>
              <w:rPr>
                <w:sz w:val="20"/>
                <w:szCs w:val="20"/>
                <w:color w:val="auto"/>
              </w:rPr>
            </w:pPr>
            <w:r>
              <w:rPr>
                <w:rFonts w:ascii="Arial" w:cs="Arial" w:eastAsia="Arial" w:hAnsi="Arial"/>
                <w:sz w:val="15"/>
                <w:szCs w:val="15"/>
                <w:color w:val="auto"/>
              </w:rPr>
              <w:t>manufacturer, wholesaler and retailer of branded resort apparel, licensed apparel products, private label clothing and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960" w:type="dxa"/>
            <w:vAlign w:val="bottom"/>
          </w:tcPr>
          <w:p>
            <w:pPr>
              <w:ind w:left="140"/>
              <w:spacing w:after="0" w:line="161" w:lineRule="exact"/>
              <w:rPr>
                <w:sz w:val="20"/>
                <w:szCs w:val="20"/>
                <w:color w:val="auto"/>
              </w:rPr>
            </w:pPr>
            <w:r>
              <w:rPr>
                <w:rFonts w:ascii="Arial" w:cs="Arial" w:eastAsia="Arial" w:hAnsi="Arial"/>
                <w:sz w:val="15"/>
                <w:szCs w:val="15"/>
                <w:color w:val="auto"/>
                <w:w w:val="92"/>
              </w:rPr>
              <w:t>uniforms. He began his career in 1994 and was appointed President and CEO in 2004. Mr. Feldman has a solid understanding</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960" w:type="dxa"/>
            <w:vAlign w:val="bottom"/>
          </w:tcPr>
          <w:p>
            <w:pPr>
              <w:ind w:left="140"/>
              <w:spacing w:after="0" w:line="161" w:lineRule="exact"/>
              <w:rPr>
                <w:sz w:val="20"/>
                <w:szCs w:val="20"/>
                <w:color w:val="auto"/>
              </w:rPr>
            </w:pPr>
            <w:r>
              <w:rPr>
                <w:rFonts w:ascii="Arial" w:cs="Arial" w:eastAsia="Arial" w:hAnsi="Arial"/>
                <w:sz w:val="15"/>
                <w:szCs w:val="15"/>
                <w:color w:val="auto"/>
                <w:w w:val="95"/>
              </w:rPr>
              <w:t>of the Hawaii marketplace and his accomplishments locally and globally evidence his strategic and progressive insights and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960" w:type="dxa"/>
            <w:vAlign w:val="bottom"/>
          </w:tcPr>
          <w:p>
            <w:pPr>
              <w:ind w:left="140"/>
              <w:spacing w:after="0" w:line="161" w:lineRule="exact"/>
              <w:rPr>
                <w:sz w:val="20"/>
                <w:szCs w:val="20"/>
                <w:color w:val="auto"/>
              </w:rPr>
            </w:pPr>
            <w:r>
              <w:rPr>
                <w:rFonts w:ascii="Arial" w:cs="Arial" w:eastAsia="Arial" w:hAnsi="Arial"/>
                <w:sz w:val="15"/>
                <w:szCs w:val="15"/>
                <w:color w:val="auto"/>
                <w:w w:val="92"/>
              </w:rPr>
              <w:t>operational expertise. His skills, background and experiences as an innovator in the retail sector bring a valuable perspective to</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960" w:type="dxa"/>
            <w:vAlign w:val="bottom"/>
          </w:tcPr>
          <w:p>
            <w:pPr>
              <w:ind w:left="140"/>
              <w:spacing w:after="0"/>
              <w:rPr>
                <w:sz w:val="20"/>
                <w:szCs w:val="20"/>
                <w:color w:val="auto"/>
              </w:rPr>
            </w:pPr>
            <w:r>
              <w:rPr>
                <w:rFonts w:ascii="Arial" w:cs="Arial" w:eastAsia="Arial" w:hAnsi="Arial"/>
                <w:sz w:val="15"/>
                <w:szCs w:val="15"/>
                <w:color w:val="auto"/>
              </w:rPr>
              <w:t>the Board and qualify him to serve on the Board and the Human Resources &amp; Compensation Committee.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300" w:type="dxa"/>
            <w:vAlign w:val="bottom"/>
            <w:vMerge w:val="restart"/>
          </w:tcPr>
          <w:p>
            <w:pPr>
              <w:ind w:left="600"/>
              <w:spacing w:after="0"/>
              <w:rPr>
                <w:sz w:val="20"/>
                <w:szCs w:val="20"/>
                <w:color w:val="auto"/>
              </w:rPr>
            </w:pPr>
            <w:r>
              <w:rPr>
                <w:rFonts w:ascii="Arial" w:cs="Arial" w:eastAsia="Arial" w:hAnsi="Arial"/>
                <w:sz w:val="16"/>
                <w:szCs w:val="16"/>
                <w:color w:val="auto"/>
              </w:rPr>
              <w:t>Joshua D. Feldman</w:t>
            </w:r>
          </w:p>
        </w:tc>
        <w:tc>
          <w:tcPr>
            <w:tcW w:w="8920" w:type="dxa"/>
            <w:vAlign w:val="bottom"/>
            <w:gridSpan w:val="2"/>
          </w:tcPr>
          <w:p>
            <w:pPr>
              <w:ind w:left="440"/>
              <w:spacing w:after="0"/>
              <w:rPr>
                <w:sz w:val="20"/>
                <w:szCs w:val="20"/>
                <w:color w:val="auto"/>
              </w:rPr>
            </w:pPr>
            <w:r>
              <w:rPr>
                <w:rFonts w:ascii="Arial" w:cs="Arial" w:eastAsia="Arial" w:hAnsi="Arial"/>
                <w:sz w:val="16"/>
                <w:szCs w:val="16"/>
                <w:color w:val="auto"/>
              </w:rPr>
              <w:t>Career Highlights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300" w:type="dxa"/>
            <w:vAlign w:val="bottom"/>
            <w:vMerge w:val="continue"/>
          </w:tcPr>
          <w:p>
            <w:pPr>
              <w:spacing w:after="0"/>
              <w:rPr>
                <w:sz w:val="6"/>
                <w:szCs w:val="6"/>
                <w:color w:val="auto"/>
              </w:rPr>
            </w:pPr>
          </w:p>
        </w:tc>
        <w:tc>
          <w:tcPr>
            <w:tcW w:w="960" w:type="dxa"/>
            <w:vAlign w:val="bottom"/>
            <w:vMerge w:val="restart"/>
          </w:tcPr>
          <w:p>
            <w:pPr>
              <w:ind w:left="780"/>
              <w:spacing w:after="0"/>
              <w:rPr>
                <w:sz w:val="20"/>
                <w:szCs w:val="20"/>
                <w:color w:val="auto"/>
              </w:rPr>
            </w:pPr>
            <w:r>
              <w:rPr>
                <w:rFonts w:ascii="Arial" w:cs="Arial" w:eastAsia="Arial" w:hAnsi="Arial"/>
                <w:sz w:val="15"/>
                <w:szCs w:val="15"/>
                <w:color w:val="auto"/>
              </w:rPr>
              <w:t>•</w:t>
            </w:r>
          </w:p>
        </w:tc>
        <w:tc>
          <w:tcPr>
            <w:tcW w:w="7960" w:type="dxa"/>
            <w:vAlign w:val="bottom"/>
            <w:vMerge w:val="restart"/>
          </w:tcPr>
          <w:p>
            <w:pPr>
              <w:ind w:left="120"/>
              <w:spacing w:after="0"/>
              <w:rPr>
                <w:sz w:val="20"/>
                <w:szCs w:val="20"/>
                <w:color w:val="auto"/>
              </w:rPr>
            </w:pPr>
            <w:r>
              <w:rPr>
                <w:rFonts w:ascii="Arial" w:cs="Arial" w:eastAsia="Arial" w:hAnsi="Arial"/>
                <w:sz w:val="15"/>
                <w:szCs w:val="15"/>
                <w:color w:val="auto"/>
                <w:w w:val="97"/>
              </w:rPr>
              <w:t>Under his leadership, Mr. Feldman created Tori Richard’s retail division, TR Retail LLC, relaunched the women's division,</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79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960" w:type="dxa"/>
            <w:vAlign w:val="bottom"/>
          </w:tcPr>
          <w:p>
            <w:pPr>
              <w:ind w:left="140"/>
              <w:spacing w:after="0" w:line="161" w:lineRule="exact"/>
              <w:rPr>
                <w:sz w:val="20"/>
                <w:szCs w:val="20"/>
                <w:color w:val="auto"/>
              </w:rPr>
            </w:pPr>
            <w:r>
              <w:rPr>
                <w:rFonts w:ascii="Arial" w:cs="Arial" w:eastAsia="Arial" w:hAnsi="Arial"/>
                <w:sz w:val="15"/>
                <w:szCs w:val="15"/>
                <w:color w:val="auto"/>
                <w:w w:val="95"/>
              </w:rPr>
              <w:t>acquired Kahala Sportswear from Minami Sport of Japan, formed a joint venture to provide bundled uniform services for the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960" w:type="dxa"/>
            <w:vAlign w:val="bottom"/>
          </w:tcPr>
          <w:p>
            <w:pPr>
              <w:ind w:left="140"/>
              <w:spacing w:after="0" w:line="161" w:lineRule="exact"/>
              <w:rPr>
                <w:sz w:val="20"/>
                <w:szCs w:val="20"/>
                <w:color w:val="auto"/>
              </w:rPr>
            </w:pPr>
            <w:r>
              <w:rPr>
                <w:rFonts w:ascii="Arial" w:cs="Arial" w:eastAsia="Arial" w:hAnsi="Arial"/>
                <w:sz w:val="15"/>
                <w:szCs w:val="15"/>
                <w:color w:val="auto"/>
              </w:rPr>
              <w:t>hospitality market and has grown U.S. mainland and foreign sales over 600% during his tenure.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60" w:type="dxa"/>
            <w:vAlign w:val="bottom"/>
          </w:tcPr>
          <w:p>
            <w:pPr>
              <w:ind w:left="780"/>
              <w:spacing w:after="0" w:line="161" w:lineRule="exact"/>
              <w:rPr>
                <w:sz w:val="20"/>
                <w:szCs w:val="20"/>
                <w:color w:val="auto"/>
              </w:rPr>
            </w:pPr>
            <w:r>
              <w:rPr>
                <w:rFonts w:ascii="Arial" w:cs="Arial" w:eastAsia="Arial" w:hAnsi="Arial"/>
                <w:sz w:val="15"/>
                <w:szCs w:val="15"/>
                <w:color w:val="auto"/>
              </w:rPr>
              <w:t>•</w:t>
            </w:r>
          </w:p>
        </w:tc>
        <w:tc>
          <w:tcPr>
            <w:tcW w:w="7960" w:type="dxa"/>
            <w:vAlign w:val="bottom"/>
          </w:tcPr>
          <w:p>
            <w:pPr>
              <w:ind w:left="120"/>
              <w:spacing w:after="0" w:line="161" w:lineRule="exact"/>
              <w:rPr>
                <w:sz w:val="20"/>
                <w:szCs w:val="20"/>
                <w:color w:val="auto"/>
              </w:rPr>
            </w:pPr>
            <w:r>
              <w:rPr>
                <w:rFonts w:ascii="Arial" w:cs="Arial" w:eastAsia="Arial" w:hAnsi="Arial"/>
                <w:sz w:val="15"/>
                <w:szCs w:val="15"/>
                <w:color w:val="auto"/>
                <w:w w:val="93"/>
              </w:rPr>
              <w:t>In 2016, Mr. Feldman formed Tori Richard’s newest division, Licensed Concept Stores, now with 14 licensed storefronts on the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960" w:type="dxa"/>
            <w:vAlign w:val="bottom"/>
          </w:tcPr>
          <w:p>
            <w:pPr>
              <w:ind w:left="140"/>
              <w:spacing w:after="0" w:line="161" w:lineRule="exact"/>
              <w:rPr>
                <w:sz w:val="20"/>
                <w:szCs w:val="20"/>
                <w:color w:val="auto"/>
              </w:rPr>
            </w:pPr>
            <w:r>
              <w:rPr>
                <w:rFonts w:ascii="Arial" w:cs="Arial" w:eastAsia="Arial" w:hAnsi="Arial"/>
                <w:sz w:val="15"/>
                <w:szCs w:val="15"/>
                <w:color w:val="auto"/>
              </w:rPr>
              <w:t>East Coast. Tori Richard, Ltd. and subsidiary branded and private label products are sold in over 1,500 specialty and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960" w:type="dxa"/>
            <w:vAlign w:val="bottom"/>
          </w:tcPr>
          <w:p>
            <w:pPr>
              <w:ind w:left="140"/>
              <w:spacing w:after="0"/>
              <w:rPr>
                <w:sz w:val="20"/>
                <w:szCs w:val="20"/>
                <w:color w:val="auto"/>
              </w:rPr>
            </w:pPr>
            <w:r>
              <w:rPr>
                <w:rFonts w:ascii="Arial" w:cs="Arial" w:eastAsia="Arial" w:hAnsi="Arial"/>
                <w:sz w:val="15"/>
                <w:szCs w:val="15"/>
                <w:color w:val="auto"/>
              </w:rPr>
              <w:t>department store locations throughout the world.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920" w:type="dxa"/>
            <w:vAlign w:val="bottom"/>
            <w:gridSpan w:val="2"/>
          </w:tcPr>
          <w:p>
            <w:pPr>
              <w:ind w:left="440"/>
              <w:spacing w:after="0"/>
              <w:rPr>
                <w:sz w:val="20"/>
                <w:szCs w:val="20"/>
                <w:color w:val="auto"/>
              </w:rPr>
            </w:pPr>
            <w:r>
              <w:rPr>
                <w:rFonts w:ascii="Arial" w:cs="Arial" w:eastAsia="Arial" w:hAnsi="Arial"/>
                <w:sz w:val="16"/>
                <w:szCs w:val="16"/>
                <w:color w:val="auto"/>
              </w:rPr>
              <w:t>Other Professional Experience and Community Involvement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960" w:type="dxa"/>
            <w:vAlign w:val="bottom"/>
          </w:tcPr>
          <w:p>
            <w:pPr>
              <w:ind w:left="780"/>
              <w:spacing w:after="0"/>
              <w:rPr>
                <w:sz w:val="20"/>
                <w:szCs w:val="20"/>
                <w:color w:val="auto"/>
              </w:rPr>
            </w:pPr>
            <w:r>
              <w:rPr>
                <w:rFonts w:ascii="Arial" w:cs="Arial" w:eastAsia="Arial" w:hAnsi="Arial"/>
                <w:sz w:val="15"/>
                <w:szCs w:val="15"/>
                <w:color w:val="auto"/>
              </w:rPr>
              <w:t>•</w:t>
            </w:r>
          </w:p>
        </w:tc>
        <w:tc>
          <w:tcPr>
            <w:tcW w:w="7960" w:type="dxa"/>
            <w:vAlign w:val="bottom"/>
          </w:tcPr>
          <w:p>
            <w:pPr>
              <w:ind w:left="120"/>
              <w:spacing w:after="0"/>
              <w:rPr>
                <w:sz w:val="20"/>
                <w:szCs w:val="20"/>
                <w:color w:val="auto"/>
              </w:rPr>
            </w:pPr>
            <w:r>
              <w:rPr>
                <w:rFonts w:ascii="Arial" w:cs="Arial" w:eastAsia="Arial" w:hAnsi="Arial"/>
                <w:sz w:val="15"/>
                <w:szCs w:val="15"/>
                <w:color w:val="auto"/>
                <w:w w:val="95"/>
              </w:rPr>
              <w:t>Mr. Feldman is committed to the community, having served on the boards of Hawaii Public Radio and the Young Presidents’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960" w:type="dxa"/>
            <w:vAlign w:val="bottom"/>
          </w:tcPr>
          <w:p>
            <w:pPr>
              <w:ind w:left="140"/>
              <w:spacing w:after="0" w:line="161" w:lineRule="exact"/>
              <w:rPr>
                <w:sz w:val="20"/>
                <w:szCs w:val="20"/>
                <w:color w:val="auto"/>
              </w:rPr>
            </w:pPr>
            <w:r>
              <w:rPr>
                <w:rFonts w:ascii="Arial" w:cs="Arial" w:eastAsia="Arial" w:hAnsi="Arial"/>
                <w:sz w:val="15"/>
                <w:szCs w:val="15"/>
                <w:color w:val="auto"/>
              </w:rPr>
              <w:t>Organization.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960" w:type="dxa"/>
            <w:vAlign w:val="bottom"/>
          </w:tcPr>
          <w:p>
            <w:pPr>
              <w:ind w:left="780"/>
              <w:spacing w:after="0"/>
              <w:rPr>
                <w:sz w:val="20"/>
                <w:szCs w:val="20"/>
                <w:color w:val="auto"/>
              </w:rPr>
            </w:pPr>
            <w:r>
              <w:rPr>
                <w:rFonts w:ascii="Arial" w:cs="Arial" w:eastAsia="Arial" w:hAnsi="Arial"/>
                <w:sz w:val="15"/>
                <w:szCs w:val="15"/>
                <w:color w:val="auto"/>
              </w:rPr>
              <w:t>•</w:t>
            </w:r>
          </w:p>
        </w:tc>
        <w:tc>
          <w:tcPr>
            <w:tcW w:w="7960" w:type="dxa"/>
            <w:vAlign w:val="bottom"/>
          </w:tcPr>
          <w:p>
            <w:pPr>
              <w:ind w:left="120"/>
              <w:spacing w:after="0"/>
              <w:rPr>
                <w:sz w:val="20"/>
                <w:szCs w:val="20"/>
                <w:color w:val="auto"/>
              </w:rPr>
            </w:pPr>
            <w:r>
              <w:rPr>
                <w:rFonts w:ascii="Arial" w:cs="Arial" w:eastAsia="Arial" w:hAnsi="Arial"/>
                <w:sz w:val="15"/>
                <w:szCs w:val="15"/>
                <w:color w:val="auto"/>
              </w:rPr>
              <w:t>He currently serves on the Bikeshare Hawaii board and is a trustee of the Honolulu Museum of Art.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920" w:type="dxa"/>
            <w:vAlign w:val="bottom"/>
            <w:gridSpan w:val="2"/>
          </w:tcPr>
          <w:p>
            <w:pPr>
              <w:ind w:left="440"/>
              <w:spacing w:after="0"/>
              <w:rPr>
                <w:sz w:val="20"/>
                <w:szCs w:val="20"/>
                <w:color w:val="auto"/>
              </w:rPr>
            </w:pPr>
            <w:r>
              <w:rPr>
                <w:rFonts w:ascii="Arial" w:cs="Arial" w:eastAsia="Arial" w:hAnsi="Arial"/>
                <w:sz w:val="16"/>
                <w:szCs w:val="16"/>
                <w:color w:val="auto"/>
              </w:rPr>
              <w:t>Education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80"/>
              <w:spacing w:after="0"/>
              <w:rPr>
                <w:sz w:val="20"/>
                <w:szCs w:val="20"/>
                <w:color w:val="auto"/>
              </w:rPr>
            </w:pPr>
            <w:r>
              <w:rPr>
                <w:rFonts w:ascii="Arial" w:cs="Arial" w:eastAsia="Arial" w:hAnsi="Arial"/>
                <w:sz w:val="15"/>
                <w:szCs w:val="15"/>
                <w:color w:val="auto"/>
              </w:rPr>
              <w:t>•</w:t>
            </w:r>
          </w:p>
        </w:tc>
        <w:tc>
          <w:tcPr>
            <w:tcW w:w="796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Mr. Feldman graduated magna cum laude with a bachelor’s degree from the University of California, San Diego.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960" w:type="dxa"/>
            <w:vAlign w:val="bottom"/>
          </w:tcPr>
          <w:p>
            <w:pPr>
              <w:ind w:left="2300"/>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7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280035</wp:posOffset>
            </wp:positionV>
            <wp:extent cx="7125335" cy="37877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5335" cy="378777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1080"/>
        <w:spacing w:after="0"/>
        <w:tabs>
          <w:tab w:leader="none" w:pos="6560" w:val="left"/>
        </w:tabs>
        <w:rPr>
          <w:sz w:val="20"/>
          <w:szCs w:val="20"/>
          <w:color w:val="auto"/>
        </w:rPr>
      </w:pPr>
      <w:r>
        <w:rPr>
          <w:rFonts w:ascii="Arial" w:cs="Arial" w:eastAsia="Arial" w:hAnsi="Arial"/>
          <w:sz w:val="13"/>
          <w:szCs w:val="13"/>
          <w:color w:val="FFFFFF"/>
        </w:rPr>
        <w:t>Name</w:t>
      </w:r>
      <w:r>
        <w:rPr>
          <w:sz w:val="20"/>
          <w:szCs w:val="20"/>
          <w:color w:val="auto"/>
        </w:rPr>
        <w:tab/>
      </w:r>
      <w:r>
        <w:rPr>
          <w:rFonts w:ascii="Arial" w:cs="Arial" w:eastAsia="Arial" w:hAnsi="Arial"/>
          <w:sz w:val="13"/>
          <w:szCs w:val="13"/>
          <w:color w:val="FFFFFF"/>
        </w:rPr>
        <w:t>Qualifications</w:t>
      </w:r>
    </w:p>
    <w:p>
      <w:pPr>
        <w:spacing w:after="0" w:line="79"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Key Experience and Qualifications</w:t>
      </w:r>
    </w:p>
    <w:p>
      <w:pPr>
        <w:spacing w:after="0" w:line="53" w:lineRule="exact"/>
        <w:rPr>
          <w:sz w:val="20"/>
          <w:szCs w:val="20"/>
          <w:color w:val="auto"/>
        </w:rPr>
      </w:pPr>
    </w:p>
    <w:p>
      <w:pPr>
        <w:ind w:left="3400" w:right="300" w:hanging="323"/>
        <w:spacing w:after="0" w:line="261" w:lineRule="auto"/>
        <w:tabs>
          <w:tab w:leader="none" w:pos="3397" w:val="left"/>
        </w:tabs>
        <w:numPr>
          <w:ilvl w:val="0"/>
          <w:numId w:val="35"/>
        </w:numPr>
        <w:rPr>
          <w:rFonts w:ascii="Arial" w:cs="Arial" w:eastAsia="Arial" w:hAnsi="Arial"/>
          <w:sz w:val="13"/>
          <w:szCs w:val="13"/>
          <w:color w:val="auto"/>
        </w:rPr>
      </w:pPr>
      <w:r>
        <w:rPr>
          <w:rFonts w:ascii="Arial" w:cs="Arial" w:eastAsia="Arial" w:hAnsi="Arial"/>
          <w:sz w:val="13"/>
          <w:szCs w:val="13"/>
          <w:color w:val="auto"/>
        </w:rPr>
        <w:t>As Chairman and CEO, Mr. Ho remains focused on the Bank’s longstanding strategy in providing the optimum banking experience to its customers and offering products and services that give customers a choice. He understands that his commitment to the Bank’s employees and the communities of the markets we serve are important drivers of the Bank’s continued long-term success. Mr. Ho’s long career as a Bank of Hawaii executive, overseeing all aspects of the Company’s business and his deep knowledge of our markets, community and culture make him well qualified for service on our Board.</w:t>
      </w:r>
    </w:p>
    <w:p>
      <w:pPr>
        <w:spacing w:after="0" w:line="1" w:lineRule="exact"/>
        <w:rPr>
          <w:rFonts w:ascii="Arial" w:cs="Arial" w:eastAsia="Arial" w:hAnsi="Arial"/>
          <w:sz w:val="13"/>
          <w:szCs w:val="13"/>
          <w:color w:val="auto"/>
        </w:rPr>
      </w:pPr>
    </w:p>
    <w:p>
      <w:pPr>
        <w:ind w:left="3400" w:hanging="323"/>
        <w:spacing w:after="0"/>
        <w:tabs>
          <w:tab w:leader="none" w:pos="34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Under Mr. Ho’s leadership, Bank of Hawaii continues to receive industry and press recognition locally and nationally. In 2020,</w:t>
      </w:r>
    </w:p>
    <w:p>
      <w:pPr>
        <w:ind w:left="3400"/>
        <w:spacing w:after="0"/>
        <w:rPr>
          <w:sz w:val="20"/>
          <w:szCs w:val="20"/>
          <w:color w:val="auto"/>
        </w:rPr>
      </w:pPr>
      <w:r>
        <w:rPr>
          <w:rFonts w:ascii="Arial" w:cs="Arial" w:eastAsia="Arial" w:hAnsi="Arial"/>
          <w:sz w:val="13"/>
          <w:szCs w:val="13"/>
          <w:color w:val="auto"/>
        </w:rPr>
        <w:t>the Federal Deposit Insurance Corporation confirmed that Bank of Hawaii had the largest share of FDIC-insured deposits of any</w:t>
      </w:r>
    </w:p>
    <w:p>
      <w:pPr>
        <w:spacing w:after="0" w:line="3" w:lineRule="exact"/>
        <w:rPr>
          <w:sz w:val="20"/>
          <w:szCs w:val="20"/>
          <w:color w:val="auto"/>
        </w:rPr>
      </w:pPr>
    </w:p>
    <w:p>
      <w:pPr>
        <w:ind w:left="3400" w:right="100" w:hanging="2534"/>
        <w:spacing w:after="0" w:line="230" w:lineRule="auto"/>
        <w:tabs>
          <w:tab w:leader="none" w:pos="3380" w:val="left"/>
        </w:tabs>
        <w:rPr>
          <w:sz w:val="20"/>
          <w:szCs w:val="20"/>
          <w:color w:val="auto"/>
        </w:rPr>
      </w:pPr>
      <w:r>
        <w:rPr>
          <w:rFonts w:ascii="Arial" w:cs="Arial" w:eastAsia="Arial" w:hAnsi="Arial"/>
          <w:sz w:val="16"/>
          <w:szCs w:val="16"/>
          <w:color w:val="auto"/>
        </w:rPr>
        <w:t>Peter S. Ho</w:t>
      </w:r>
      <w:r>
        <w:rPr>
          <w:sz w:val="20"/>
          <w:szCs w:val="20"/>
          <w:color w:val="auto"/>
        </w:rPr>
        <w:tab/>
      </w:r>
      <w:r>
        <w:rPr>
          <w:rFonts w:ascii="Arial" w:cs="Arial" w:eastAsia="Arial" w:hAnsi="Arial"/>
          <w:sz w:val="15"/>
          <w:szCs w:val="15"/>
          <w:color w:val="auto"/>
        </w:rPr>
        <w:t xml:space="preserve">financial institution in Hawaii, and also the largest market share gain during the year. Based on the Bank’s strong financial profile, leading market position in Hawaii, and conservative credit risk management, its Long-Term Deposits were rated Aa3 and its Baseline Credit Assessment was rated A2 by Moody’s Investors Service. Also in 2021, the Bank was recognized by the readers of </w:t>
      </w:r>
      <w:r>
        <w:rPr>
          <w:rFonts w:ascii="Arial" w:cs="Arial" w:eastAsia="Arial" w:hAnsi="Arial"/>
          <w:sz w:val="15"/>
          <w:szCs w:val="15"/>
          <w:i w:val="1"/>
          <w:iCs w:val="1"/>
          <w:color w:val="auto"/>
        </w:rPr>
        <w:t>Honolulu Star-Advertiser, Hawaii Tribune-Herald, West Hawaii Today, and Hawaii Home + Remodeling Magazine</w:t>
      </w:r>
      <w:r>
        <w:rPr>
          <w:rFonts w:ascii="Arial" w:cs="Arial" w:eastAsia="Arial" w:hAnsi="Arial"/>
          <w:sz w:val="15"/>
          <w:szCs w:val="15"/>
          <w:color w:val="auto"/>
        </w:rPr>
        <w:t xml:space="preserve"> as “Hawaii’s Best Bank.”</w:t>
      </w:r>
    </w:p>
    <w:p>
      <w:pPr>
        <w:spacing w:after="0" w:line="42"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Career Highlights</w:t>
      </w:r>
    </w:p>
    <w:p>
      <w:pPr>
        <w:spacing w:after="0" w:line="53" w:lineRule="exact"/>
        <w:rPr>
          <w:sz w:val="20"/>
          <w:szCs w:val="20"/>
          <w:color w:val="auto"/>
        </w:rPr>
      </w:pPr>
    </w:p>
    <w:p>
      <w:pPr>
        <w:ind w:left="3400" w:right="100" w:hanging="323"/>
        <w:spacing w:after="0" w:line="228" w:lineRule="auto"/>
        <w:tabs>
          <w:tab w:leader="none" w:pos="3397" w:val="left"/>
        </w:tabs>
        <w:numPr>
          <w:ilvl w:val="0"/>
          <w:numId w:val="36"/>
        </w:numPr>
        <w:rPr>
          <w:rFonts w:ascii="Arial" w:cs="Arial" w:eastAsia="Arial" w:hAnsi="Arial"/>
          <w:sz w:val="15"/>
          <w:szCs w:val="15"/>
          <w:color w:val="auto"/>
        </w:rPr>
      </w:pPr>
      <w:r>
        <w:rPr>
          <w:rFonts w:ascii="Arial" w:cs="Arial" w:eastAsia="Arial" w:hAnsi="Arial"/>
          <w:sz w:val="15"/>
          <w:szCs w:val="15"/>
          <w:color w:val="auto"/>
        </w:rPr>
        <w:t>Mr. Ho has served as Chairman and CEO of the Company since July 2010; President since April 2008; Vice Chair and Chief Banking Officer from January 2006-April 2008; Vice Chair, Investment Services Group from April 2004-December 2005; and Executive Vice President, Hawaii Commercial Banking Group from February 2003-April 2004.</w:t>
      </w:r>
    </w:p>
    <w:p>
      <w:pPr>
        <w:spacing w:after="0" w:line="1" w:lineRule="exact"/>
        <w:rPr>
          <w:rFonts w:ascii="Arial" w:cs="Arial" w:eastAsia="Arial" w:hAnsi="Arial"/>
          <w:sz w:val="15"/>
          <w:szCs w:val="15"/>
          <w:color w:val="auto"/>
        </w:rPr>
      </w:pPr>
    </w:p>
    <w:p>
      <w:pPr>
        <w:ind w:left="3400" w:hanging="323"/>
        <w:spacing w:after="0"/>
        <w:tabs>
          <w:tab w:leader="none" w:pos="34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 2018, Mr. Ho completed his second three-year term on the board of the Federal Reserve Bank of San Francisco.</w:t>
      </w:r>
    </w:p>
    <w:p>
      <w:pPr>
        <w:spacing w:after="0" w:line="33"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Other Professional Experience and Community Involvement</w:t>
      </w:r>
    </w:p>
    <w:p>
      <w:pPr>
        <w:spacing w:after="0" w:line="53" w:lineRule="exact"/>
        <w:rPr>
          <w:sz w:val="20"/>
          <w:szCs w:val="20"/>
          <w:color w:val="auto"/>
        </w:rPr>
      </w:pPr>
    </w:p>
    <w:p>
      <w:pPr>
        <w:ind w:left="3400" w:right="280" w:hanging="323"/>
        <w:spacing w:after="0" w:line="231" w:lineRule="auto"/>
        <w:tabs>
          <w:tab w:leader="none" w:pos="3397" w:val="left"/>
        </w:tabs>
        <w:numPr>
          <w:ilvl w:val="0"/>
          <w:numId w:val="37"/>
        </w:numPr>
        <w:rPr>
          <w:rFonts w:ascii="Arial" w:cs="Arial" w:eastAsia="Arial" w:hAnsi="Arial"/>
          <w:sz w:val="15"/>
          <w:szCs w:val="15"/>
          <w:color w:val="auto"/>
        </w:rPr>
      </w:pPr>
      <w:r>
        <w:rPr>
          <w:rFonts w:ascii="Arial" w:cs="Arial" w:eastAsia="Arial" w:hAnsi="Arial"/>
          <w:sz w:val="15"/>
          <w:szCs w:val="15"/>
          <w:color w:val="auto"/>
        </w:rPr>
        <w:t>Mr. Ho served as Chairman of the 2011 Asia Pacific Economic Cooperation Hawaii Host Committee and the 2016 National Host Committee for the International Union for Conservation of Nature.</w:t>
      </w:r>
    </w:p>
    <w:p>
      <w:pPr>
        <w:ind w:left="3400" w:right="460" w:hanging="323"/>
        <w:spacing w:after="0" w:line="223" w:lineRule="auto"/>
        <w:tabs>
          <w:tab w:leader="none" w:pos="3397" w:val="left"/>
        </w:tabs>
        <w:numPr>
          <w:ilvl w:val="0"/>
          <w:numId w:val="37"/>
        </w:numPr>
        <w:rPr>
          <w:rFonts w:ascii="Arial" w:cs="Arial" w:eastAsia="Arial" w:hAnsi="Arial"/>
          <w:sz w:val="15"/>
          <w:szCs w:val="15"/>
          <w:color w:val="auto"/>
        </w:rPr>
      </w:pPr>
      <w:r>
        <w:rPr>
          <w:rFonts w:ascii="Arial" w:cs="Arial" w:eastAsia="Arial" w:hAnsi="Arial"/>
          <w:sz w:val="15"/>
          <w:szCs w:val="15"/>
          <w:color w:val="auto"/>
        </w:rPr>
        <w:t>Mr. Ho currently serves as vice chairman of the State of Hawaii’s House Select Committee on COVID-19 Economic and Financial Preparedness.</w:t>
      </w:r>
    </w:p>
    <w:p>
      <w:pPr>
        <w:ind w:left="3400" w:right="220" w:hanging="323"/>
        <w:spacing w:after="0" w:line="245" w:lineRule="auto"/>
        <w:tabs>
          <w:tab w:leader="none" w:pos="3397" w:val="left"/>
        </w:tabs>
        <w:numPr>
          <w:ilvl w:val="0"/>
          <w:numId w:val="37"/>
        </w:numPr>
        <w:rPr>
          <w:rFonts w:ascii="Arial" w:cs="Arial" w:eastAsia="Arial" w:hAnsi="Arial"/>
          <w:sz w:val="14"/>
          <w:szCs w:val="14"/>
          <w:color w:val="auto"/>
        </w:rPr>
      </w:pPr>
      <w:r>
        <w:rPr>
          <w:rFonts w:ascii="Arial" w:cs="Arial" w:eastAsia="Arial" w:hAnsi="Arial"/>
          <w:sz w:val="14"/>
          <w:szCs w:val="14"/>
          <w:color w:val="auto"/>
        </w:rPr>
        <w:t>Mr. Ho is active in the Hawaii community and serves on several boards, including Hawaii Community Foundation (Chair), McInerny Foundation, the Strong Foundation, Catholic Charities Hawaii, the East-West Center, the Hawaii Bankers Association, and Punahou School. He is a member of the Hawaii Business Roundtable, the Young Presidents’ Organization, and serves as an Advisory Board member of American Red Cross-Hawaii, Mental Health America of Hawaii, and the Travel Industry Management School, Shidler College of Business at the University of Hawai‘i at Mānoa.</w:t>
      </w:r>
    </w:p>
    <w:p>
      <w:pPr>
        <w:spacing w:after="0" w:line="26"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Education</w:t>
      </w:r>
    </w:p>
    <w:p>
      <w:pPr>
        <w:spacing w:after="0" w:line="53" w:lineRule="exact"/>
        <w:rPr>
          <w:sz w:val="20"/>
          <w:szCs w:val="20"/>
          <w:color w:val="auto"/>
        </w:rPr>
      </w:pPr>
    </w:p>
    <w:p>
      <w:pPr>
        <w:ind w:left="3400" w:right="700" w:hanging="323"/>
        <w:spacing w:after="0" w:line="283" w:lineRule="auto"/>
        <w:tabs>
          <w:tab w:leader="none" w:pos="3397" w:val="left"/>
        </w:tabs>
        <w:numPr>
          <w:ilvl w:val="0"/>
          <w:numId w:val="38"/>
        </w:numPr>
        <w:rPr>
          <w:rFonts w:ascii="Arial" w:cs="Arial" w:eastAsia="Arial" w:hAnsi="Arial"/>
          <w:sz w:val="14"/>
          <w:szCs w:val="14"/>
          <w:color w:val="auto"/>
        </w:rPr>
      </w:pPr>
      <w:r>
        <w:rPr>
          <w:rFonts w:ascii="Arial" w:cs="Arial" w:eastAsia="Arial" w:hAnsi="Arial"/>
          <w:sz w:val="14"/>
          <w:szCs w:val="14"/>
          <w:color w:val="auto"/>
        </w:rPr>
        <w:t>Mr. Ho holds a bachelor of science degree in business administration and an M.B.A. from the University of Southern California. He is also a 2008 graduate of Harvard Business School’s Advanced Management Program.</w:t>
      </w: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280035</wp:posOffset>
            </wp:positionV>
            <wp:extent cx="7125335" cy="5248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5335" cy="524827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40" w:type="dxa"/>
            <w:vAlign w:val="bottom"/>
            <w:tcBorders>
              <w:bottom w:val="single" w:sz="8" w:color="auto"/>
            </w:tcBorders>
            <w:shd w:val="clear" w:color="auto" w:fill="086FB8"/>
          </w:tcPr>
          <w:p>
            <w:pPr>
              <w:ind w:left="1060"/>
              <w:spacing w:after="0"/>
              <w:rPr>
                <w:sz w:val="20"/>
                <w:szCs w:val="20"/>
                <w:color w:val="auto"/>
              </w:rPr>
            </w:pPr>
            <w:r>
              <w:rPr>
                <w:rFonts w:ascii="Arial" w:cs="Arial" w:eastAsia="Arial" w:hAnsi="Arial"/>
                <w:sz w:val="13"/>
                <w:szCs w:val="13"/>
                <w:color w:val="FFFFFF"/>
              </w:rPr>
              <w:t>Name</w:t>
            </w:r>
          </w:p>
        </w:tc>
        <w:tc>
          <w:tcPr>
            <w:tcW w:w="7960" w:type="dxa"/>
            <w:vAlign w:val="bottom"/>
            <w:tcBorders>
              <w:bottom w:val="single" w:sz="8" w:color="auto"/>
            </w:tcBorders>
            <w:shd w:val="clear" w:color="auto" w:fill="086FB8"/>
          </w:tcPr>
          <w:p>
            <w:pPr>
              <w:ind w:left="3320"/>
              <w:spacing w:after="0"/>
              <w:rPr>
                <w:sz w:val="20"/>
                <w:szCs w:val="20"/>
                <w:color w:val="auto"/>
              </w:rPr>
            </w:pPr>
            <w:r>
              <w:rPr>
                <w:rFonts w:ascii="Arial" w:cs="Arial" w:eastAsia="Arial" w:hAnsi="Arial"/>
                <w:sz w:val="13"/>
                <w:szCs w:val="13"/>
                <w:color w:val="FFFFFF"/>
              </w:rPr>
              <w:t>Qualifications</w:t>
            </w:r>
          </w:p>
        </w:tc>
        <w:tc>
          <w:tcPr>
            <w:tcW w:w="20" w:type="dxa"/>
            <w:vAlign w:val="bottom"/>
            <w:tcBorders>
              <w:bottom w:val="single" w:sz="8" w:color="auto"/>
            </w:tcBorders>
          </w:tcPr>
          <w:p>
            <w:pPr>
              <w:spacing w:after="0"/>
              <w:rPr>
                <w:sz w:val="20"/>
                <w:szCs w:val="20"/>
                <w:color w:val="auto"/>
              </w:rPr>
            </w:pPr>
          </w:p>
        </w:tc>
      </w:tr>
      <w:tr>
        <w:trPr>
          <w:trHeight w:val="235"/>
        </w:trPr>
        <w:tc>
          <w:tcPr>
            <w:tcW w:w="11200" w:type="dxa"/>
            <w:vAlign w:val="bottom"/>
            <w:gridSpan w:val="2"/>
          </w:tcPr>
          <w:p>
            <w:pPr>
              <w:ind w:left="2740"/>
              <w:spacing w:after="0"/>
              <w:rPr>
                <w:sz w:val="20"/>
                <w:szCs w:val="20"/>
                <w:color w:val="auto"/>
              </w:rPr>
            </w:pPr>
            <w:r>
              <w:rPr>
                <w:rFonts w:ascii="Arial" w:cs="Arial" w:eastAsia="Arial" w:hAnsi="Arial"/>
                <w:sz w:val="16"/>
                <w:szCs w:val="16"/>
                <w:color w:val="auto"/>
              </w:rPr>
              <w:t>Key Experience and Qualifications</w:t>
            </w:r>
          </w:p>
        </w:tc>
        <w:tc>
          <w:tcPr>
            <w:tcW w:w="20" w:type="dxa"/>
            <w:vAlign w:val="bottom"/>
          </w:tcPr>
          <w:p>
            <w:pPr>
              <w:spacing w:after="0"/>
              <w:rPr>
                <w:sz w:val="20"/>
                <w:szCs w:val="20"/>
                <w:color w:val="auto"/>
              </w:rPr>
            </w:pPr>
          </w:p>
        </w:tc>
      </w:tr>
      <w:tr>
        <w:trPr>
          <w:trHeight w:val="193"/>
        </w:trPr>
        <w:tc>
          <w:tcPr>
            <w:tcW w:w="3240" w:type="dxa"/>
            <w:vAlign w:val="bottom"/>
          </w:tcPr>
          <w:p>
            <w:pPr>
              <w:ind w:left="3060"/>
              <w:spacing w:after="0"/>
              <w:rPr>
                <w:sz w:val="20"/>
                <w:szCs w:val="20"/>
                <w:color w:val="auto"/>
              </w:rPr>
            </w:pPr>
            <w:r>
              <w:rPr>
                <w:rFonts w:ascii="Arial" w:cs="Arial" w:eastAsia="Arial" w:hAnsi="Arial"/>
                <w:sz w:val="15"/>
                <w:szCs w:val="15"/>
                <w:color w:val="auto"/>
              </w:rPr>
              <w:t>•</w:t>
            </w:r>
          </w:p>
        </w:tc>
        <w:tc>
          <w:tcPr>
            <w:tcW w:w="7960" w:type="dxa"/>
            <w:vAlign w:val="bottom"/>
          </w:tcPr>
          <w:p>
            <w:pPr>
              <w:ind w:left="140"/>
              <w:spacing w:after="0"/>
              <w:rPr>
                <w:sz w:val="20"/>
                <w:szCs w:val="20"/>
                <w:color w:val="auto"/>
              </w:rPr>
            </w:pPr>
            <w:r>
              <w:rPr>
                <w:rFonts w:ascii="Arial" w:cs="Arial" w:eastAsia="Arial" w:hAnsi="Arial"/>
                <w:sz w:val="15"/>
                <w:szCs w:val="15"/>
                <w:color w:val="auto"/>
                <w:w w:val="99"/>
              </w:rPr>
              <w:t>In July 2020, Ms. Hulst joined The Trade Desk as EVP, Global Data &amp; Strategy. She leads the global team focused on</w:t>
            </w:r>
          </w:p>
        </w:tc>
        <w:tc>
          <w:tcPr>
            <w:tcW w:w="20" w:type="dxa"/>
            <w:vAlign w:val="bottom"/>
          </w:tcPr>
          <w:p>
            <w:pPr>
              <w:spacing w:after="0"/>
              <w:rPr>
                <w:sz w:val="16"/>
                <w:szCs w:val="16"/>
                <w:color w:val="auto"/>
              </w:rPr>
            </w:pPr>
          </w:p>
        </w:tc>
      </w:tr>
      <w:tr>
        <w:trPr>
          <w:trHeight w:val="160"/>
        </w:trPr>
        <w:tc>
          <w:tcPr>
            <w:tcW w:w="3240" w:type="dxa"/>
            <w:vAlign w:val="bottom"/>
          </w:tcPr>
          <w:p>
            <w:pPr>
              <w:spacing w:after="0"/>
              <w:rPr>
                <w:sz w:val="13"/>
                <w:szCs w:val="13"/>
                <w:color w:val="auto"/>
              </w:rPr>
            </w:pPr>
          </w:p>
        </w:tc>
        <w:tc>
          <w:tcPr>
            <w:tcW w:w="7960" w:type="dxa"/>
            <w:vAlign w:val="bottom"/>
          </w:tcPr>
          <w:p>
            <w:pPr>
              <w:ind w:left="140"/>
              <w:spacing w:after="0" w:line="161" w:lineRule="exact"/>
              <w:rPr>
                <w:sz w:val="20"/>
                <w:szCs w:val="20"/>
                <w:color w:val="auto"/>
              </w:rPr>
            </w:pPr>
            <w:r>
              <w:rPr>
                <w:rFonts w:ascii="Arial" w:cs="Arial" w:eastAsia="Arial" w:hAnsi="Arial"/>
                <w:sz w:val="15"/>
                <w:szCs w:val="15"/>
                <w:color w:val="auto"/>
                <w:w w:val="91"/>
              </w:rPr>
              <w:t>developing company strategy and originating and managing partnerships that provide advertisers with the data solutions needed</w:t>
            </w:r>
          </w:p>
        </w:tc>
        <w:tc>
          <w:tcPr>
            <w:tcW w:w="20" w:type="dxa"/>
            <w:vAlign w:val="bottom"/>
          </w:tcPr>
          <w:p>
            <w:pPr>
              <w:spacing w:after="0"/>
              <w:rPr>
                <w:sz w:val="13"/>
                <w:szCs w:val="13"/>
                <w:color w:val="auto"/>
              </w:rPr>
            </w:pPr>
          </w:p>
        </w:tc>
      </w:tr>
      <w:tr>
        <w:trPr>
          <w:trHeight w:val="187"/>
        </w:trPr>
        <w:tc>
          <w:tcPr>
            <w:tcW w:w="3240" w:type="dxa"/>
            <w:vAlign w:val="bottom"/>
          </w:tcPr>
          <w:p>
            <w:pPr>
              <w:spacing w:after="0"/>
              <w:rPr>
                <w:sz w:val="16"/>
                <w:szCs w:val="16"/>
                <w:color w:val="auto"/>
              </w:rPr>
            </w:pPr>
          </w:p>
        </w:tc>
        <w:tc>
          <w:tcPr>
            <w:tcW w:w="7960" w:type="dxa"/>
            <w:vAlign w:val="bottom"/>
          </w:tcPr>
          <w:p>
            <w:pPr>
              <w:ind w:left="140"/>
              <w:spacing w:after="0"/>
              <w:rPr>
                <w:sz w:val="20"/>
                <w:szCs w:val="20"/>
                <w:color w:val="auto"/>
              </w:rPr>
            </w:pPr>
            <w:r>
              <w:rPr>
                <w:rFonts w:ascii="Arial" w:cs="Arial" w:eastAsia="Arial" w:hAnsi="Arial"/>
                <w:sz w:val="15"/>
                <w:szCs w:val="15"/>
                <w:color w:val="auto"/>
              </w:rPr>
              <w:t>to drive business performance.</w:t>
            </w:r>
          </w:p>
        </w:tc>
        <w:tc>
          <w:tcPr>
            <w:tcW w:w="20" w:type="dxa"/>
            <w:vAlign w:val="bottom"/>
          </w:tcPr>
          <w:p>
            <w:pPr>
              <w:spacing w:after="0"/>
              <w:rPr>
                <w:sz w:val="16"/>
                <w:szCs w:val="16"/>
                <w:color w:val="auto"/>
              </w:rPr>
            </w:pPr>
          </w:p>
        </w:tc>
      </w:tr>
      <w:tr>
        <w:trPr>
          <w:trHeight w:val="160"/>
        </w:trPr>
        <w:tc>
          <w:tcPr>
            <w:tcW w:w="3240" w:type="dxa"/>
            <w:vAlign w:val="bottom"/>
          </w:tcPr>
          <w:p>
            <w:pPr>
              <w:ind w:left="3060"/>
              <w:spacing w:after="0" w:line="161" w:lineRule="exact"/>
              <w:rPr>
                <w:sz w:val="20"/>
                <w:szCs w:val="20"/>
                <w:color w:val="auto"/>
              </w:rPr>
            </w:pPr>
            <w:r>
              <w:rPr>
                <w:rFonts w:ascii="Arial" w:cs="Arial" w:eastAsia="Arial" w:hAnsi="Arial"/>
                <w:sz w:val="15"/>
                <w:szCs w:val="15"/>
                <w:color w:val="auto"/>
              </w:rPr>
              <w:t>•</w:t>
            </w:r>
          </w:p>
        </w:tc>
        <w:tc>
          <w:tcPr>
            <w:tcW w:w="7960" w:type="dxa"/>
            <w:vAlign w:val="bottom"/>
          </w:tcPr>
          <w:p>
            <w:pPr>
              <w:ind w:left="120"/>
              <w:spacing w:after="0" w:line="161" w:lineRule="exact"/>
              <w:rPr>
                <w:sz w:val="20"/>
                <w:szCs w:val="20"/>
                <w:color w:val="auto"/>
              </w:rPr>
            </w:pPr>
            <w:r>
              <w:rPr>
                <w:rFonts w:ascii="Arial" w:cs="Arial" w:eastAsia="Arial" w:hAnsi="Arial"/>
                <w:sz w:val="15"/>
                <w:szCs w:val="15"/>
                <w:color w:val="auto"/>
                <w:w w:val="91"/>
              </w:rPr>
              <w:t>Ms. Hulst formerly served as Group Vice President of Marketing and Strategic Partnership at Oracle Data Cloud in San Francisco</w:t>
            </w:r>
          </w:p>
        </w:tc>
        <w:tc>
          <w:tcPr>
            <w:tcW w:w="20" w:type="dxa"/>
            <w:vAlign w:val="bottom"/>
          </w:tcPr>
          <w:p>
            <w:pPr>
              <w:spacing w:after="0"/>
              <w:rPr>
                <w:sz w:val="13"/>
                <w:szCs w:val="13"/>
                <w:color w:val="auto"/>
              </w:rPr>
            </w:pPr>
          </w:p>
        </w:tc>
      </w:tr>
      <w:tr>
        <w:trPr>
          <w:trHeight w:val="160"/>
        </w:trPr>
        <w:tc>
          <w:tcPr>
            <w:tcW w:w="3240" w:type="dxa"/>
            <w:vAlign w:val="bottom"/>
          </w:tcPr>
          <w:p>
            <w:pPr>
              <w:spacing w:after="0"/>
              <w:rPr>
                <w:sz w:val="13"/>
                <w:szCs w:val="13"/>
                <w:color w:val="auto"/>
              </w:rPr>
            </w:pPr>
          </w:p>
        </w:tc>
        <w:tc>
          <w:tcPr>
            <w:tcW w:w="7960" w:type="dxa"/>
            <w:vAlign w:val="bottom"/>
          </w:tcPr>
          <w:p>
            <w:pPr>
              <w:ind w:left="140"/>
              <w:spacing w:after="0" w:line="161" w:lineRule="exact"/>
              <w:rPr>
                <w:sz w:val="20"/>
                <w:szCs w:val="20"/>
                <w:color w:val="auto"/>
              </w:rPr>
            </w:pPr>
            <w:r>
              <w:rPr>
                <w:rFonts w:ascii="Arial" w:cs="Arial" w:eastAsia="Arial" w:hAnsi="Arial"/>
                <w:sz w:val="15"/>
                <w:szCs w:val="15"/>
                <w:color w:val="auto"/>
                <w:w w:val="96"/>
              </w:rPr>
              <w:t>and was charged with developing business and data partnerships. Her expertise in digital marketing and strategic growth,</w:t>
            </w:r>
          </w:p>
        </w:tc>
        <w:tc>
          <w:tcPr>
            <w:tcW w:w="20" w:type="dxa"/>
            <w:vAlign w:val="bottom"/>
          </w:tcPr>
          <w:p>
            <w:pPr>
              <w:spacing w:after="0"/>
              <w:rPr>
                <w:sz w:val="13"/>
                <w:szCs w:val="13"/>
                <w:color w:val="auto"/>
              </w:rPr>
            </w:pPr>
          </w:p>
        </w:tc>
      </w:tr>
      <w:tr>
        <w:trPr>
          <w:trHeight w:val="160"/>
        </w:trPr>
        <w:tc>
          <w:tcPr>
            <w:tcW w:w="3240" w:type="dxa"/>
            <w:vAlign w:val="bottom"/>
          </w:tcPr>
          <w:p>
            <w:pPr>
              <w:spacing w:after="0"/>
              <w:rPr>
                <w:sz w:val="13"/>
                <w:szCs w:val="13"/>
                <w:color w:val="auto"/>
              </w:rPr>
            </w:pPr>
          </w:p>
        </w:tc>
        <w:tc>
          <w:tcPr>
            <w:tcW w:w="7960" w:type="dxa"/>
            <w:vAlign w:val="bottom"/>
          </w:tcPr>
          <w:p>
            <w:pPr>
              <w:ind w:left="140"/>
              <w:spacing w:after="0" w:line="161" w:lineRule="exact"/>
              <w:rPr>
                <w:sz w:val="20"/>
                <w:szCs w:val="20"/>
                <w:color w:val="auto"/>
              </w:rPr>
            </w:pPr>
            <w:r>
              <w:rPr>
                <w:rFonts w:ascii="Arial" w:cs="Arial" w:eastAsia="Arial" w:hAnsi="Arial"/>
                <w:sz w:val="15"/>
                <w:szCs w:val="15"/>
                <w:color w:val="auto"/>
                <w:w w:val="92"/>
              </w:rPr>
              <w:t>developing strong alliances, and advancing key relationships are valuable skills as the Bank continues to evolve and innovate in</w:t>
            </w:r>
          </w:p>
        </w:tc>
        <w:tc>
          <w:tcPr>
            <w:tcW w:w="20" w:type="dxa"/>
            <w:vAlign w:val="bottom"/>
          </w:tcPr>
          <w:p>
            <w:pPr>
              <w:spacing w:after="0"/>
              <w:rPr>
                <w:sz w:val="13"/>
                <w:szCs w:val="13"/>
                <w:color w:val="auto"/>
              </w:rPr>
            </w:pPr>
          </w:p>
        </w:tc>
      </w:tr>
      <w:tr>
        <w:trPr>
          <w:trHeight w:val="160"/>
        </w:trPr>
        <w:tc>
          <w:tcPr>
            <w:tcW w:w="3240" w:type="dxa"/>
            <w:vAlign w:val="bottom"/>
          </w:tcPr>
          <w:p>
            <w:pPr>
              <w:spacing w:after="0"/>
              <w:rPr>
                <w:sz w:val="13"/>
                <w:szCs w:val="13"/>
                <w:color w:val="auto"/>
              </w:rPr>
            </w:pPr>
          </w:p>
        </w:tc>
        <w:tc>
          <w:tcPr>
            <w:tcW w:w="7960" w:type="dxa"/>
            <w:vAlign w:val="bottom"/>
          </w:tcPr>
          <w:p>
            <w:pPr>
              <w:ind w:left="140"/>
              <w:spacing w:after="0" w:line="161" w:lineRule="exact"/>
              <w:rPr>
                <w:sz w:val="20"/>
                <w:szCs w:val="20"/>
                <w:color w:val="auto"/>
              </w:rPr>
            </w:pPr>
            <w:r>
              <w:rPr>
                <w:rFonts w:ascii="Arial" w:cs="Arial" w:eastAsia="Arial" w:hAnsi="Arial"/>
                <w:sz w:val="15"/>
                <w:szCs w:val="15"/>
                <w:color w:val="auto"/>
                <w:w w:val="89"/>
              </w:rPr>
              <w:t>today’s data-driven landscape. Her educational background, professional experience, and skillset qualify her to serve on our Board,</w:t>
            </w:r>
          </w:p>
        </w:tc>
        <w:tc>
          <w:tcPr>
            <w:tcW w:w="20" w:type="dxa"/>
            <w:vAlign w:val="bottom"/>
          </w:tcPr>
          <w:p>
            <w:pPr>
              <w:spacing w:after="0"/>
              <w:rPr>
                <w:sz w:val="13"/>
                <w:szCs w:val="13"/>
                <w:color w:val="auto"/>
              </w:rPr>
            </w:pPr>
          </w:p>
        </w:tc>
      </w:tr>
      <w:tr>
        <w:trPr>
          <w:trHeight w:val="217"/>
        </w:trPr>
        <w:tc>
          <w:tcPr>
            <w:tcW w:w="3240" w:type="dxa"/>
            <w:vAlign w:val="bottom"/>
          </w:tcPr>
          <w:p>
            <w:pPr>
              <w:ind w:left="640"/>
              <w:spacing w:after="0"/>
              <w:rPr>
                <w:sz w:val="20"/>
                <w:szCs w:val="20"/>
                <w:color w:val="auto"/>
              </w:rPr>
            </w:pPr>
            <w:r>
              <w:rPr>
                <w:rFonts w:ascii="Arial" w:cs="Arial" w:eastAsia="Arial" w:hAnsi="Arial"/>
                <w:sz w:val="16"/>
                <w:szCs w:val="16"/>
                <w:color w:val="auto"/>
              </w:rPr>
              <w:t>Michelle E. Hulst</w:t>
            </w:r>
          </w:p>
        </w:tc>
        <w:tc>
          <w:tcPr>
            <w:tcW w:w="7960" w:type="dxa"/>
            <w:vAlign w:val="bottom"/>
          </w:tcPr>
          <w:p>
            <w:pPr>
              <w:ind w:left="140"/>
              <w:spacing w:after="0"/>
              <w:rPr>
                <w:sz w:val="20"/>
                <w:szCs w:val="20"/>
                <w:color w:val="auto"/>
              </w:rPr>
            </w:pPr>
            <w:r>
              <w:rPr>
                <w:rFonts w:ascii="Arial" w:cs="Arial" w:eastAsia="Arial" w:hAnsi="Arial"/>
                <w:sz w:val="15"/>
                <w:szCs w:val="15"/>
                <w:color w:val="auto"/>
              </w:rPr>
              <w:t>the Human Resources &amp; Compensation and Nominating &amp; Corporate Governance Committees.</w:t>
            </w:r>
          </w:p>
        </w:tc>
        <w:tc>
          <w:tcPr>
            <w:tcW w:w="20" w:type="dxa"/>
            <w:vAlign w:val="bottom"/>
          </w:tcPr>
          <w:p>
            <w:pPr>
              <w:spacing w:after="0"/>
              <w:rPr>
                <w:sz w:val="18"/>
                <w:szCs w:val="18"/>
                <w:color w:val="auto"/>
              </w:rPr>
            </w:pPr>
          </w:p>
        </w:tc>
      </w:tr>
      <w:tr>
        <w:trPr>
          <w:trHeight w:val="205"/>
        </w:trPr>
        <w:tc>
          <w:tcPr>
            <w:tcW w:w="11200" w:type="dxa"/>
            <w:vAlign w:val="bottom"/>
            <w:gridSpan w:val="2"/>
          </w:tcPr>
          <w:p>
            <w:pPr>
              <w:ind w:left="2740"/>
              <w:spacing w:after="0"/>
              <w:rPr>
                <w:sz w:val="20"/>
                <w:szCs w:val="20"/>
                <w:color w:val="auto"/>
              </w:rPr>
            </w:pPr>
            <w:r>
              <w:rPr>
                <w:rFonts w:ascii="Arial" w:cs="Arial" w:eastAsia="Arial" w:hAnsi="Arial"/>
                <w:sz w:val="16"/>
                <w:szCs w:val="16"/>
                <w:color w:val="auto"/>
              </w:rPr>
              <w:t>Career Highlights</w:t>
            </w:r>
          </w:p>
        </w:tc>
        <w:tc>
          <w:tcPr>
            <w:tcW w:w="20" w:type="dxa"/>
            <w:vAlign w:val="bottom"/>
          </w:tcPr>
          <w:p>
            <w:pPr>
              <w:spacing w:after="0"/>
              <w:rPr>
                <w:sz w:val="17"/>
                <w:szCs w:val="17"/>
                <w:color w:val="auto"/>
              </w:rPr>
            </w:pPr>
          </w:p>
        </w:tc>
      </w:tr>
      <w:tr>
        <w:trPr>
          <w:trHeight w:val="193"/>
        </w:trPr>
        <w:tc>
          <w:tcPr>
            <w:tcW w:w="3240" w:type="dxa"/>
            <w:vAlign w:val="bottom"/>
          </w:tcPr>
          <w:p>
            <w:pPr>
              <w:ind w:left="3060"/>
              <w:spacing w:after="0"/>
              <w:rPr>
                <w:sz w:val="20"/>
                <w:szCs w:val="20"/>
                <w:color w:val="auto"/>
              </w:rPr>
            </w:pPr>
            <w:r>
              <w:rPr>
                <w:rFonts w:ascii="Arial" w:cs="Arial" w:eastAsia="Arial" w:hAnsi="Arial"/>
                <w:sz w:val="15"/>
                <w:szCs w:val="15"/>
                <w:color w:val="auto"/>
              </w:rPr>
              <w:t>•</w:t>
            </w:r>
          </w:p>
        </w:tc>
        <w:tc>
          <w:tcPr>
            <w:tcW w:w="7960" w:type="dxa"/>
            <w:vAlign w:val="bottom"/>
          </w:tcPr>
          <w:p>
            <w:pPr>
              <w:ind w:left="140"/>
              <w:spacing w:after="0"/>
              <w:rPr>
                <w:sz w:val="20"/>
                <w:szCs w:val="20"/>
                <w:color w:val="auto"/>
              </w:rPr>
            </w:pPr>
            <w:r>
              <w:rPr>
                <w:rFonts w:ascii="Arial" w:cs="Arial" w:eastAsia="Arial" w:hAnsi="Arial"/>
                <w:sz w:val="15"/>
                <w:szCs w:val="15"/>
                <w:color w:val="auto"/>
                <w:w w:val="93"/>
              </w:rPr>
              <w:t>Prior to Oracle Data Cloud, Ms. Hulst worked at Datalogix Inc., from 2006 to 2015, where she served as Senior Vice President</w:t>
            </w:r>
          </w:p>
        </w:tc>
        <w:tc>
          <w:tcPr>
            <w:tcW w:w="20" w:type="dxa"/>
            <w:vAlign w:val="bottom"/>
          </w:tcPr>
          <w:p>
            <w:pPr>
              <w:spacing w:after="0"/>
              <w:rPr>
                <w:sz w:val="16"/>
                <w:szCs w:val="16"/>
                <w:color w:val="auto"/>
              </w:rPr>
            </w:pPr>
          </w:p>
        </w:tc>
      </w:tr>
      <w:tr>
        <w:trPr>
          <w:trHeight w:val="160"/>
        </w:trPr>
        <w:tc>
          <w:tcPr>
            <w:tcW w:w="3240" w:type="dxa"/>
            <w:vAlign w:val="bottom"/>
          </w:tcPr>
          <w:p>
            <w:pPr>
              <w:spacing w:after="0"/>
              <w:rPr>
                <w:sz w:val="13"/>
                <w:szCs w:val="13"/>
                <w:color w:val="auto"/>
              </w:rPr>
            </w:pPr>
          </w:p>
        </w:tc>
        <w:tc>
          <w:tcPr>
            <w:tcW w:w="7960" w:type="dxa"/>
            <w:vAlign w:val="bottom"/>
          </w:tcPr>
          <w:p>
            <w:pPr>
              <w:ind w:left="140"/>
              <w:spacing w:after="0" w:line="161" w:lineRule="exact"/>
              <w:rPr>
                <w:sz w:val="20"/>
                <w:szCs w:val="20"/>
                <w:color w:val="auto"/>
              </w:rPr>
            </w:pPr>
            <w:r>
              <w:rPr>
                <w:rFonts w:ascii="Arial" w:cs="Arial" w:eastAsia="Arial" w:hAnsi="Arial"/>
                <w:sz w:val="15"/>
                <w:szCs w:val="15"/>
                <w:color w:val="auto"/>
                <w:w w:val="97"/>
              </w:rPr>
              <w:t>of Strategic Partnerships and Business Development. During her tenure at Datalogix, Inc., she led the global deal team’s</w:t>
            </w:r>
          </w:p>
        </w:tc>
        <w:tc>
          <w:tcPr>
            <w:tcW w:w="20" w:type="dxa"/>
            <w:vAlign w:val="bottom"/>
          </w:tcPr>
          <w:p>
            <w:pPr>
              <w:spacing w:after="0"/>
              <w:rPr>
                <w:sz w:val="13"/>
                <w:szCs w:val="13"/>
                <w:color w:val="auto"/>
              </w:rPr>
            </w:pPr>
          </w:p>
        </w:tc>
      </w:tr>
      <w:tr>
        <w:trPr>
          <w:trHeight w:val="160"/>
        </w:trPr>
        <w:tc>
          <w:tcPr>
            <w:tcW w:w="3240" w:type="dxa"/>
            <w:vAlign w:val="bottom"/>
          </w:tcPr>
          <w:p>
            <w:pPr>
              <w:spacing w:after="0"/>
              <w:rPr>
                <w:sz w:val="13"/>
                <w:szCs w:val="13"/>
                <w:color w:val="auto"/>
              </w:rPr>
            </w:pPr>
          </w:p>
        </w:tc>
        <w:tc>
          <w:tcPr>
            <w:tcW w:w="7960" w:type="dxa"/>
            <w:vAlign w:val="bottom"/>
          </w:tcPr>
          <w:p>
            <w:pPr>
              <w:ind w:left="140"/>
              <w:spacing w:after="0" w:line="161" w:lineRule="exact"/>
              <w:rPr>
                <w:sz w:val="20"/>
                <w:szCs w:val="20"/>
                <w:color w:val="auto"/>
              </w:rPr>
            </w:pPr>
            <w:r>
              <w:rPr>
                <w:rFonts w:ascii="Arial" w:cs="Arial" w:eastAsia="Arial" w:hAnsi="Arial"/>
                <w:sz w:val="15"/>
                <w:szCs w:val="15"/>
                <w:color w:val="auto"/>
                <w:w w:val="97"/>
              </w:rPr>
              <w:t>execution of pivotal partnerships with companies such as Facebook, Twitter, and Google, which were instrumental in the</w:t>
            </w:r>
          </w:p>
        </w:tc>
        <w:tc>
          <w:tcPr>
            <w:tcW w:w="20" w:type="dxa"/>
            <w:vAlign w:val="bottom"/>
          </w:tcPr>
          <w:p>
            <w:pPr>
              <w:spacing w:after="0"/>
              <w:rPr>
                <w:sz w:val="13"/>
                <w:szCs w:val="13"/>
                <w:color w:val="auto"/>
              </w:rPr>
            </w:pPr>
          </w:p>
        </w:tc>
      </w:tr>
      <w:tr>
        <w:trPr>
          <w:trHeight w:val="191"/>
        </w:trPr>
        <w:tc>
          <w:tcPr>
            <w:tcW w:w="3240" w:type="dxa"/>
            <w:vAlign w:val="bottom"/>
          </w:tcPr>
          <w:p>
            <w:pPr>
              <w:spacing w:after="0"/>
              <w:rPr>
                <w:sz w:val="16"/>
                <w:szCs w:val="16"/>
                <w:color w:val="auto"/>
              </w:rPr>
            </w:pPr>
          </w:p>
        </w:tc>
        <w:tc>
          <w:tcPr>
            <w:tcW w:w="7960" w:type="dxa"/>
            <w:vAlign w:val="bottom"/>
          </w:tcPr>
          <w:p>
            <w:pPr>
              <w:ind w:left="140"/>
              <w:spacing w:after="0"/>
              <w:rPr>
                <w:sz w:val="20"/>
                <w:szCs w:val="20"/>
                <w:color w:val="auto"/>
              </w:rPr>
            </w:pPr>
            <w:r>
              <w:rPr>
                <w:rFonts w:ascii="Arial" w:cs="Arial" w:eastAsia="Arial" w:hAnsi="Arial"/>
                <w:sz w:val="15"/>
                <w:szCs w:val="15"/>
                <w:color w:val="auto"/>
              </w:rPr>
              <w:t>transformation of the business. She also was a member of the executive team that led the sale of Datalogix to Oracle.</w:t>
            </w:r>
          </w:p>
        </w:tc>
        <w:tc>
          <w:tcPr>
            <w:tcW w:w="20" w:type="dxa"/>
            <w:vAlign w:val="bottom"/>
          </w:tcPr>
          <w:p>
            <w:pPr>
              <w:spacing w:after="0"/>
              <w:rPr>
                <w:sz w:val="16"/>
                <w:szCs w:val="16"/>
                <w:color w:val="auto"/>
              </w:rPr>
            </w:pPr>
          </w:p>
        </w:tc>
      </w:tr>
      <w:tr>
        <w:trPr>
          <w:trHeight w:val="231"/>
        </w:trPr>
        <w:tc>
          <w:tcPr>
            <w:tcW w:w="11200" w:type="dxa"/>
            <w:vAlign w:val="bottom"/>
            <w:gridSpan w:val="2"/>
          </w:tcPr>
          <w:p>
            <w:pPr>
              <w:ind w:left="2740"/>
              <w:spacing w:after="0"/>
              <w:rPr>
                <w:sz w:val="20"/>
                <w:szCs w:val="20"/>
                <w:color w:val="auto"/>
              </w:rPr>
            </w:pPr>
            <w:r>
              <w:rPr>
                <w:rFonts w:ascii="Arial" w:cs="Arial" w:eastAsia="Arial" w:hAnsi="Arial"/>
                <w:sz w:val="16"/>
                <w:szCs w:val="16"/>
                <w:color w:val="auto"/>
              </w:rPr>
              <w:t>Other Professional Experience and Community Involvement</w:t>
            </w:r>
          </w:p>
        </w:tc>
        <w:tc>
          <w:tcPr>
            <w:tcW w:w="20" w:type="dxa"/>
            <w:vAlign w:val="bottom"/>
          </w:tcPr>
          <w:p>
            <w:pPr>
              <w:spacing w:after="0"/>
              <w:rPr>
                <w:sz w:val="20"/>
                <w:szCs w:val="20"/>
                <w:color w:val="auto"/>
              </w:rPr>
            </w:pPr>
          </w:p>
        </w:tc>
      </w:tr>
      <w:tr>
        <w:trPr>
          <w:trHeight w:val="193"/>
        </w:trPr>
        <w:tc>
          <w:tcPr>
            <w:tcW w:w="3240" w:type="dxa"/>
            <w:vAlign w:val="bottom"/>
          </w:tcPr>
          <w:p>
            <w:pPr>
              <w:ind w:left="3060"/>
              <w:spacing w:after="0"/>
              <w:rPr>
                <w:sz w:val="20"/>
                <w:szCs w:val="20"/>
                <w:color w:val="auto"/>
              </w:rPr>
            </w:pPr>
            <w:r>
              <w:rPr>
                <w:rFonts w:ascii="Arial" w:cs="Arial" w:eastAsia="Arial" w:hAnsi="Arial"/>
                <w:sz w:val="15"/>
                <w:szCs w:val="15"/>
                <w:color w:val="auto"/>
              </w:rPr>
              <w:t>•</w:t>
            </w:r>
          </w:p>
        </w:tc>
        <w:tc>
          <w:tcPr>
            <w:tcW w:w="7960" w:type="dxa"/>
            <w:vAlign w:val="bottom"/>
          </w:tcPr>
          <w:p>
            <w:pPr>
              <w:ind w:left="140"/>
              <w:spacing w:after="0"/>
              <w:rPr>
                <w:sz w:val="20"/>
                <w:szCs w:val="20"/>
                <w:color w:val="auto"/>
              </w:rPr>
            </w:pPr>
            <w:r>
              <w:rPr>
                <w:rFonts w:ascii="Arial" w:cs="Arial" w:eastAsia="Arial" w:hAnsi="Arial"/>
                <w:sz w:val="15"/>
                <w:szCs w:val="15"/>
                <w:color w:val="auto"/>
                <w:w w:val="95"/>
              </w:rPr>
              <w:t>Ms. Hulst also worked at Entertainment Publications, an operating business of IAC/InterActiveCorp, where she held several</w:t>
            </w:r>
          </w:p>
        </w:tc>
        <w:tc>
          <w:tcPr>
            <w:tcW w:w="20" w:type="dxa"/>
            <w:vAlign w:val="bottom"/>
          </w:tcPr>
          <w:p>
            <w:pPr>
              <w:spacing w:after="0"/>
              <w:rPr>
                <w:sz w:val="16"/>
                <w:szCs w:val="16"/>
                <w:color w:val="auto"/>
              </w:rPr>
            </w:pPr>
          </w:p>
        </w:tc>
      </w:tr>
      <w:tr>
        <w:trPr>
          <w:trHeight w:val="160"/>
        </w:trPr>
        <w:tc>
          <w:tcPr>
            <w:tcW w:w="3240" w:type="dxa"/>
            <w:vAlign w:val="bottom"/>
          </w:tcPr>
          <w:p>
            <w:pPr>
              <w:spacing w:after="0"/>
              <w:rPr>
                <w:sz w:val="13"/>
                <w:szCs w:val="13"/>
                <w:color w:val="auto"/>
              </w:rPr>
            </w:pPr>
          </w:p>
        </w:tc>
        <w:tc>
          <w:tcPr>
            <w:tcW w:w="7960" w:type="dxa"/>
            <w:vAlign w:val="bottom"/>
          </w:tcPr>
          <w:p>
            <w:pPr>
              <w:ind w:left="140"/>
              <w:spacing w:after="0" w:line="161" w:lineRule="exact"/>
              <w:rPr>
                <w:sz w:val="20"/>
                <w:szCs w:val="20"/>
                <w:color w:val="auto"/>
              </w:rPr>
            </w:pPr>
            <w:r>
              <w:rPr>
                <w:rFonts w:ascii="Arial" w:cs="Arial" w:eastAsia="Arial" w:hAnsi="Arial"/>
                <w:sz w:val="15"/>
                <w:szCs w:val="15"/>
                <w:color w:val="auto"/>
                <w:w w:val="92"/>
              </w:rPr>
              <w:t>positions, including Vice President responsible for strategic direction, execution and general management of a critical business</w:t>
            </w:r>
          </w:p>
        </w:tc>
        <w:tc>
          <w:tcPr>
            <w:tcW w:w="20" w:type="dxa"/>
            <w:vAlign w:val="bottom"/>
          </w:tcPr>
          <w:p>
            <w:pPr>
              <w:spacing w:after="0"/>
              <w:rPr>
                <w:sz w:val="13"/>
                <w:szCs w:val="13"/>
                <w:color w:val="auto"/>
              </w:rPr>
            </w:pPr>
          </w:p>
        </w:tc>
      </w:tr>
      <w:tr>
        <w:trPr>
          <w:trHeight w:val="160"/>
        </w:trPr>
        <w:tc>
          <w:tcPr>
            <w:tcW w:w="3240" w:type="dxa"/>
            <w:vAlign w:val="bottom"/>
          </w:tcPr>
          <w:p>
            <w:pPr>
              <w:spacing w:after="0"/>
              <w:rPr>
                <w:sz w:val="13"/>
                <w:szCs w:val="13"/>
                <w:color w:val="auto"/>
              </w:rPr>
            </w:pPr>
          </w:p>
        </w:tc>
        <w:tc>
          <w:tcPr>
            <w:tcW w:w="7960" w:type="dxa"/>
            <w:vAlign w:val="bottom"/>
          </w:tcPr>
          <w:p>
            <w:pPr>
              <w:ind w:left="140"/>
              <w:spacing w:after="0" w:line="161" w:lineRule="exact"/>
              <w:rPr>
                <w:sz w:val="20"/>
                <w:szCs w:val="20"/>
                <w:color w:val="auto"/>
              </w:rPr>
            </w:pPr>
            <w:r>
              <w:rPr>
                <w:rFonts w:ascii="Arial" w:cs="Arial" w:eastAsia="Arial" w:hAnsi="Arial"/>
                <w:sz w:val="15"/>
                <w:szCs w:val="15"/>
                <w:color w:val="auto"/>
                <w:w w:val="91"/>
              </w:rPr>
              <w:t>initiative for the company. Ms. Hulst served on the boards of Ad Council, a nonprofit organization that drives the pro bono efforts</w:t>
            </w:r>
          </w:p>
        </w:tc>
        <w:tc>
          <w:tcPr>
            <w:tcW w:w="20" w:type="dxa"/>
            <w:vAlign w:val="bottom"/>
          </w:tcPr>
          <w:p>
            <w:pPr>
              <w:spacing w:after="0"/>
              <w:rPr>
                <w:sz w:val="13"/>
                <w:szCs w:val="13"/>
                <w:color w:val="auto"/>
              </w:rPr>
            </w:pPr>
          </w:p>
        </w:tc>
      </w:tr>
      <w:tr>
        <w:trPr>
          <w:trHeight w:val="191"/>
        </w:trPr>
        <w:tc>
          <w:tcPr>
            <w:tcW w:w="3240" w:type="dxa"/>
            <w:vAlign w:val="bottom"/>
          </w:tcPr>
          <w:p>
            <w:pPr>
              <w:spacing w:after="0"/>
              <w:rPr>
                <w:sz w:val="16"/>
                <w:szCs w:val="16"/>
                <w:color w:val="auto"/>
              </w:rPr>
            </w:pPr>
          </w:p>
        </w:tc>
        <w:tc>
          <w:tcPr>
            <w:tcW w:w="7960" w:type="dxa"/>
            <w:vAlign w:val="bottom"/>
          </w:tcPr>
          <w:p>
            <w:pPr>
              <w:ind w:left="140"/>
              <w:spacing w:after="0"/>
              <w:rPr>
                <w:sz w:val="20"/>
                <w:szCs w:val="20"/>
                <w:color w:val="auto"/>
              </w:rPr>
            </w:pPr>
            <w:r>
              <w:rPr>
                <w:rFonts w:ascii="Arial" w:cs="Arial" w:eastAsia="Arial" w:hAnsi="Arial"/>
                <w:sz w:val="15"/>
                <w:szCs w:val="15"/>
                <w:color w:val="auto"/>
                <w:w w:val="90"/>
              </w:rPr>
              <w:t>of the advertising, media and tech industries and Makers, an organization that is dedicated to advancing women in the workplace.</w:t>
            </w:r>
          </w:p>
        </w:tc>
        <w:tc>
          <w:tcPr>
            <w:tcW w:w="20" w:type="dxa"/>
            <w:vAlign w:val="bottom"/>
          </w:tcPr>
          <w:p>
            <w:pPr>
              <w:spacing w:after="0"/>
              <w:rPr>
                <w:sz w:val="16"/>
                <w:szCs w:val="16"/>
                <w:color w:val="auto"/>
              </w:rPr>
            </w:pPr>
          </w:p>
        </w:tc>
      </w:tr>
      <w:tr>
        <w:trPr>
          <w:trHeight w:val="231"/>
        </w:trPr>
        <w:tc>
          <w:tcPr>
            <w:tcW w:w="11200" w:type="dxa"/>
            <w:vAlign w:val="bottom"/>
            <w:gridSpan w:val="2"/>
          </w:tcPr>
          <w:p>
            <w:pPr>
              <w:ind w:left="2740"/>
              <w:spacing w:after="0"/>
              <w:rPr>
                <w:sz w:val="20"/>
                <w:szCs w:val="20"/>
                <w:color w:val="auto"/>
              </w:rPr>
            </w:pPr>
            <w:r>
              <w:rPr>
                <w:rFonts w:ascii="Arial" w:cs="Arial" w:eastAsia="Arial" w:hAnsi="Arial"/>
                <w:sz w:val="16"/>
                <w:szCs w:val="16"/>
                <w:color w:val="auto"/>
              </w:rPr>
              <w:t>Education</w:t>
            </w:r>
          </w:p>
        </w:tc>
        <w:tc>
          <w:tcPr>
            <w:tcW w:w="20" w:type="dxa"/>
            <w:vAlign w:val="bottom"/>
          </w:tcPr>
          <w:p>
            <w:pPr>
              <w:spacing w:after="0"/>
              <w:rPr>
                <w:sz w:val="20"/>
                <w:szCs w:val="20"/>
                <w:color w:val="auto"/>
              </w:rPr>
            </w:pPr>
          </w:p>
        </w:tc>
      </w:tr>
      <w:tr>
        <w:trPr>
          <w:trHeight w:val="193"/>
        </w:trPr>
        <w:tc>
          <w:tcPr>
            <w:tcW w:w="3240" w:type="dxa"/>
            <w:vAlign w:val="bottom"/>
          </w:tcPr>
          <w:p>
            <w:pPr>
              <w:ind w:left="3060"/>
              <w:spacing w:after="0"/>
              <w:rPr>
                <w:sz w:val="20"/>
                <w:szCs w:val="20"/>
                <w:color w:val="auto"/>
              </w:rPr>
            </w:pPr>
            <w:r>
              <w:rPr>
                <w:rFonts w:ascii="Arial" w:cs="Arial" w:eastAsia="Arial" w:hAnsi="Arial"/>
                <w:sz w:val="15"/>
                <w:szCs w:val="15"/>
                <w:color w:val="auto"/>
              </w:rPr>
              <w:t>•</w:t>
            </w:r>
          </w:p>
        </w:tc>
        <w:tc>
          <w:tcPr>
            <w:tcW w:w="7960" w:type="dxa"/>
            <w:vAlign w:val="bottom"/>
          </w:tcPr>
          <w:p>
            <w:pPr>
              <w:ind w:left="140"/>
              <w:spacing w:after="0"/>
              <w:rPr>
                <w:sz w:val="20"/>
                <w:szCs w:val="20"/>
                <w:color w:val="auto"/>
              </w:rPr>
            </w:pPr>
            <w:r>
              <w:rPr>
                <w:rFonts w:ascii="Arial" w:cs="Arial" w:eastAsia="Arial" w:hAnsi="Arial"/>
                <w:sz w:val="15"/>
                <w:szCs w:val="15"/>
                <w:color w:val="auto"/>
                <w:w w:val="96"/>
              </w:rPr>
              <w:t>Ms. Hulst earned a bachelor’s degree in organizational psychology from the University of Michigan and her M.B.A., with an</w:t>
            </w:r>
          </w:p>
        </w:tc>
        <w:tc>
          <w:tcPr>
            <w:tcW w:w="20" w:type="dxa"/>
            <w:vAlign w:val="bottom"/>
          </w:tcPr>
          <w:p>
            <w:pPr>
              <w:spacing w:after="0"/>
              <w:rPr>
                <w:sz w:val="16"/>
                <w:szCs w:val="16"/>
                <w:color w:val="auto"/>
              </w:rPr>
            </w:pPr>
          </w:p>
        </w:tc>
      </w:tr>
      <w:tr>
        <w:trPr>
          <w:trHeight w:val="191"/>
        </w:trPr>
        <w:tc>
          <w:tcPr>
            <w:tcW w:w="3240" w:type="dxa"/>
            <w:vAlign w:val="bottom"/>
          </w:tcPr>
          <w:p>
            <w:pPr>
              <w:spacing w:after="0"/>
              <w:rPr>
                <w:sz w:val="16"/>
                <w:szCs w:val="16"/>
                <w:color w:val="auto"/>
              </w:rPr>
            </w:pPr>
          </w:p>
        </w:tc>
        <w:tc>
          <w:tcPr>
            <w:tcW w:w="7960" w:type="dxa"/>
            <w:vAlign w:val="bottom"/>
          </w:tcPr>
          <w:p>
            <w:pPr>
              <w:ind w:left="140"/>
              <w:spacing w:after="0"/>
              <w:rPr>
                <w:sz w:val="20"/>
                <w:szCs w:val="20"/>
                <w:color w:val="auto"/>
              </w:rPr>
            </w:pPr>
            <w:r>
              <w:rPr>
                <w:rFonts w:ascii="Arial" w:cs="Arial" w:eastAsia="Arial" w:hAnsi="Arial"/>
                <w:sz w:val="15"/>
                <w:szCs w:val="15"/>
                <w:color w:val="auto"/>
                <w:w w:val="99"/>
              </w:rPr>
              <w:t>emphasis in strategy, marketing and entrepreneurship, from Northwestern University’s Kellogg School of Management.</w:t>
            </w:r>
          </w:p>
        </w:tc>
        <w:tc>
          <w:tcPr>
            <w:tcW w:w="20" w:type="dxa"/>
            <w:vAlign w:val="bottom"/>
          </w:tcPr>
          <w:p>
            <w:pPr>
              <w:spacing w:after="0"/>
              <w:rPr>
                <w:sz w:val="16"/>
                <w:szCs w:val="16"/>
                <w:color w:val="auto"/>
              </w:rPr>
            </w:pPr>
          </w:p>
        </w:tc>
      </w:tr>
    </w:tbl>
    <w:p>
      <w:pPr>
        <w:spacing w:after="0" w:line="334"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Key Experience and Qualifications</w:t>
      </w:r>
    </w:p>
    <w:p>
      <w:pPr>
        <w:spacing w:after="0" w:line="53" w:lineRule="exact"/>
        <w:rPr>
          <w:sz w:val="20"/>
          <w:szCs w:val="20"/>
          <w:color w:val="auto"/>
        </w:rPr>
      </w:pPr>
    </w:p>
    <w:p>
      <w:pPr>
        <w:ind w:left="3400" w:right="120" w:hanging="323"/>
        <w:spacing w:after="0" w:line="228" w:lineRule="auto"/>
        <w:tabs>
          <w:tab w:leader="none" w:pos="3397" w:val="left"/>
        </w:tabs>
        <w:numPr>
          <w:ilvl w:val="0"/>
          <w:numId w:val="39"/>
        </w:numPr>
        <w:rPr>
          <w:rFonts w:ascii="Arial" w:cs="Arial" w:eastAsia="Arial" w:hAnsi="Arial"/>
          <w:sz w:val="15"/>
          <w:szCs w:val="15"/>
          <w:color w:val="auto"/>
        </w:rPr>
      </w:pPr>
      <w:r>
        <w:rPr>
          <w:rFonts w:ascii="Arial" w:cs="Arial" w:eastAsia="Arial" w:hAnsi="Arial"/>
          <w:sz w:val="15"/>
          <w:szCs w:val="15"/>
          <w:color w:val="auto"/>
        </w:rPr>
        <w:t>Mr. Lucien’s senior executive experience in major Hawaii businesses and strong finance and accounting background, coupled with his deep knowledge of the Company’s finances gained during his tenure with the Company makes him a valuable member of the Board.</w:t>
      </w:r>
    </w:p>
    <w:p>
      <w:pPr>
        <w:spacing w:after="0" w:line="1" w:lineRule="exact"/>
        <w:rPr>
          <w:rFonts w:ascii="Arial" w:cs="Arial" w:eastAsia="Arial" w:hAnsi="Arial"/>
          <w:sz w:val="15"/>
          <w:szCs w:val="15"/>
          <w:color w:val="auto"/>
        </w:rPr>
      </w:pPr>
    </w:p>
    <w:p>
      <w:pPr>
        <w:ind w:left="3400" w:right="620" w:hanging="323"/>
        <w:spacing w:after="0" w:line="236" w:lineRule="auto"/>
        <w:tabs>
          <w:tab w:leader="none" w:pos="3397" w:val="left"/>
        </w:tabs>
        <w:numPr>
          <w:ilvl w:val="0"/>
          <w:numId w:val="39"/>
        </w:numPr>
        <w:rPr>
          <w:rFonts w:ascii="Arial" w:cs="Arial" w:eastAsia="Arial" w:hAnsi="Arial"/>
          <w:sz w:val="15"/>
          <w:szCs w:val="15"/>
          <w:color w:val="auto"/>
        </w:rPr>
      </w:pPr>
      <w:r>
        <w:rPr>
          <w:rFonts w:ascii="Arial" w:cs="Arial" w:eastAsia="Arial" w:hAnsi="Arial"/>
          <w:sz w:val="15"/>
          <w:szCs w:val="15"/>
          <w:color w:val="auto"/>
        </w:rPr>
        <w:t>Mr. Lucien was elected to the Board in 2006 and served as Chair of the Audit &amp; Risk Committee prior to becoming the Company’s Chief Financial Officer in 2008.</w:t>
      </w:r>
    </w:p>
    <w:p>
      <w:pPr>
        <w:spacing w:after="0" w:line="27"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Career Highlights</w:t>
      </w:r>
    </w:p>
    <w:p>
      <w:pPr>
        <w:sectPr>
          <w:pgSz w:w="11900" w:h="16838" w:orient="portrait"/>
          <w:cols w:equalWidth="0" w:num="1">
            <w:col w:w="11240"/>
          </w:cols>
          <w:pgMar w:left="320" w:top="130" w:right="339" w:bottom="1440" w:gutter="0" w:footer="0" w:header="0"/>
        </w:sectPr>
      </w:pPr>
    </w:p>
    <w:p>
      <w:pPr>
        <w:spacing w:after="0" w:line="57" w:lineRule="exact"/>
        <w:rPr>
          <w:sz w:val="20"/>
          <w:szCs w:val="20"/>
          <w:color w:val="auto"/>
        </w:rPr>
      </w:pPr>
    </w:p>
    <w:p>
      <w:pPr>
        <w:ind w:left="740"/>
        <w:spacing w:after="0"/>
        <w:rPr>
          <w:sz w:val="20"/>
          <w:szCs w:val="20"/>
          <w:color w:val="auto"/>
        </w:rPr>
      </w:pPr>
      <w:r>
        <w:rPr>
          <w:rFonts w:ascii="Arial" w:cs="Arial" w:eastAsia="Arial" w:hAnsi="Arial"/>
          <w:sz w:val="15"/>
          <w:szCs w:val="15"/>
          <w:color w:val="auto"/>
        </w:rPr>
        <w:t>Kent T. Lucien</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right="200" w:hanging="2"/>
        <w:spacing w:after="0" w:line="237" w:lineRule="auto"/>
        <w:rPr>
          <w:sz w:val="20"/>
          <w:szCs w:val="20"/>
          <w:color w:val="auto"/>
        </w:rPr>
      </w:pPr>
      <w:r>
        <w:rPr>
          <w:rFonts w:ascii="Arial" w:cs="Arial" w:eastAsia="Arial" w:hAnsi="Arial"/>
          <w:sz w:val="15"/>
          <w:szCs w:val="15"/>
          <w:color w:val="auto"/>
        </w:rPr>
        <w:t>Mr. Lucien served as Vice Chair and Chief Strategy Officer from March 2017 to April 2020 and executed the Bank’s key strategic initiatives, including the “Branch of Tomorrow” modernization project and leveraging information and technology to reshape the delivery of banking services, products and experiences with a customer focus.</w:t>
      </w:r>
    </w:p>
    <w:p>
      <w:pPr>
        <w:spacing w:after="0" w:line="1" w:lineRule="exact"/>
        <w:rPr>
          <w:sz w:val="20"/>
          <w:szCs w:val="20"/>
          <w:color w:val="auto"/>
        </w:rPr>
      </w:pPr>
    </w:p>
    <w:p>
      <w:pPr>
        <w:sectPr>
          <w:pgSz w:w="11900" w:h="16838" w:orient="portrait"/>
          <w:cols w:equalWidth="0" w:num="3">
            <w:col w:w="2360" w:space="720"/>
            <w:col w:w="40" w:space="280"/>
            <w:col w:w="7840"/>
          </w:cols>
          <w:pgMar w:left="320" w:top="130" w:right="339" w:bottom="1440" w:gutter="0" w:footer="0" w:header="0"/>
          <w:type w:val="continuous"/>
        </w:sectPr>
      </w:pPr>
    </w:p>
    <w:p>
      <w:pPr>
        <w:ind w:left="2760" w:right="1020" w:firstLine="317"/>
        <w:spacing w:after="0" w:line="285" w:lineRule="auto"/>
        <w:tabs>
          <w:tab w:leader="none" w:pos="3399" w:val="left"/>
        </w:tabs>
        <w:numPr>
          <w:ilvl w:val="0"/>
          <w:numId w:val="40"/>
        </w:numPr>
        <w:rPr>
          <w:rFonts w:ascii="Arial" w:cs="Arial" w:eastAsia="Arial" w:hAnsi="Arial"/>
          <w:sz w:val="15"/>
          <w:szCs w:val="15"/>
          <w:color w:val="auto"/>
        </w:rPr>
      </w:pPr>
      <w:r>
        <w:rPr>
          <w:rFonts w:ascii="Arial" w:cs="Arial" w:eastAsia="Arial" w:hAnsi="Arial"/>
          <w:sz w:val="15"/>
          <w:szCs w:val="15"/>
          <w:color w:val="auto"/>
        </w:rPr>
        <w:t xml:space="preserve">Mr. Lucien served as Vice Chair and Chief Financial Officer of the Company from April 2008 to February 2017. </w:t>
      </w:r>
      <w:r>
        <w:rPr>
          <w:rFonts w:ascii="Arial" w:cs="Arial" w:eastAsia="Arial" w:hAnsi="Arial"/>
          <w:sz w:val="16"/>
          <w:szCs w:val="16"/>
          <w:color w:val="auto"/>
        </w:rPr>
        <w:t>Other Professional Experience and Community Involvement</w:t>
      </w:r>
    </w:p>
    <w:p>
      <w:pPr>
        <w:ind w:left="3400" w:right="320" w:hanging="323"/>
        <w:spacing w:after="0" w:line="228" w:lineRule="auto"/>
        <w:tabs>
          <w:tab w:leader="none" w:pos="3397" w:val="left"/>
        </w:tabs>
        <w:numPr>
          <w:ilvl w:val="0"/>
          <w:numId w:val="40"/>
        </w:numPr>
        <w:rPr>
          <w:rFonts w:ascii="Arial" w:cs="Arial" w:eastAsia="Arial" w:hAnsi="Arial"/>
          <w:sz w:val="15"/>
          <w:szCs w:val="15"/>
          <w:color w:val="auto"/>
        </w:rPr>
      </w:pPr>
      <w:r>
        <w:rPr>
          <w:rFonts w:ascii="Arial" w:cs="Arial" w:eastAsia="Arial" w:hAnsi="Arial"/>
          <w:sz w:val="15"/>
          <w:szCs w:val="15"/>
          <w:color w:val="auto"/>
        </w:rPr>
        <w:t>Prior to his employment with the Company, Mr. Lucien served as a Trustee for C. Brewer &amp; Co. Ltd., (a Hawaii corporation engaged in agriculture, real estate and power production) and also held key executive positions at C. Brewer &amp; Co. Ltd., including Chief Executive Officer of Operations, Controller, and Chief Financial Officer.</w:t>
      </w:r>
    </w:p>
    <w:p>
      <w:pPr>
        <w:spacing w:after="0" w:line="1" w:lineRule="exact"/>
        <w:rPr>
          <w:rFonts w:ascii="Arial" w:cs="Arial" w:eastAsia="Arial" w:hAnsi="Arial"/>
          <w:sz w:val="15"/>
          <w:szCs w:val="15"/>
          <w:color w:val="auto"/>
        </w:rPr>
      </w:pPr>
    </w:p>
    <w:p>
      <w:pPr>
        <w:ind w:left="3400" w:hanging="323"/>
        <w:spacing w:after="0" w:line="223" w:lineRule="auto"/>
        <w:tabs>
          <w:tab w:leader="none" w:pos="34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He also worked for Pricewaterhouse Coopers and is a Certified Public Accountant (inactive).</w:t>
      </w:r>
    </w:p>
    <w:p>
      <w:pPr>
        <w:ind w:left="3400" w:hanging="323"/>
        <w:spacing w:after="0"/>
        <w:tabs>
          <w:tab w:leader="none" w:pos="34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He served on the board of Wailuku Water Company LLC.</w:t>
      </w:r>
    </w:p>
    <w:p>
      <w:pPr>
        <w:spacing w:after="0" w:line="33"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Education</w:t>
      </w:r>
    </w:p>
    <w:p>
      <w:pPr>
        <w:spacing w:after="0" w:line="53" w:lineRule="exact"/>
        <w:rPr>
          <w:sz w:val="20"/>
          <w:szCs w:val="20"/>
          <w:color w:val="auto"/>
        </w:rPr>
      </w:pPr>
    </w:p>
    <w:p>
      <w:pPr>
        <w:ind w:left="5540" w:right="1200" w:hanging="2463"/>
        <w:spacing w:after="0" w:line="587" w:lineRule="auto"/>
        <w:tabs>
          <w:tab w:leader="none" w:pos="3388" w:val="left"/>
        </w:tabs>
        <w:numPr>
          <w:ilvl w:val="0"/>
          <w:numId w:val="41"/>
        </w:numPr>
        <w:rPr>
          <w:rFonts w:ascii="Arial" w:cs="Arial" w:eastAsia="Arial" w:hAnsi="Arial"/>
          <w:sz w:val="15"/>
          <w:szCs w:val="15"/>
          <w:color w:val="auto"/>
        </w:rPr>
      </w:pPr>
      <w:r>
        <w:rPr>
          <w:rFonts w:ascii="Arial" w:cs="Arial" w:eastAsia="Arial" w:hAnsi="Arial"/>
          <w:sz w:val="15"/>
          <w:szCs w:val="15"/>
          <w:color w:val="auto"/>
        </w:rPr>
        <w:t xml:space="preserve">Mr. Lucien received his bachelor’s degree from Occidental College and his M.B.A. from Stanford University. </w:t>
      </w: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-98425</wp:posOffset>
            </wp:positionV>
            <wp:extent cx="717613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144145</wp:posOffset>
            </wp:positionV>
            <wp:extent cx="7125335" cy="5375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5335" cy="5375910"/>
                    </a:xfrm>
                    <a:prstGeom prst="rect">
                      <a:avLst/>
                    </a:prstGeom>
                    <a:noFill/>
                  </pic:spPr>
                </pic:pic>
              </a:graphicData>
            </a:graphic>
          </wp:anchor>
        </w:drawing>
      </w:r>
    </w:p>
    <w:p>
      <w:pPr>
        <w:spacing w:after="0" w:line="263" w:lineRule="exact"/>
        <w:rPr>
          <w:sz w:val="20"/>
          <w:szCs w:val="20"/>
          <w:color w:val="auto"/>
        </w:rPr>
      </w:pPr>
    </w:p>
    <w:p>
      <w:pPr>
        <w:jc w:val="both"/>
        <w:ind w:left="1080"/>
        <w:spacing w:after="0"/>
        <w:tabs>
          <w:tab w:leader="none" w:pos="6560" w:val="left"/>
        </w:tabs>
        <w:rPr>
          <w:sz w:val="20"/>
          <w:szCs w:val="20"/>
          <w:color w:val="auto"/>
        </w:rPr>
      </w:pPr>
      <w:r>
        <w:rPr>
          <w:rFonts w:ascii="Arial" w:cs="Arial" w:eastAsia="Arial" w:hAnsi="Arial"/>
          <w:sz w:val="13"/>
          <w:szCs w:val="13"/>
          <w:color w:val="FFFFFF"/>
        </w:rPr>
        <w:t>Name</w:t>
      </w:r>
      <w:r>
        <w:rPr>
          <w:sz w:val="20"/>
          <w:szCs w:val="20"/>
          <w:color w:val="auto"/>
        </w:rPr>
        <w:tab/>
      </w:r>
      <w:r>
        <w:rPr>
          <w:rFonts w:ascii="Arial" w:cs="Arial" w:eastAsia="Arial" w:hAnsi="Arial"/>
          <w:sz w:val="13"/>
          <w:szCs w:val="13"/>
          <w:color w:val="FFFFFF"/>
        </w:rPr>
        <w:t>Qualifications</w:t>
      </w:r>
    </w:p>
    <w:p>
      <w:pPr>
        <w:sectPr>
          <w:pgSz w:w="11900" w:h="16838" w:orient="portrait"/>
          <w:cols w:equalWidth="0" w:num="1">
            <w:col w:w="11180"/>
          </w:cols>
          <w:pgMar w:left="320" w:top="13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Elliot K. Mills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80"/>
        <w:spacing w:after="0"/>
        <w:rPr>
          <w:sz w:val="20"/>
          <w:szCs w:val="20"/>
          <w:color w:val="auto"/>
        </w:rPr>
      </w:pPr>
      <w:r>
        <w:rPr>
          <w:rFonts w:ascii="Arial" w:cs="Arial" w:eastAsia="Arial" w:hAnsi="Arial"/>
          <w:sz w:val="15"/>
          <w:szCs w:val="15"/>
          <w:color w:val="auto"/>
        </w:rPr>
        <w:t>Alicia E. Moy</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Key Experience and Qualifications</w:t>
      </w:r>
    </w:p>
    <w:p>
      <w:pPr>
        <w:spacing w:after="0" w:line="21" w:lineRule="exact"/>
        <w:rPr>
          <w:sz w:val="20"/>
          <w:szCs w:val="20"/>
          <w:color w:val="auto"/>
        </w:rPr>
      </w:pPr>
    </w:p>
    <w:p>
      <w:pPr>
        <w:ind w:left="640" w:right="220" w:hanging="323"/>
        <w:spacing w:after="0" w:line="297" w:lineRule="auto"/>
        <w:tabs>
          <w:tab w:leader="none" w:pos="637" w:val="left"/>
        </w:tabs>
        <w:numPr>
          <w:ilvl w:val="0"/>
          <w:numId w:val="42"/>
        </w:numPr>
        <w:rPr>
          <w:rFonts w:ascii="Arial" w:cs="Arial" w:eastAsia="Arial" w:hAnsi="Arial"/>
          <w:sz w:val="13"/>
          <w:szCs w:val="13"/>
          <w:color w:val="auto"/>
        </w:rPr>
      </w:pPr>
      <w:r>
        <w:rPr>
          <w:rFonts w:ascii="Arial" w:cs="Arial" w:eastAsia="Arial" w:hAnsi="Arial"/>
          <w:sz w:val="13"/>
          <w:szCs w:val="13"/>
          <w:color w:val="auto"/>
        </w:rPr>
        <w:t>Mr. Mills brings an abundance of expertise and insight of our local travel industry to Bank of Hawaii. He joined the Board in 2021, and his knowledge and leadership from over 25 years in resort management make him a great asset to our Board.</w:t>
      </w:r>
    </w:p>
    <w:p>
      <w:pPr>
        <w:spacing w:after="0"/>
        <w:rPr>
          <w:sz w:val="20"/>
          <w:szCs w:val="20"/>
          <w:color w:val="auto"/>
        </w:rPr>
      </w:pPr>
      <w:r>
        <w:rPr>
          <w:rFonts w:ascii="Arial" w:cs="Arial" w:eastAsia="Arial" w:hAnsi="Arial"/>
          <w:sz w:val="16"/>
          <w:szCs w:val="16"/>
          <w:color w:val="auto"/>
        </w:rPr>
        <w:t>Career Highlights</w:t>
      </w:r>
    </w:p>
    <w:p>
      <w:pPr>
        <w:spacing w:after="0" w:line="107" w:lineRule="exact"/>
        <w:rPr>
          <w:sz w:val="20"/>
          <w:szCs w:val="20"/>
          <w:color w:val="auto"/>
        </w:rPr>
      </w:pPr>
    </w:p>
    <w:p>
      <w:pPr>
        <w:ind w:left="640" w:right="120" w:hanging="323"/>
        <w:spacing w:after="0" w:line="267" w:lineRule="auto"/>
        <w:tabs>
          <w:tab w:leader="none" w:pos="637" w:val="left"/>
        </w:tabs>
        <w:numPr>
          <w:ilvl w:val="0"/>
          <w:numId w:val="43"/>
        </w:numPr>
        <w:rPr>
          <w:rFonts w:ascii="Arial" w:cs="Arial" w:eastAsia="Arial" w:hAnsi="Arial"/>
          <w:sz w:val="14"/>
          <w:szCs w:val="14"/>
          <w:color w:val="auto"/>
        </w:rPr>
      </w:pPr>
      <w:r>
        <w:rPr>
          <w:rFonts w:ascii="Arial" w:cs="Arial" w:eastAsia="Arial" w:hAnsi="Arial"/>
          <w:sz w:val="14"/>
          <w:szCs w:val="14"/>
          <w:color w:val="auto"/>
        </w:rPr>
        <w:t>Mr. Mills serves as Vice President of Hotel Operations for Disneyland Resort and Aulani, A Disney Resort and Spa. Mr. Mills is responsible for overseeing all operations for the Disneyland Hotel, Disney’s Paradise Pier Hotel and Disney’s Grand Californian Hotel &amp; Spa in Anaheim, California, and Aulani, A Disney Resort &amp; Spa, in Ko Olina on Oahu.</w:t>
      </w:r>
    </w:p>
    <w:p>
      <w:pPr>
        <w:spacing w:after="0" w:line="1" w:lineRule="exact"/>
        <w:rPr>
          <w:rFonts w:ascii="Arial" w:cs="Arial" w:eastAsia="Arial" w:hAnsi="Arial"/>
          <w:sz w:val="14"/>
          <w:szCs w:val="14"/>
          <w:color w:val="auto"/>
        </w:rPr>
      </w:pPr>
    </w:p>
    <w:p>
      <w:pPr>
        <w:ind w:left="640" w:right="200" w:hanging="323"/>
        <w:spacing w:after="0" w:line="243" w:lineRule="auto"/>
        <w:tabs>
          <w:tab w:leader="none" w:pos="637" w:val="left"/>
        </w:tabs>
        <w:numPr>
          <w:ilvl w:val="0"/>
          <w:numId w:val="43"/>
        </w:numPr>
        <w:rPr>
          <w:rFonts w:ascii="Arial" w:cs="Arial" w:eastAsia="Arial" w:hAnsi="Arial"/>
          <w:sz w:val="15"/>
          <w:szCs w:val="15"/>
          <w:color w:val="auto"/>
        </w:rPr>
      </w:pPr>
      <w:r>
        <w:rPr>
          <w:rFonts w:ascii="Arial" w:cs="Arial" w:eastAsia="Arial" w:hAnsi="Arial"/>
          <w:sz w:val="15"/>
          <w:szCs w:val="15"/>
          <w:color w:val="auto"/>
        </w:rPr>
        <w:t>Mr. Mills had a special focus on advancing Hawaiian culture and values as the focal point for Aulani’s unique hospitality and service experience.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Other Professional Experience and Community Involvement</w:t>
      </w:r>
    </w:p>
    <w:p>
      <w:pPr>
        <w:spacing w:after="0" w:line="53" w:lineRule="exact"/>
        <w:rPr>
          <w:sz w:val="20"/>
          <w:szCs w:val="20"/>
          <w:color w:val="auto"/>
        </w:rPr>
      </w:pPr>
    </w:p>
    <w:p>
      <w:pPr>
        <w:ind w:left="640" w:hanging="323"/>
        <w:spacing w:after="0" w:line="228" w:lineRule="auto"/>
        <w:tabs>
          <w:tab w:leader="none" w:pos="637" w:val="left"/>
        </w:tabs>
        <w:numPr>
          <w:ilvl w:val="0"/>
          <w:numId w:val="44"/>
        </w:numPr>
        <w:rPr>
          <w:rFonts w:ascii="Arial" w:cs="Arial" w:eastAsia="Arial" w:hAnsi="Arial"/>
          <w:sz w:val="15"/>
          <w:szCs w:val="15"/>
          <w:color w:val="auto"/>
        </w:rPr>
      </w:pPr>
      <w:r>
        <w:rPr>
          <w:rFonts w:ascii="Arial" w:cs="Arial" w:eastAsia="Arial" w:hAnsi="Arial"/>
          <w:sz w:val="15"/>
          <w:szCs w:val="15"/>
          <w:color w:val="auto"/>
        </w:rPr>
        <w:t>Mr. Mills has held various executive and resort management positions on the islands of Oahu, Kauai and Maui at top travel companies, including Hyatt, Marriott and Outrigger. Prior to Disney, he held the positions of General Manager at both Outrigger Hotels &amp; Resorts on Oahu and at Kauai Marriott Resort.</w:t>
      </w:r>
    </w:p>
    <w:p>
      <w:pPr>
        <w:spacing w:after="0" w:line="1" w:lineRule="exact"/>
        <w:rPr>
          <w:rFonts w:ascii="Arial" w:cs="Arial" w:eastAsia="Arial" w:hAnsi="Arial"/>
          <w:sz w:val="15"/>
          <w:szCs w:val="15"/>
          <w:color w:val="auto"/>
        </w:rPr>
      </w:pPr>
    </w:p>
    <w:p>
      <w:pPr>
        <w:ind w:left="640" w:right="80" w:hanging="323"/>
        <w:spacing w:after="0" w:line="231" w:lineRule="auto"/>
        <w:tabs>
          <w:tab w:leader="none" w:pos="637" w:val="left"/>
        </w:tabs>
        <w:numPr>
          <w:ilvl w:val="0"/>
          <w:numId w:val="44"/>
        </w:numPr>
        <w:rPr>
          <w:rFonts w:ascii="Arial" w:cs="Arial" w:eastAsia="Arial" w:hAnsi="Arial"/>
          <w:sz w:val="15"/>
          <w:szCs w:val="15"/>
          <w:color w:val="auto"/>
        </w:rPr>
      </w:pPr>
      <w:r>
        <w:rPr>
          <w:rFonts w:ascii="Arial" w:cs="Arial" w:eastAsia="Arial" w:hAnsi="Arial"/>
          <w:sz w:val="15"/>
          <w:szCs w:val="15"/>
          <w:color w:val="auto"/>
        </w:rPr>
        <w:t>Mr. Mills serves on a variety of boards, including Hawai‘i Pacific Health, Hawaii Medical Service Association (HMSA), Hawai‘i Community Foundation, and Kamehameha Schools. He also currently serves as chairman of the board for the Hawai‘i Visitors and Convention Bureau.</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Education</w:t>
      </w:r>
    </w:p>
    <w:p>
      <w:pPr>
        <w:spacing w:after="0" w:line="53" w:lineRule="exact"/>
        <w:rPr>
          <w:sz w:val="20"/>
          <w:szCs w:val="20"/>
          <w:color w:val="auto"/>
        </w:rPr>
      </w:pPr>
    </w:p>
    <w:p>
      <w:pPr>
        <w:ind w:left="640" w:right="300" w:hanging="323"/>
        <w:spacing w:after="0" w:line="281" w:lineRule="auto"/>
        <w:tabs>
          <w:tab w:leader="none" w:pos="637" w:val="left"/>
        </w:tabs>
        <w:numPr>
          <w:ilvl w:val="0"/>
          <w:numId w:val="45"/>
        </w:numPr>
        <w:rPr>
          <w:rFonts w:ascii="Arial" w:cs="Arial" w:eastAsia="Arial" w:hAnsi="Arial"/>
          <w:sz w:val="14"/>
          <w:szCs w:val="14"/>
          <w:color w:val="auto"/>
        </w:rPr>
      </w:pPr>
      <w:r>
        <w:rPr>
          <w:rFonts w:ascii="Arial" w:cs="Arial" w:eastAsia="Arial" w:hAnsi="Arial"/>
          <w:sz w:val="14"/>
          <w:szCs w:val="14"/>
          <w:color w:val="auto"/>
        </w:rPr>
        <w:t>Mr. Mills holds a degree in business administration with an emphasis in travel industry management from the University of Hawai‘i at Mānoa, and has completed the Cornell Hospitality Management General Managers Program.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Key Experience and Qualifications</w:t>
      </w:r>
    </w:p>
    <w:p>
      <w:pPr>
        <w:spacing w:after="0" w:line="53" w:lineRule="exact"/>
        <w:rPr>
          <w:sz w:val="20"/>
          <w:szCs w:val="20"/>
          <w:color w:val="auto"/>
        </w:rPr>
      </w:pPr>
    </w:p>
    <w:p>
      <w:pPr>
        <w:ind w:left="640" w:right="40" w:hanging="323"/>
        <w:spacing w:after="0" w:line="250" w:lineRule="auto"/>
        <w:tabs>
          <w:tab w:leader="none" w:pos="637" w:val="left"/>
        </w:tabs>
        <w:numPr>
          <w:ilvl w:val="0"/>
          <w:numId w:val="46"/>
        </w:numPr>
        <w:rPr>
          <w:rFonts w:ascii="Arial" w:cs="Arial" w:eastAsia="Arial" w:hAnsi="Arial"/>
          <w:sz w:val="14"/>
          <w:szCs w:val="14"/>
          <w:color w:val="auto"/>
        </w:rPr>
      </w:pPr>
      <w:r>
        <w:rPr>
          <w:rFonts w:ascii="Arial" w:cs="Arial" w:eastAsia="Arial" w:hAnsi="Arial"/>
          <w:sz w:val="14"/>
          <w:szCs w:val="14"/>
          <w:color w:val="auto"/>
        </w:rPr>
        <w:t>Ms. Moy’s expertise in utilities and energy has given her a unique and holistic perspective on the integrated nature of Hawaii’s energy ecosystem and how it is transforming to meet the state’s renewable energy and carbon neutrality goals. Given the importance of energy in Hawaii and how it impacts all consumers in the state, Ms. Moy’s perspective in this key segment of the markets we serve brings valuable insights to the Board’s deliberations. Her leadership in this industry along with her strong executive background in finance and strategic planning qualify her for service on the Board.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Career Highlights</w:t>
      </w:r>
    </w:p>
    <w:p>
      <w:pPr>
        <w:spacing w:after="0" w:line="53" w:lineRule="exact"/>
        <w:rPr>
          <w:sz w:val="20"/>
          <w:szCs w:val="20"/>
          <w:color w:val="auto"/>
        </w:rPr>
      </w:pPr>
    </w:p>
    <w:p>
      <w:pPr>
        <w:ind w:left="640" w:hanging="323"/>
        <w:spacing w:after="0" w:line="227" w:lineRule="auto"/>
        <w:tabs>
          <w:tab w:leader="none" w:pos="637" w:val="left"/>
        </w:tabs>
        <w:numPr>
          <w:ilvl w:val="0"/>
          <w:numId w:val="47"/>
        </w:numPr>
        <w:rPr>
          <w:rFonts w:ascii="Arial" w:cs="Arial" w:eastAsia="Arial" w:hAnsi="Arial"/>
          <w:sz w:val="15"/>
          <w:szCs w:val="15"/>
          <w:color w:val="auto"/>
        </w:rPr>
      </w:pPr>
      <w:r>
        <w:rPr>
          <w:rFonts w:ascii="Arial" w:cs="Arial" w:eastAsia="Arial" w:hAnsi="Arial"/>
          <w:sz w:val="15"/>
          <w:szCs w:val="15"/>
          <w:color w:val="auto"/>
        </w:rPr>
        <w:t>Ms. Moy has been President and Chief Executive Officer of Hawai‘i Gas since May 2013, which is the state’s only government-franchised, full-service gas company. In October 2019, Ms. Moy became President of MIC Hawaii Holdings, LLC, which is the parent company of Hawai‘i Gas, as well as several other smaller businesses collectively engaged in efforts to reduce the cost and improve the reliability and sustainability of energy in Hawaii.</w:t>
      </w:r>
    </w:p>
    <w:p>
      <w:pPr>
        <w:spacing w:after="0" w:line="1" w:lineRule="exact"/>
        <w:rPr>
          <w:rFonts w:ascii="Arial" w:cs="Arial" w:eastAsia="Arial" w:hAnsi="Arial"/>
          <w:sz w:val="15"/>
          <w:szCs w:val="15"/>
          <w:color w:val="auto"/>
        </w:rPr>
      </w:pPr>
    </w:p>
    <w:p>
      <w:pPr>
        <w:ind w:left="640" w:right="140" w:hanging="323"/>
        <w:spacing w:after="0" w:line="231" w:lineRule="auto"/>
        <w:tabs>
          <w:tab w:leader="none" w:pos="637" w:val="left"/>
        </w:tabs>
        <w:numPr>
          <w:ilvl w:val="0"/>
          <w:numId w:val="47"/>
        </w:numPr>
        <w:rPr>
          <w:rFonts w:ascii="Arial" w:cs="Arial" w:eastAsia="Arial" w:hAnsi="Arial"/>
          <w:sz w:val="15"/>
          <w:szCs w:val="15"/>
          <w:color w:val="auto"/>
        </w:rPr>
      </w:pPr>
      <w:r>
        <w:rPr>
          <w:rFonts w:ascii="Arial" w:cs="Arial" w:eastAsia="Arial" w:hAnsi="Arial"/>
          <w:sz w:val="15"/>
          <w:szCs w:val="15"/>
          <w:color w:val="auto"/>
        </w:rPr>
        <w:t>From 2001 to 2013, Ms. Moy was Senior Vice President with Macquarie Infrastructure and Real Assets (“MIRA”), where she oversaw corporate strategy, strategic planning, funding and management of several MIRA-managed utility companies, including Hawai‘i Gas.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Other Professional Experience and Community Involvement</w:t>
      </w:r>
    </w:p>
    <w:p>
      <w:pPr>
        <w:spacing w:after="0" w:line="53" w:lineRule="exact"/>
        <w:rPr>
          <w:sz w:val="20"/>
          <w:szCs w:val="20"/>
          <w:color w:val="auto"/>
        </w:rPr>
      </w:pPr>
    </w:p>
    <w:p>
      <w:pPr>
        <w:ind w:left="640" w:right="220" w:hanging="323"/>
        <w:spacing w:after="0" w:line="228" w:lineRule="auto"/>
        <w:tabs>
          <w:tab w:leader="none" w:pos="637" w:val="left"/>
        </w:tabs>
        <w:numPr>
          <w:ilvl w:val="0"/>
          <w:numId w:val="48"/>
        </w:numPr>
        <w:rPr>
          <w:rFonts w:ascii="Arial" w:cs="Arial" w:eastAsia="Arial" w:hAnsi="Arial"/>
          <w:sz w:val="15"/>
          <w:szCs w:val="15"/>
          <w:color w:val="auto"/>
        </w:rPr>
      </w:pPr>
      <w:r>
        <w:rPr>
          <w:rFonts w:ascii="Arial" w:cs="Arial" w:eastAsia="Arial" w:hAnsi="Arial"/>
          <w:sz w:val="15"/>
          <w:szCs w:val="15"/>
          <w:color w:val="auto"/>
        </w:rPr>
        <w:t>She has served as a member of Hawai‘i Gas’s board of directors since 2011. From 1999-2001, Ms. Moy worked for Morgan Stanley in the Investment Banking division, where she was involved in corporate finance and mergers and acquisitions for private equity clients.</w:t>
      </w:r>
    </w:p>
    <w:p>
      <w:pPr>
        <w:spacing w:after="0" w:line="1" w:lineRule="exact"/>
        <w:rPr>
          <w:rFonts w:ascii="Arial" w:cs="Arial" w:eastAsia="Arial" w:hAnsi="Arial"/>
          <w:sz w:val="15"/>
          <w:szCs w:val="15"/>
          <w:color w:val="auto"/>
        </w:rPr>
      </w:pPr>
    </w:p>
    <w:p>
      <w:pPr>
        <w:ind w:left="640" w:hanging="323"/>
        <w:spacing w:after="0" w:line="223" w:lineRule="auto"/>
        <w:tabs>
          <w:tab w:leader="none" w:pos="6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Ms. Moy is a director of NHIC II, an industrial technology special purpose acquisition company.</w:t>
      </w:r>
    </w:p>
    <w:p>
      <w:pPr>
        <w:ind w:left="640" w:right="280" w:hanging="323"/>
        <w:spacing w:after="0" w:line="252" w:lineRule="auto"/>
        <w:tabs>
          <w:tab w:leader="none" w:pos="637" w:val="left"/>
        </w:tabs>
        <w:numPr>
          <w:ilvl w:val="0"/>
          <w:numId w:val="48"/>
        </w:numPr>
        <w:rPr>
          <w:rFonts w:ascii="Arial" w:cs="Arial" w:eastAsia="Arial" w:hAnsi="Arial"/>
          <w:sz w:val="14"/>
          <w:szCs w:val="14"/>
          <w:color w:val="auto"/>
        </w:rPr>
      </w:pPr>
      <w:r>
        <w:rPr>
          <w:rFonts w:ascii="Arial" w:cs="Arial" w:eastAsia="Arial" w:hAnsi="Arial"/>
          <w:sz w:val="14"/>
          <w:szCs w:val="14"/>
          <w:color w:val="auto"/>
        </w:rPr>
        <w:t>Ms. Moy is a member of the Hawaii Business Roundtable and the Military Affairs Council. She serves on the boards of the Chamber of Commerce of Hawaii, the Western Energy Institute, The Nature Conservancy of Hawai‘i and the Workforce Development Council. She also sits on the advisory board for Women in Renewable Energy.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Education</w:t>
      </w:r>
    </w:p>
    <w:p>
      <w:pPr>
        <w:spacing w:after="0" w:line="53" w:lineRule="exact"/>
        <w:rPr>
          <w:sz w:val="20"/>
          <w:szCs w:val="20"/>
          <w:color w:val="auto"/>
        </w:rPr>
      </w:pPr>
    </w:p>
    <w:p>
      <w:pPr>
        <w:ind w:left="640" w:right="280" w:hanging="323"/>
        <w:spacing w:after="0" w:line="249" w:lineRule="auto"/>
        <w:tabs>
          <w:tab w:leader="none" w:pos="637" w:val="left"/>
        </w:tabs>
        <w:numPr>
          <w:ilvl w:val="0"/>
          <w:numId w:val="49"/>
        </w:numPr>
        <w:rPr>
          <w:rFonts w:ascii="Arial" w:cs="Arial" w:eastAsia="Arial" w:hAnsi="Arial"/>
          <w:sz w:val="15"/>
          <w:szCs w:val="15"/>
          <w:color w:val="auto"/>
        </w:rPr>
      </w:pPr>
      <w:r>
        <w:rPr>
          <w:rFonts w:ascii="Arial" w:cs="Arial" w:eastAsia="Arial" w:hAnsi="Arial"/>
          <w:sz w:val="15"/>
          <w:szCs w:val="15"/>
          <w:color w:val="auto"/>
        </w:rPr>
        <w:t>Ms. Moy holds a bachelor’s degree in finance and marketing from the University of Miami and a master’s degree in finance from INSEAD.</w:t>
      </w:r>
    </w:p>
    <w:p>
      <w:pPr>
        <w:spacing w:after="0" w:line="200" w:lineRule="exact"/>
        <w:rPr>
          <w:sz w:val="20"/>
          <w:szCs w:val="20"/>
          <w:color w:val="auto"/>
        </w:rPr>
      </w:pPr>
    </w:p>
    <w:p>
      <w:pPr>
        <w:sectPr>
          <w:pgSz w:w="11900" w:h="16838" w:orient="portrait"/>
          <w:cols w:equalWidth="0" w:num="2">
            <w:col w:w="2040" w:space="720"/>
            <w:col w:w="8420"/>
          </w:cols>
          <w:pgMar w:left="320" w:top="130" w:right="399" w:bottom="1440" w:gutter="0" w:footer="0" w:header="0"/>
          <w:type w:val="continuous"/>
        </w:sect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86360</wp:posOffset>
            </wp:positionV>
            <wp:extent cx="717613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280035</wp:posOffset>
            </wp:positionV>
            <wp:extent cx="7125335" cy="3456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25335" cy="345630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1080"/>
        <w:spacing w:after="0"/>
        <w:tabs>
          <w:tab w:leader="none" w:pos="6560" w:val="left"/>
        </w:tabs>
        <w:rPr>
          <w:sz w:val="20"/>
          <w:szCs w:val="20"/>
          <w:color w:val="auto"/>
        </w:rPr>
      </w:pPr>
      <w:r>
        <w:rPr>
          <w:rFonts w:ascii="Arial" w:cs="Arial" w:eastAsia="Arial" w:hAnsi="Arial"/>
          <w:sz w:val="13"/>
          <w:szCs w:val="13"/>
          <w:color w:val="FFFFFF"/>
        </w:rPr>
        <w:t>Name</w:t>
      </w:r>
      <w:r>
        <w:rPr>
          <w:sz w:val="20"/>
          <w:szCs w:val="20"/>
          <w:color w:val="auto"/>
        </w:rPr>
        <w:tab/>
      </w:r>
      <w:r>
        <w:rPr>
          <w:rFonts w:ascii="Arial" w:cs="Arial" w:eastAsia="Arial" w:hAnsi="Arial"/>
          <w:sz w:val="13"/>
          <w:szCs w:val="13"/>
          <w:color w:val="FFFFFF"/>
        </w:rPr>
        <w:t>Qualifications</w:t>
      </w:r>
    </w:p>
    <w:p>
      <w:pPr>
        <w:spacing w:after="0" w:line="79"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Key Experience and Qualifications</w:t>
      </w:r>
    </w:p>
    <w:p>
      <w:pPr>
        <w:spacing w:after="0" w:line="53" w:lineRule="exact"/>
        <w:rPr>
          <w:sz w:val="20"/>
          <w:szCs w:val="20"/>
          <w:color w:val="auto"/>
        </w:rPr>
      </w:pPr>
    </w:p>
    <w:p>
      <w:pPr>
        <w:ind w:left="3400" w:right="20" w:hanging="323"/>
        <w:spacing w:after="0" w:line="254" w:lineRule="auto"/>
        <w:tabs>
          <w:tab w:leader="none" w:pos="3397" w:val="left"/>
        </w:tabs>
        <w:numPr>
          <w:ilvl w:val="0"/>
          <w:numId w:val="50"/>
        </w:numPr>
        <w:rPr>
          <w:rFonts w:ascii="Arial" w:cs="Arial" w:eastAsia="Arial" w:hAnsi="Arial"/>
          <w:sz w:val="14"/>
          <w:szCs w:val="14"/>
          <w:color w:val="auto"/>
        </w:rPr>
      </w:pPr>
      <w:r>
        <w:rPr>
          <w:rFonts w:ascii="Arial" w:cs="Arial" w:eastAsia="Arial" w:hAnsi="Arial"/>
          <w:sz w:val="14"/>
          <w:szCs w:val="14"/>
          <w:color w:val="auto"/>
        </w:rPr>
        <w:t>Mr. Nichols’s over 40 years of executive leadership experience and knowledge in both information technology and the financial services industry as well as his background and expertise in marketing, data analytics, and strategic planning add a valuable global perspective to the Board in understanding the increasingly important role information technology has in the financial services industry. Mr. Nichols’s background and experiences, attributes and skills qualify him to serve on the Board.</w:t>
      </w:r>
    </w:p>
    <w:p>
      <w:pPr>
        <w:spacing w:after="0" w:line="17"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Career Highlights</w:t>
      </w:r>
    </w:p>
    <w:p>
      <w:pPr>
        <w:spacing w:after="0" w:line="41" w:lineRule="exact"/>
        <w:rPr>
          <w:sz w:val="20"/>
          <w:szCs w:val="20"/>
          <w:color w:val="auto"/>
        </w:rPr>
      </w:pPr>
    </w:p>
    <w:tbl>
      <w:tblPr>
        <w:tblLayout w:type="fixed"/>
        <w:tblInd w:w="660" w:type="dxa"/>
        <w:tblCellMar>
          <w:top w:w="0" w:type="dxa"/>
          <w:left w:w="0" w:type="dxa"/>
          <w:bottom w:w="0" w:type="dxa"/>
          <w:right w:w="0" w:type="dxa"/>
        </w:tblCellMar>
      </w:tblPr>
      <w:tr>
        <w:trPr>
          <w:trHeight w:val="172"/>
        </w:trPr>
        <w:tc>
          <w:tcPr>
            <w:tcW w:w="2580" w:type="dxa"/>
            <w:vAlign w:val="bottom"/>
          </w:tcPr>
          <w:p>
            <w:pPr>
              <w:ind w:left="2420"/>
              <w:spacing w:after="0"/>
              <w:rPr>
                <w:sz w:val="20"/>
                <w:szCs w:val="20"/>
                <w:color w:val="auto"/>
              </w:rPr>
            </w:pPr>
            <w:r>
              <w:rPr>
                <w:rFonts w:ascii="Arial" w:cs="Arial" w:eastAsia="Arial" w:hAnsi="Arial"/>
                <w:sz w:val="15"/>
                <w:szCs w:val="15"/>
                <w:color w:val="auto"/>
              </w:rPr>
              <w:t>•</w:t>
            </w:r>
          </w:p>
        </w:tc>
        <w:tc>
          <w:tcPr>
            <w:tcW w:w="7920" w:type="dxa"/>
            <w:vAlign w:val="bottom"/>
          </w:tcPr>
          <w:p>
            <w:pPr>
              <w:ind w:left="160"/>
              <w:spacing w:after="0"/>
              <w:rPr>
                <w:sz w:val="20"/>
                <w:szCs w:val="20"/>
                <w:color w:val="auto"/>
              </w:rPr>
            </w:pPr>
            <w:r>
              <w:rPr>
                <w:rFonts w:ascii="Arial" w:cs="Arial" w:eastAsia="Arial" w:hAnsi="Arial"/>
                <w:sz w:val="15"/>
                <w:szCs w:val="15"/>
                <w:color w:val="auto"/>
                <w:w w:val="93"/>
              </w:rPr>
              <w:t>Served as an independent advisor to Harland Clarke Holdings; Former Chairman of Harland Clarke Holdings from January 1,</w:t>
            </w:r>
          </w:p>
        </w:tc>
      </w:tr>
      <w:tr>
        <w:trPr>
          <w:trHeight w:val="174"/>
        </w:trPr>
        <w:tc>
          <w:tcPr>
            <w:tcW w:w="2580" w:type="dxa"/>
            <w:vAlign w:val="bottom"/>
          </w:tcPr>
          <w:p>
            <w:pPr>
              <w:spacing w:after="0" w:line="174" w:lineRule="exact"/>
              <w:rPr>
                <w:sz w:val="20"/>
                <w:szCs w:val="20"/>
                <w:color w:val="auto"/>
              </w:rPr>
            </w:pPr>
            <w:r>
              <w:rPr>
                <w:rFonts w:ascii="Arial" w:cs="Arial" w:eastAsia="Arial" w:hAnsi="Arial"/>
                <w:sz w:val="16"/>
                <w:szCs w:val="16"/>
                <w:color w:val="auto"/>
              </w:rPr>
              <w:t>Victor K. Nichols</w:t>
            </w:r>
          </w:p>
        </w:tc>
        <w:tc>
          <w:tcPr>
            <w:tcW w:w="7920" w:type="dxa"/>
            <w:vAlign w:val="bottom"/>
          </w:tcPr>
          <w:p>
            <w:pPr>
              <w:ind w:left="160"/>
              <w:spacing w:after="0"/>
              <w:rPr>
                <w:sz w:val="20"/>
                <w:szCs w:val="20"/>
                <w:color w:val="auto"/>
              </w:rPr>
            </w:pPr>
            <w:r>
              <w:rPr>
                <w:rFonts w:ascii="Arial" w:cs="Arial" w:eastAsia="Arial" w:hAnsi="Arial"/>
                <w:sz w:val="15"/>
                <w:szCs w:val="15"/>
                <w:color w:val="auto"/>
                <w:w w:val="96"/>
              </w:rPr>
              <w:t>2019 to June 1, 2019, and previously served as its Chief Executive Officer from January 1, 2017. As its CEO, he oversaw</w:t>
            </w:r>
          </w:p>
        </w:tc>
      </w:tr>
      <w:tr>
        <w:trPr>
          <w:trHeight w:val="147"/>
        </w:trPr>
        <w:tc>
          <w:tcPr>
            <w:tcW w:w="2580" w:type="dxa"/>
            <w:vAlign w:val="bottom"/>
          </w:tcPr>
          <w:p>
            <w:pPr>
              <w:spacing w:after="0"/>
              <w:rPr>
                <w:sz w:val="12"/>
                <w:szCs w:val="12"/>
                <w:color w:val="auto"/>
              </w:rPr>
            </w:pPr>
          </w:p>
        </w:tc>
        <w:tc>
          <w:tcPr>
            <w:tcW w:w="7920" w:type="dxa"/>
            <w:vAlign w:val="bottom"/>
          </w:tcPr>
          <w:p>
            <w:pPr>
              <w:ind w:left="160"/>
              <w:spacing w:after="0" w:line="147" w:lineRule="exact"/>
              <w:rPr>
                <w:sz w:val="20"/>
                <w:szCs w:val="20"/>
                <w:color w:val="auto"/>
              </w:rPr>
            </w:pPr>
            <w:r>
              <w:rPr>
                <w:rFonts w:ascii="Arial" w:cs="Arial" w:eastAsia="Arial" w:hAnsi="Arial"/>
                <w:sz w:val="15"/>
                <w:szCs w:val="15"/>
                <w:color w:val="auto"/>
                <w:w w:val="96"/>
              </w:rPr>
              <w:t>Harland Clarke, Scantron, Retail Me Not, and Valassis. He was Chief Executive Officer of Valassis, a leader in intelligent</w:t>
            </w:r>
          </w:p>
        </w:tc>
      </w:tr>
      <w:tr>
        <w:trPr>
          <w:trHeight w:val="160"/>
        </w:trPr>
        <w:tc>
          <w:tcPr>
            <w:tcW w:w="2580" w:type="dxa"/>
            <w:vAlign w:val="bottom"/>
          </w:tcPr>
          <w:p>
            <w:pPr>
              <w:spacing w:after="0"/>
              <w:rPr>
                <w:sz w:val="13"/>
                <w:szCs w:val="13"/>
                <w:color w:val="auto"/>
              </w:rPr>
            </w:pPr>
          </w:p>
        </w:tc>
        <w:tc>
          <w:tcPr>
            <w:tcW w:w="7920" w:type="dxa"/>
            <w:vAlign w:val="bottom"/>
          </w:tcPr>
          <w:p>
            <w:pPr>
              <w:ind w:left="160"/>
              <w:spacing w:after="0" w:line="161" w:lineRule="exact"/>
              <w:rPr>
                <w:sz w:val="20"/>
                <w:szCs w:val="20"/>
                <w:color w:val="auto"/>
              </w:rPr>
            </w:pPr>
            <w:r>
              <w:rPr>
                <w:rFonts w:ascii="Arial" w:cs="Arial" w:eastAsia="Arial" w:hAnsi="Arial"/>
                <w:sz w:val="15"/>
                <w:szCs w:val="15"/>
                <w:color w:val="auto"/>
              </w:rPr>
              <w:t>media delivery from April 2015 through December 2016.</w:t>
            </w:r>
          </w:p>
        </w:tc>
      </w:tr>
      <w:tr>
        <w:trPr>
          <w:trHeight w:val="160"/>
        </w:trPr>
        <w:tc>
          <w:tcPr>
            <w:tcW w:w="2580" w:type="dxa"/>
            <w:vAlign w:val="bottom"/>
          </w:tcPr>
          <w:p>
            <w:pPr>
              <w:ind w:left="2420"/>
              <w:spacing w:after="0" w:line="161" w:lineRule="exact"/>
              <w:rPr>
                <w:sz w:val="20"/>
                <w:szCs w:val="20"/>
                <w:color w:val="auto"/>
              </w:rPr>
            </w:pPr>
            <w:r>
              <w:rPr>
                <w:rFonts w:ascii="Arial" w:cs="Arial" w:eastAsia="Arial" w:hAnsi="Arial"/>
                <w:sz w:val="15"/>
                <w:szCs w:val="15"/>
                <w:color w:val="auto"/>
              </w:rPr>
              <w:t>•</w:t>
            </w:r>
          </w:p>
        </w:tc>
        <w:tc>
          <w:tcPr>
            <w:tcW w:w="7920" w:type="dxa"/>
            <w:vAlign w:val="bottom"/>
          </w:tcPr>
          <w:p>
            <w:pPr>
              <w:ind w:left="160"/>
              <w:spacing w:after="0" w:line="161" w:lineRule="exact"/>
              <w:rPr>
                <w:sz w:val="20"/>
                <w:szCs w:val="20"/>
                <w:color w:val="auto"/>
              </w:rPr>
            </w:pPr>
            <w:r>
              <w:rPr>
                <w:rFonts w:ascii="Arial" w:cs="Arial" w:eastAsia="Arial" w:hAnsi="Arial"/>
                <w:sz w:val="15"/>
                <w:szCs w:val="15"/>
                <w:color w:val="auto"/>
                <w:w w:val="96"/>
              </w:rPr>
              <w:t>Mr. Nichols previously served as Chief Executive Officer of North America, Managing Director of EMEA, and President of</w:t>
            </w:r>
          </w:p>
        </w:tc>
      </w:tr>
      <w:tr>
        <w:trPr>
          <w:trHeight w:val="160"/>
        </w:trPr>
        <w:tc>
          <w:tcPr>
            <w:tcW w:w="2580" w:type="dxa"/>
            <w:vAlign w:val="bottom"/>
          </w:tcPr>
          <w:p>
            <w:pPr>
              <w:spacing w:after="0"/>
              <w:rPr>
                <w:sz w:val="13"/>
                <w:szCs w:val="13"/>
                <w:color w:val="auto"/>
              </w:rPr>
            </w:pPr>
          </w:p>
        </w:tc>
        <w:tc>
          <w:tcPr>
            <w:tcW w:w="7920" w:type="dxa"/>
            <w:vAlign w:val="bottom"/>
          </w:tcPr>
          <w:p>
            <w:pPr>
              <w:ind w:left="160"/>
              <w:spacing w:after="0" w:line="161" w:lineRule="exact"/>
              <w:rPr>
                <w:sz w:val="20"/>
                <w:szCs w:val="20"/>
                <w:color w:val="auto"/>
              </w:rPr>
            </w:pPr>
            <w:r>
              <w:rPr>
                <w:rFonts w:ascii="Arial" w:cs="Arial" w:eastAsia="Arial" w:hAnsi="Arial"/>
                <w:sz w:val="15"/>
                <w:szCs w:val="15"/>
                <w:color w:val="auto"/>
                <w:w w:val="92"/>
              </w:rPr>
              <w:t>Global Consumer Services for Experian, the leading global information services company providing data and analytical tools to</w:t>
            </w:r>
          </w:p>
        </w:tc>
      </w:tr>
      <w:tr>
        <w:trPr>
          <w:trHeight w:val="160"/>
        </w:trPr>
        <w:tc>
          <w:tcPr>
            <w:tcW w:w="2580" w:type="dxa"/>
            <w:vAlign w:val="bottom"/>
          </w:tcPr>
          <w:p>
            <w:pPr>
              <w:spacing w:after="0"/>
              <w:rPr>
                <w:sz w:val="13"/>
                <w:szCs w:val="13"/>
                <w:color w:val="auto"/>
              </w:rPr>
            </w:pPr>
          </w:p>
        </w:tc>
        <w:tc>
          <w:tcPr>
            <w:tcW w:w="7920" w:type="dxa"/>
            <w:vAlign w:val="bottom"/>
          </w:tcPr>
          <w:p>
            <w:pPr>
              <w:ind w:left="160"/>
              <w:spacing w:after="0" w:line="161" w:lineRule="exact"/>
              <w:rPr>
                <w:sz w:val="20"/>
                <w:szCs w:val="20"/>
                <w:color w:val="auto"/>
              </w:rPr>
            </w:pPr>
            <w:r>
              <w:rPr>
                <w:rFonts w:ascii="Arial" w:cs="Arial" w:eastAsia="Arial" w:hAnsi="Arial"/>
                <w:sz w:val="15"/>
                <w:szCs w:val="15"/>
                <w:color w:val="auto"/>
              </w:rPr>
              <w:t>clients around the world.</w:t>
            </w:r>
          </w:p>
        </w:tc>
      </w:tr>
      <w:tr>
        <w:trPr>
          <w:trHeight w:val="160"/>
        </w:trPr>
        <w:tc>
          <w:tcPr>
            <w:tcW w:w="2580" w:type="dxa"/>
            <w:vAlign w:val="bottom"/>
          </w:tcPr>
          <w:p>
            <w:pPr>
              <w:ind w:left="2420"/>
              <w:spacing w:after="0" w:line="161" w:lineRule="exact"/>
              <w:rPr>
                <w:sz w:val="20"/>
                <w:szCs w:val="20"/>
                <w:color w:val="auto"/>
              </w:rPr>
            </w:pPr>
            <w:r>
              <w:rPr>
                <w:rFonts w:ascii="Arial" w:cs="Arial" w:eastAsia="Arial" w:hAnsi="Arial"/>
                <w:sz w:val="15"/>
                <w:szCs w:val="15"/>
                <w:color w:val="auto"/>
              </w:rPr>
              <w:t>•</w:t>
            </w:r>
          </w:p>
        </w:tc>
        <w:tc>
          <w:tcPr>
            <w:tcW w:w="7920" w:type="dxa"/>
            <w:vAlign w:val="bottom"/>
          </w:tcPr>
          <w:p>
            <w:pPr>
              <w:ind w:left="160"/>
              <w:spacing w:after="0" w:line="161" w:lineRule="exact"/>
              <w:rPr>
                <w:sz w:val="20"/>
                <w:szCs w:val="20"/>
                <w:color w:val="auto"/>
              </w:rPr>
            </w:pPr>
            <w:r>
              <w:rPr>
                <w:rFonts w:ascii="Arial" w:cs="Arial" w:eastAsia="Arial" w:hAnsi="Arial"/>
                <w:sz w:val="15"/>
                <w:szCs w:val="15"/>
                <w:color w:val="auto"/>
              </w:rPr>
              <w:t>Prior to joining Experian, he served as Chief Information Officer at Wells Fargo &amp; Company.</w:t>
            </w:r>
          </w:p>
        </w:tc>
      </w:tr>
      <w:tr>
        <w:trPr>
          <w:trHeight w:val="160"/>
        </w:trPr>
        <w:tc>
          <w:tcPr>
            <w:tcW w:w="2580" w:type="dxa"/>
            <w:vAlign w:val="bottom"/>
          </w:tcPr>
          <w:p>
            <w:pPr>
              <w:ind w:left="2420"/>
              <w:spacing w:after="0" w:line="161" w:lineRule="exact"/>
              <w:rPr>
                <w:sz w:val="20"/>
                <w:szCs w:val="20"/>
                <w:color w:val="auto"/>
              </w:rPr>
            </w:pPr>
            <w:r>
              <w:rPr>
                <w:rFonts w:ascii="Arial" w:cs="Arial" w:eastAsia="Arial" w:hAnsi="Arial"/>
                <w:sz w:val="15"/>
                <w:szCs w:val="15"/>
                <w:color w:val="auto"/>
              </w:rPr>
              <w:t>•</w:t>
            </w:r>
          </w:p>
        </w:tc>
        <w:tc>
          <w:tcPr>
            <w:tcW w:w="7920" w:type="dxa"/>
            <w:vAlign w:val="bottom"/>
          </w:tcPr>
          <w:p>
            <w:pPr>
              <w:ind w:left="160"/>
              <w:spacing w:after="0" w:line="161" w:lineRule="exact"/>
              <w:rPr>
                <w:sz w:val="20"/>
                <w:szCs w:val="20"/>
                <w:color w:val="auto"/>
              </w:rPr>
            </w:pPr>
            <w:r>
              <w:rPr>
                <w:rFonts w:ascii="Arial" w:cs="Arial" w:eastAsia="Arial" w:hAnsi="Arial"/>
                <w:sz w:val="15"/>
                <w:szCs w:val="15"/>
                <w:color w:val="auto"/>
                <w:w w:val="96"/>
              </w:rPr>
              <w:t>Mr. Nichols also was President of Safeguard Business Systems and held senior positions at Bank of America in interstate</w:t>
            </w:r>
          </w:p>
        </w:tc>
      </w:tr>
      <w:tr>
        <w:trPr>
          <w:trHeight w:val="160"/>
        </w:trPr>
        <w:tc>
          <w:tcPr>
            <w:tcW w:w="2580" w:type="dxa"/>
            <w:vAlign w:val="bottom"/>
          </w:tcPr>
          <w:p>
            <w:pPr>
              <w:spacing w:after="0"/>
              <w:rPr>
                <w:sz w:val="13"/>
                <w:szCs w:val="13"/>
                <w:color w:val="auto"/>
              </w:rPr>
            </w:pPr>
          </w:p>
        </w:tc>
        <w:tc>
          <w:tcPr>
            <w:tcW w:w="7920" w:type="dxa"/>
            <w:vAlign w:val="bottom"/>
          </w:tcPr>
          <w:p>
            <w:pPr>
              <w:ind w:left="160"/>
              <w:spacing w:after="0" w:line="161" w:lineRule="exact"/>
              <w:rPr>
                <w:sz w:val="20"/>
                <w:szCs w:val="20"/>
                <w:color w:val="auto"/>
              </w:rPr>
            </w:pPr>
            <w:r>
              <w:rPr>
                <w:rFonts w:ascii="Arial" w:cs="Arial" w:eastAsia="Arial" w:hAnsi="Arial"/>
                <w:sz w:val="15"/>
                <w:szCs w:val="15"/>
                <w:color w:val="auto"/>
              </w:rPr>
              <w:t>banking integration, consumer loan services, and operations.</w:t>
            </w:r>
          </w:p>
        </w:tc>
      </w:tr>
      <w:tr>
        <w:trPr>
          <w:trHeight w:val="160"/>
        </w:trPr>
        <w:tc>
          <w:tcPr>
            <w:tcW w:w="2580" w:type="dxa"/>
            <w:vAlign w:val="bottom"/>
          </w:tcPr>
          <w:p>
            <w:pPr>
              <w:ind w:left="2420"/>
              <w:spacing w:after="0" w:line="161" w:lineRule="exact"/>
              <w:rPr>
                <w:sz w:val="20"/>
                <w:szCs w:val="20"/>
                <w:color w:val="auto"/>
              </w:rPr>
            </w:pPr>
            <w:r>
              <w:rPr>
                <w:rFonts w:ascii="Arial" w:cs="Arial" w:eastAsia="Arial" w:hAnsi="Arial"/>
                <w:sz w:val="15"/>
                <w:szCs w:val="15"/>
                <w:color w:val="auto"/>
              </w:rPr>
              <w:t>•</w:t>
            </w:r>
          </w:p>
        </w:tc>
        <w:tc>
          <w:tcPr>
            <w:tcW w:w="7920" w:type="dxa"/>
            <w:vAlign w:val="bottom"/>
          </w:tcPr>
          <w:p>
            <w:pPr>
              <w:ind w:left="120"/>
              <w:spacing w:after="0" w:line="161" w:lineRule="exact"/>
              <w:rPr>
                <w:sz w:val="20"/>
                <w:szCs w:val="20"/>
                <w:color w:val="auto"/>
              </w:rPr>
            </w:pPr>
            <w:r>
              <w:rPr>
                <w:rFonts w:ascii="Arial" w:cs="Arial" w:eastAsia="Arial" w:hAnsi="Arial"/>
                <w:sz w:val="15"/>
                <w:szCs w:val="15"/>
                <w:color w:val="auto"/>
                <w:w w:val="91"/>
              </w:rPr>
              <w:t>Mr. Nichols was past President and founding partner of VICOR, Inc., an advanced technology engineering firm leading business</w:t>
            </w:r>
          </w:p>
        </w:tc>
      </w:tr>
      <w:tr>
        <w:trPr>
          <w:trHeight w:val="191"/>
        </w:trPr>
        <w:tc>
          <w:tcPr>
            <w:tcW w:w="2580" w:type="dxa"/>
            <w:vAlign w:val="bottom"/>
          </w:tcPr>
          <w:p>
            <w:pPr>
              <w:spacing w:after="0"/>
              <w:rPr>
                <w:sz w:val="16"/>
                <w:szCs w:val="16"/>
                <w:color w:val="auto"/>
              </w:rPr>
            </w:pPr>
          </w:p>
        </w:tc>
        <w:tc>
          <w:tcPr>
            <w:tcW w:w="7920" w:type="dxa"/>
            <w:vAlign w:val="bottom"/>
          </w:tcPr>
          <w:p>
            <w:pPr>
              <w:ind w:left="160"/>
              <w:spacing w:after="0"/>
              <w:rPr>
                <w:sz w:val="20"/>
                <w:szCs w:val="20"/>
                <w:color w:val="auto"/>
              </w:rPr>
            </w:pPr>
            <w:r>
              <w:rPr>
                <w:rFonts w:ascii="Arial" w:cs="Arial" w:eastAsia="Arial" w:hAnsi="Arial"/>
                <w:sz w:val="15"/>
                <w:szCs w:val="15"/>
                <w:color w:val="auto"/>
              </w:rPr>
              <w:t>transformation with a concentration in the financial services industry.</w:t>
            </w:r>
          </w:p>
        </w:tc>
      </w:tr>
    </w:tbl>
    <w:p>
      <w:pPr>
        <w:spacing w:after="0" w:line="26"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Other Professional Experience and Community Involvement</w:t>
      </w:r>
    </w:p>
    <w:p>
      <w:pPr>
        <w:spacing w:after="0" w:line="53" w:lineRule="exact"/>
        <w:rPr>
          <w:sz w:val="20"/>
          <w:szCs w:val="20"/>
          <w:color w:val="auto"/>
        </w:rPr>
      </w:pPr>
    </w:p>
    <w:p>
      <w:pPr>
        <w:ind w:left="3400" w:right="40" w:hanging="323"/>
        <w:spacing w:after="0" w:line="227" w:lineRule="auto"/>
        <w:tabs>
          <w:tab w:leader="none" w:pos="3397" w:val="left"/>
        </w:tabs>
        <w:numPr>
          <w:ilvl w:val="0"/>
          <w:numId w:val="51"/>
        </w:numPr>
        <w:rPr>
          <w:rFonts w:ascii="Arial" w:cs="Arial" w:eastAsia="Arial" w:hAnsi="Arial"/>
          <w:sz w:val="15"/>
          <w:szCs w:val="15"/>
          <w:color w:val="auto"/>
        </w:rPr>
      </w:pPr>
      <w:r>
        <w:rPr>
          <w:rFonts w:ascii="Arial" w:cs="Arial" w:eastAsia="Arial" w:hAnsi="Arial"/>
          <w:sz w:val="15"/>
          <w:szCs w:val="15"/>
          <w:color w:val="auto"/>
        </w:rPr>
        <w:t>Mr. Nichols is a director of Revlon Inc. (a member of Revlon’s audit committee) and Zovio, an education technology services company (formerly Bridgepoint Education, Inc.). He serves as chairman of Zovio's compensation committee and is a member of its audit committee, and the merger and acquisition oversight committee. He has been an Advisor to Mitek, an identification technology provider and to Bloom, a global consumer data provider.</w:t>
      </w:r>
    </w:p>
    <w:p>
      <w:pPr>
        <w:spacing w:after="0" w:line="1" w:lineRule="exact"/>
        <w:rPr>
          <w:rFonts w:ascii="Arial" w:cs="Arial" w:eastAsia="Arial" w:hAnsi="Arial"/>
          <w:sz w:val="15"/>
          <w:szCs w:val="15"/>
          <w:color w:val="auto"/>
        </w:rPr>
      </w:pPr>
    </w:p>
    <w:p>
      <w:pPr>
        <w:ind w:left="3400" w:right="160" w:hanging="323"/>
        <w:spacing w:after="0" w:line="231" w:lineRule="auto"/>
        <w:tabs>
          <w:tab w:leader="none" w:pos="3397"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 addition, he is a past member of the Economics Leadership Council, University of California, San Diego and served on the Leadership Council for UCI Donald Bren School of Information and Computer Sciences and on the Dean’s Advisory Board, University of California, Irvine Merage School.</w:t>
      </w:r>
    </w:p>
    <w:p>
      <w:pPr>
        <w:spacing w:after="0" w:line="28"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Education</w:t>
      </w:r>
    </w:p>
    <w:p>
      <w:pPr>
        <w:spacing w:after="0" w:line="53" w:lineRule="exact"/>
        <w:rPr>
          <w:sz w:val="20"/>
          <w:szCs w:val="20"/>
          <w:color w:val="auto"/>
        </w:rPr>
      </w:pPr>
    </w:p>
    <w:p>
      <w:pPr>
        <w:ind w:left="3400" w:right="200" w:hanging="323"/>
        <w:spacing w:after="0" w:line="249" w:lineRule="auto"/>
        <w:tabs>
          <w:tab w:leader="none" w:pos="3397" w:val="left"/>
        </w:tabs>
        <w:numPr>
          <w:ilvl w:val="0"/>
          <w:numId w:val="52"/>
        </w:numPr>
        <w:rPr>
          <w:rFonts w:ascii="Arial" w:cs="Arial" w:eastAsia="Arial" w:hAnsi="Arial"/>
          <w:sz w:val="15"/>
          <w:szCs w:val="15"/>
          <w:color w:val="auto"/>
        </w:rPr>
      </w:pPr>
      <w:r>
        <w:rPr>
          <w:rFonts w:ascii="Arial" w:cs="Arial" w:eastAsia="Arial" w:hAnsi="Arial"/>
          <w:sz w:val="15"/>
          <w:szCs w:val="15"/>
          <w:color w:val="auto"/>
        </w:rPr>
        <w:t>Mr. Nichols holds a bachelor of science degree in economics from the University of California, San Diego, and an M.B.A. in finance from the University of California, Berkeley.</w:t>
      </w:r>
    </w:p>
    <w:p>
      <w:pPr>
        <w:spacing w:after="0" w:line="200" w:lineRule="exact"/>
        <w:rPr>
          <w:sz w:val="20"/>
          <w:szCs w:val="20"/>
          <w:color w:val="auto"/>
        </w:rPr>
      </w:pP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Borders>
              <w:right w:val="single" w:sz="8" w:color="auto"/>
            </w:tcBorders>
          </w:tcPr>
          <w:p>
            <w:pPr>
              <w:spacing w:after="0"/>
              <w:rPr>
                <w:sz w:val="20"/>
                <w:szCs w:val="20"/>
                <w:color w:val="auto"/>
              </w:rPr>
            </w:pPr>
          </w:p>
        </w:tc>
        <w:tc>
          <w:tcPr>
            <w:tcW w:w="2240" w:type="dxa"/>
            <w:vAlign w:val="bottom"/>
            <w:tcBorders>
              <w:top w:val="single" w:sz="8" w:color="auto"/>
              <w:bottom w:val="single" w:sz="8" w:color="auto"/>
            </w:tcBorders>
            <w:shd w:val="clear" w:color="auto" w:fill="086FB8"/>
          </w:tcPr>
          <w:p>
            <w:pPr>
              <w:jc w:val="center"/>
              <w:ind w:left="84"/>
              <w:spacing w:after="0"/>
              <w:rPr>
                <w:sz w:val="20"/>
                <w:szCs w:val="20"/>
                <w:color w:val="auto"/>
              </w:rPr>
            </w:pPr>
            <w:r>
              <w:rPr>
                <w:rFonts w:ascii="Arial" w:cs="Arial" w:eastAsia="Arial" w:hAnsi="Arial"/>
                <w:sz w:val="13"/>
                <w:szCs w:val="13"/>
                <w:color w:val="FFFFFF"/>
                <w:w w:val="92"/>
              </w:rPr>
              <w:t>Name</w:t>
            </w:r>
          </w:p>
        </w:tc>
        <w:tc>
          <w:tcPr>
            <w:tcW w:w="980" w:type="dxa"/>
            <w:vAlign w:val="bottom"/>
            <w:tcBorders>
              <w:top w:val="single" w:sz="8" w:color="auto"/>
              <w:bottom w:val="single" w:sz="8" w:color="auto"/>
            </w:tcBorders>
            <w:shd w:val="clear" w:color="auto" w:fill="086FB8"/>
          </w:tcPr>
          <w:p>
            <w:pPr>
              <w:spacing w:after="0"/>
              <w:rPr>
                <w:sz w:val="20"/>
                <w:szCs w:val="20"/>
                <w:color w:val="auto"/>
              </w:rPr>
            </w:pPr>
          </w:p>
        </w:tc>
        <w:tc>
          <w:tcPr>
            <w:tcW w:w="7980" w:type="dxa"/>
            <w:vAlign w:val="bottom"/>
            <w:tcBorders>
              <w:top w:val="single" w:sz="8" w:color="auto"/>
              <w:bottom w:val="single" w:sz="8" w:color="auto"/>
              <w:right w:val="single" w:sz="8" w:color="auto"/>
            </w:tcBorders>
            <w:shd w:val="clear" w:color="auto" w:fill="086FB8"/>
          </w:tcPr>
          <w:p>
            <w:pPr>
              <w:ind w:left="3320"/>
              <w:spacing w:after="0"/>
              <w:rPr>
                <w:sz w:val="20"/>
                <w:szCs w:val="20"/>
                <w:color w:val="auto"/>
              </w:rPr>
            </w:pPr>
            <w:r>
              <w:rPr>
                <w:rFonts w:ascii="Arial" w:cs="Arial" w:eastAsia="Arial" w:hAnsi="Arial"/>
                <w:sz w:val="13"/>
                <w:szCs w:val="13"/>
                <w:color w:val="FFFFFF"/>
              </w:rPr>
              <w:t>Qualifications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0" w:type="dxa"/>
            <w:vAlign w:val="bottom"/>
            <w:tcBorders>
              <w:right w:val="single" w:sz="8" w:color="auto"/>
            </w:tcBorders>
          </w:tcPr>
          <w:p>
            <w:pPr>
              <w:spacing w:after="0"/>
              <w:rPr>
                <w:sz w:val="20"/>
                <w:szCs w:val="20"/>
                <w:color w:val="auto"/>
              </w:rPr>
            </w:pPr>
          </w:p>
        </w:tc>
        <w:tc>
          <w:tcPr>
            <w:tcW w:w="2240" w:type="dxa"/>
            <w:vAlign w:val="bottom"/>
          </w:tcPr>
          <w:p>
            <w:pPr>
              <w:spacing w:after="0"/>
              <w:rPr>
                <w:sz w:val="20"/>
                <w:szCs w:val="20"/>
                <w:color w:val="auto"/>
              </w:rPr>
            </w:pPr>
          </w:p>
        </w:tc>
        <w:tc>
          <w:tcPr>
            <w:tcW w:w="8960" w:type="dxa"/>
            <w:vAlign w:val="bottom"/>
            <w:tcBorders>
              <w:right w:val="single" w:sz="8" w:color="auto"/>
            </w:tcBorders>
            <w:gridSpan w:val="2"/>
          </w:tcPr>
          <w:p>
            <w:pPr>
              <w:ind w:left="480"/>
              <w:spacing w:after="0"/>
              <w:rPr>
                <w:sz w:val="20"/>
                <w:szCs w:val="20"/>
                <w:color w:val="auto"/>
              </w:rPr>
            </w:pPr>
            <w:r>
              <w:rPr>
                <w:rFonts w:ascii="Arial" w:cs="Arial" w:eastAsia="Arial" w:hAnsi="Arial"/>
                <w:sz w:val="16"/>
                <w:szCs w:val="16"/>
                <w:color w:val="auto"/>
              </w:rPr>
              <w:t>Key Experience and Qualifications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tcPr>
          <w:p>
            <w:pPr>
              <w:spacing w:after="0"/>
              <w:rPr>
                <w:sz w:val="17"/>
                <w:szCs w:val="17"/>
                <w:color w:val="auto"/>
              </w:rPr>
            </w:pPr>
          </w:p>
        </w:tc>
        <w:tc>
          <w:tcPr>
            <w:tcW w:w="2240" w:type="dxa"/>
            <w:vAlign w:val="bottom"/>
          </w:tcPr>
          <w:p>
            <w:pPr>
              <w:spacing w:after="0"/>
              <w:rPr>
                <w:sz w:val="17"/>
                <w:szCs w:val="17"/>
                <w:color w:val="auto"/>
              </w:rPr>
            </w:pPr>
          </w:p>
        </w:tc>
        <w:tc>
          <w:tcPr>
            <w:tcW w:w="980" w:type="dxa"/>
            <w:vAlign w:val="bottom"/>
          </w:tcPr>
          <w:p>
            <w:pPr>
              <w:ind w:left="800"/>
              <w:spacing w:after="0"/>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w w:val="93"/>
              </w:rPr>
              <w:t>Ms. Tanabe has expertise in communications and issues management with over 33 years of experience in public affairs, crisis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4"/>
              </w:rPr>
              <w:t>management, and broadcast journalism in the United States and Asia. Her sensitivity to public policy matters, the media, and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5"/>
              </w:rPr>
              <w:t>cultural and ethnic diversity in our core market bring insights that inform a wide range of Board deliberations and qualify her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2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for service on the Board.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0" w:type="dxa"/>
            <w:vAlign w:val="bottom"/>
            <w:tcBorders>
              <w:right w:val="single" w:sz="8" w:color="auto"/>
            </w:tcBorders>
          </w:tcPr>
          <w:p>
            <w:pPr>
              <w:spacing w:after="0"/>
              <w:rPr>
                <w:sz w:val="21"/>
                <w:szCs w:val="21"/>
                <w:color w:val="auto"/>
              </w:rPr>
            </w:pPr>
          </w:p>
        </w:tc>
        <w:tc>
          <w:tcPr>
            <w:tcW w:w="2240" w:type="dxa"/>
            <w:vAlign w:val="bottom"/>
          </w:tcPr>
          <w:p>
            <w:pPr>
              <w:spacing w:after="0"/>
              <w:rPr>
                <w:sz w:val="21"/>
                <w:szCs w:val="21"/>
                <w:color w:val="auto"/>
              </w:rPr>
            </w:pPr>
          </w:p>
        </w:tc>
        <w:tc>
          <w:tcPr>
            <w:tcW w:w="8960" w:type="dxa"/>
            <w:vAlign w:val="bottom"/>
            <w:tcBorders>
              <w:right w:val="single" w:sz="8" w:color="auto"/>
            </w:tcBorders>
            <w:gridSpan w:val="2"/>
          </w:tcPr>
          <w:p>
            <w:pPr>
              <w:ind w:left="480"/>
              <w:spacing w:after="0"/>
              <w:rPr>
                <w:sz w:val="20"/>
                <w:szCs w:val="20"/>
                <w:color w:val="auto"/>
              </w:rPr>
            </w:pPr>
            <w:r>
              <w:rPr>
                <w:rFonts w:ascii="Arial" w:cs="Arial" w:eastAsia="Arial" w:hAnsi="Arial"/>
                <w:sz w:val="16"/>
                <w:szCs w:val="16"/>
                <w:color w:val="auto"/>
              </w:rPr>
              <w:t>Career Highlights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tcPr>
          <w:p>
            <w:pPr>
              <w:spacing w:after="0"/>
              <w:rPr>
                <w:sz w:val="17"/>
                <w:szCs w:val="17"/>
                <w:color w:val="auto"/>
              </w:rPr>
            </w:pPr>
          </w:p>
        </w:tc>
        <w:tc>
          <w:tcPr>
            <w:tcW w:w="2240" w:type="dxa"/>
            <w:vAlign w:val="bottom"/>
            <w:vMerge w:val="restart"/>
          </w:tcPr>
          <w:p>
            <w:pPr>
              <w:jc w:val="center"/>
              <w:ind w:left="64"/>
              <w:spacing w:after="0"/>
              <w:rPr>
                <w:sz w:val="20"/>
                <w:szCs w:val="20"/>
                <w:color w:val="auto"/>
              </w:rPr>
            </w:pPr>
            <w:r>
              <w:rPr>
                <w:rFonts w:ascii="Arial" w:cs="Arial" w:eastAsia="Arial" w:hAnsi="Arial"/>
                <w:sz w:val="16"/>
                <w:szCs w:val="16"/>
                <w:color w:val="auto"/>
                <w:w w:val="85"/>
              </w:rPr>
              <w:t>Barbara J. Tanabe</w:t>
            </w:r>
          </w:p>
        </w:tc>
        <w:tc>
          <w:tcPr>
            <w:tcW w:w="980" w:type="dxa"/>
            <w:vAlign w:val="bottom"/>
          </w:tcPr>
          <w:p>
            <w:pPr>
              <w:ind w:left="800"/>
              <w:spacing w:after="0"/>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Ms. Tanabe has been the Owner of Ho‘akea Communications, LLC (a public affairs company) since 2003.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40" w:type="dxa"/>
            <w:vAlign w:val="bottom"/>
            <w:vMerge w:val="continue"/>
          </w:tcPr>
          <w:p>
            <w:pPr>
              <w:spacing w:after="0"/>
              <w:rPr>
                <w:sz w:val="13"/>
                <w:szCs w:val="13"/>
                <w:color w:val="auto"/>
              </w:rPr>
            </w:pPr>
          </w:p>
        </w:tc>
        <w:tc>
          <w:tcPr>
            <w:tcW w:w="980" w:type="dxa"/>
            <w:vAlign w:val="bottom"/>
          </w:tcPr>
          <w:p>
            <w:pPr>
              <w:ind w:left="800"/>
              <w:spacing w:after="0" w:line="161" w:lineRule="exact"/>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5"/>
              </w:rPr>
              <w:t>She served as President and CEO of Hill &amp; Knowlton/Communications Pacific and her own consulting firm, Pacific Century,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6"/>
              </w:rPr>
              <w:t>where she counseled executives and government officials in the areas of cross-cultural communications, crisis and issues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rPr>
              <w:t>management, and news media management.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980" w:type="dxa"/>
            <w:vAlign w:val="bottom"/>
          </w:tcPr>
          <w:p>
            <w:pPr>
              <w:ind w:left="800"/>
              <w:spacing w:after="0" w:line="161" w:lineRule="exact"/>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5"/>
              </w:rPr>
              <w:t>Among the first Asian-American woman journalists in the nation, she pioneered news coverage of issues dealing with ethnic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2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minorities, diversity, and civil rights.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0" w:type="dxa"/>
            <w:vAlign w:val="bottom"/>
            <w:tcBorders>
              <w:right w:val="single" w:sz="8" w:color="auto"/>
            </w:tcBorders>
          </w:tcPr>
          <w:p>
            <w:pPr>
              <w:spacing w:after="0"/>
              <w:rPr>
                <w:sz w:val="21"/>
                <w:szCs w:val="21"/>
                <w:color w:val="auto"/>
              </w:rPr>
            </w:pPr>
          </w:p>
        </w:tc>
        <w:tc>
          <w:tcPr>
            <w:tcW w:w="2240" w:type="dxa"/>
            <w:vAlign w:val="bottom"/>
          </w:tcPr>
          <w:p>
            <w:pPr>
              <w:spacing w:after="0"/>
              <w:rPr>
                <w:sz w:val="21"/>
                <w:szCs w:val="21"/>
                <w:color w:val="auto"/>
              </w:rPr>
            </w:pPr>
          </w:p>
        </w:tc>
        <w:tc>
          <w:tcPr>
            <w:tcW w:w="8960" w:type="dxa"/>
            <w:vAlign w:val="bottom"/>
            <w:tcBorders>
              <w:right w:val="single" w:sz="8" w:color="auto"/>
            </w:tcBorders>
            <w:gridSpan w:val="2"/>
          </w:tcPr>
          <w:p>
            <w:pPr>
              <w:ind w:left="480"/>
              <w:spacing w:after="0"/>
              <w:rPr>
                <w:sz w:val="20"/>
                <w:szCs w:val="20"/>
                <w:color w:val="auto"/>
              </w:rPr>
            </w:pPr>
            <w:r>
              <w:rPr>
                <w:rFonts w:ascii="Arial" w:cs="Arial" w:eastAsia="Arial" w:hAnsi="Arial"/>
                <w:sz w:val="16"/>
                <w:szCs w:val="16"/>
                <w:color w:val="auto"/>
              </w:rPr>
              <w:t>Other Professional Experience and Community Involvement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tcPr>
          <w:p>
            <w:pPr>
              <w:spacing w:after="0"/>
              <w:rPr>
                <w:sz w:val="17"/>
                <w:szCs w:val="17"/>
                <w:color w:val="auto"/>
              </w:rPr>
            </w:pPr>
          </w:p>
        </w:tc>
        <w:tc>
          <w:tcPr>
            <w:tcW w:w="2240" w:type="dxa"/>
            <w:vAlign w:val="bottom"/>
          </w:tcPr>
          <w:p>
            <w:pPr>
              <w:spacing w:after="0"/>
              <w:rPr>
                <w:sz w:val="17"/>
                <w:szCs w:val="17"/>
                <w:color w:val="auto"/>
              </w:rPr>
            </w:pPr>
          </w:p>
        </w:tc>
        <w:tc>
          <w:tcPr>
            <w:tcW w:w="980" w:type="dxa"/>
            <w:vAlign w:val="bottom"/>
          </w:tcPr>
          <w:p>
            <w:pPr>
              <w:ind w:left="800"/>
              <w:spacing w:after="0"/>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w w:val="96"/>
              </w:rPr>
              <w:t>Ms. Tanabe co-founded a public policy research firm, Hawaii Institute of Public Affairs, which produced studies resulting in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rPr>
              <w:t>legislation to promote economic development in Hawaii.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980" w:type="dxa"/>
            <w:vAlign w:val="bottom"/>
          </w:tcPr>
          <w:p>
            <w:pPr>
              <w:ind w:left="800"/>
              <w:spacing w:after="0" w:line="161" w:lineRule="exact"/>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2"/>
              </w:rPr>
              <w:t>She is also co-chair and founder of the Hawaii Chapter of Women Corporate Directors Foundation, and serves as a member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5"/>
              </w:rPr>
              <w:t>the boards of Japan-America Society of Hawaii, The American Judicature Society, and the Pacific Forum (formerly the Asia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rPr>
              <w:t>affiliate of the Center for Strategic and International Studies). She is past board member of the Crown Prince Akihito</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2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Foundation and Chamber of Commerce of Hawaii, and former chair of the Hawaii State Ethics Commission.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0" w:type="dxa"/>
            <w:vAlign w:val="bottom"/>
            <w:tcBorders>
              <w:right w:val="single" w:sz="8" w:color="auto"/>
            </w:tcBorders>
          </w:tcPr>
          <w:p>
            <w:pPr>
              <w:spacing w:after="0"/>
              <w:rPr>
                <w:sz w:val="21"/>
                <w:szCs w:val="21"/>
                <w:color w:val="auto"/>
              </w:rPr>
            </w:pPr>
          </w:p>
        </w:tc>
        <w:tc>
          <w:tcPr>
            <w:tcW w:w="2240" w:type="dxa"/>
            <w:vAlign w:val="bottom"/>
          </w:tcPr>
          <w:p>
            <w:pPr>
              <w:spacing w:after="0"/>
              <w:rPr>
                <w:sz w:val="21"/>
                <w:szCs w:val="21"/>
                <w:color w:val="auto"/>
              </w:rPr>
            </w:pPr>
          </w:p>
        </w:tc>
        <w:tc>
          <w:tcPr>
            <w:tcW w:w="8960" w:type="dxa"/>
            <w:vAlign w:val="bottom"/>
            <w:tcBorders>
              <w:right w:val="single" w:sz="8" w:color="auto"/>
            </w:tcBorders>
            <w:gridSpan w:val="2"/>
          </w:tcPr>
          <w:p>
            <w:pPr>
              <w:ind w:left="480"/>
              <w:spacing w:after="0"/>
              <w:rPr>
                <w:sz w:val="20"/>
                <w:szCs w:val="20"/>
                <w:color w:val="auto"/>
              </w:rPr>
            </w:pPr>
            <w:r>
              <w:rPr>
                <w:rFonts w:ascii="Arial" w:cs="Arial" w:eastAsia="Arial" w:hAnsi="Arial"/>
                <w:sz w:val="16"/>
                <w:szCs w:val="16"/>
                <w:color w:val="auto"/>
              </w:rPr>
              <w:t>Education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tcPr>
          <w:p>
            <w:pPr>
              <w:spacing w:after="0"/>
              <w:rPr>
                <w:sz w:val="17"/>
                <w:szCs w:val="17"/>
                <w:color w:val="auto"/>
              </w:rPr>
            </w:pPr>
          </w:p>
        </w:tc>
        <w:tc>
          <w:tcPr>
            <w:tcW w:w="2240" w:type="dxa"/>
            <w:vAlign w:val="bottom"/>
          </w:tcPr>
          <w:p>
            <w:pPr>
              <w:spacing w:after="0"/>
              <w:rPr>
                <w:sz w:val="17"/>
                <w:szCs w:val="17"/>
                <w:color w:val="auto"/>
              </w:rPr>
            </w:pPr>
          </w:p>
        </w:tc>
        <w:tc>
          <w:tcPr>
            <w:tcW w:w="980" w:type="dxa"/>
            <w:vAlign w:val="bottom"/>
          </w:tcPr>
          <w:p>
            <w:pPr>
              <w:ind w:left="800"/>
              <w:spacing w:after="0"/>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w w:val="92"/>
              </w:rPr>
              <w:t>Ms. Tanabe received her bachelor of arts degree in communications from the University of Washington and an M.B.A. from the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0" w:type="dxa"/>
            <w:vAlign w:val="bottom"/>
            <w:tcBorders>
              <w:right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79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5"/>
                <w:szCs w:val="15"/>
                <w:color w:val="auto"/>
              </w:rPr>
              <w:t>University of Hawai‘i at Mānoa.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tcPr>
          <w:p>
            <w:pPr>
              <w:spacing w:after="0"/>
              <w:rPr>
                <w:sz w:val="19"/>
                <w:szCs w:val="19"/>
                <w:color w:val="auto"/>
              </w:rPr>
            </w:pPr>
          </w:p>
        </w:tc>
        <w:tc>
          <w:tcPr>
            <w:tcW w:w="2240" w:type="dxa"/>
            <w:vAlign w:val="bottom"/>
          </w:tcPr>
          <w:p>
            <w:pPr>
              <w:spacing w:after="0"/>
              <w:rPr>
                <w:sz w:val="19"/>
                <w:szCs w:val="19"/>
                <w:color w:val="auto"/>
              </w:rPr>
            </w:pPr>
          </w:p>
        </w:tc>
        <w:tc>
          <w:tcPr>
            <w:tcW w:w="8960" w:type="dxa"/>
            <w:vAlign w:val="bottom"/>
            <w:tcBorders>
              <w:right w:val="single" w:sz="8" w:color="auto"/>
            </w:tcBorders>
            <w:gridSpan w:val="2"/>
          </w:tcPr>
          <w:p>
            <w:pPr>
              <w:ind w:left="480"/>
              <w:spacing w:after="0"/>
              <w:rPr>
                <w:sz w:val="20"/>
                <w:szCs w:val="20"/>
                <w:color w:val="auto"/>
              </w:rPr>
            </w:pPr>
            <w:r>
              <w:rPr>
                <w:rFonts w:ascii="Arial" w:cs="Arial" w:eastAsia="Arial" w:hAnsi="Arial"/>
                <w:sz w:val="16"/>
                <w:szCs w:val="16"/>
                <w:color w:val="auto"/>
              </w:rPr>
              <w:t>Key Experience and Qualifications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tcPr>
          <w:p>
            <w:pPr>
              <w:spacing w:after="0"/>
              <w:rPr>
                <w:sz w:val="16"/>
                <w:szCs w:val="16"/>
                <w:color w:val="auto"/>
              </w:rPr>
            </w:pPr>
          </w:p>
        </w:tc>
        <w:tc>
          <w:tcPr>
            <w:tcW w:w="2240" w:type="dxa"/>
            <w:vAlign w:val="bottom"/>
          </w:tcPr>
          <w:p>
            <w:pPr>
              <w:spacing w:after="0"/>
              <w:rPr>
                <w:sz w:val="16"/>
                <w:szCs w:val="16"/>
                <w:color w:val="auto"/>
              </w:rPr>
            </w:pPr>
          </w:p>
        </w:tc>
        <w:tc>
          <w:tcPr>
            <w:tcW w:w="980" w:type="dxa"/>
            <w:vAlign w:val="bottom"/>
          </w:tcPr>
          <w:p>
            <w:pPr>
              <w:ind w:left="800"/>
              <w:spacing w:after="0"/>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w w:val="95"/>
              </w:rPr>
              <w:t>Ms. Tokioka’s strong leadership and strategic experience in IT and Finance in the insurance industry, a key segment of the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6"/>
              </w:rPr>
              <w:t>markets we serve, combined with her risk management and legal background will bring valuable insights to our boardroom</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5"/>
              </w:rPr>
              <w:t>deliberations at a time of rapidly advancing technologies and changing business models. Her professional experiences and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2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unique skillset make her well qualified to serve on the Board.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0" w:type="dxa"/>
            <w:vAlign w:val="bottom"/>
            <w:tcBorders>
              <w:right w:val="single" w:sz="8" w:color="auto"/>
            </w:tcBorders>
          </w:tcPr>
          <w:p>
            <w:pPr>
              <w:spacing w:after="0"/>
              <w:rPr>
                <w:sz w:val="20"/>
                <w:szCs w:val="20"/>
                <w:color w:val="auto"/>
              </w:rPr>
            </w:pPr>
          </w:p>
        </w:tc>
        <w:tc>
          <w:tcPr>
            <w:tcW w:w="2240" w:type="dxa"/>
            <w:vAlign w:val="bottom"/>
          </w:tcPr>
          <w:p>
            <w:pPr>
              <w:spacing w:after="0"/>
              <w:rPr>
                <w:sz w:val="20"/>
                <w:szCs w:val="20"/>
                <w:color w:val="auto"/>
              </w:rPr>
            </w:pPr>
          </w:p>
        </w:tc>
        <w:tc>
          <w:tcPr>
            <w:tcW w:w="8960" w:type="dxa"/>
            <w:vAlign w:val="bottom"/>
            <w:tcBorders>
              <w:right w:val="single" w:sz="8" w:color="auto"/>
            </w:tcBorders>
            <w:gridSpan w:val="2"/>
          </w:tcPr>
          <w:p>
            <w:pPr>
              <w:ind w:left="480"/>
              <w:spacing w:after="0"/>
              <w:rPr>
                <w:sz w:val="20"/>
                <w:szCs w:val="20"/>
                <w:color w:val="auto"/>
              </w:rPr>
            </w:pPr>
            <w:r>
              <w:rPr>
                <w:rFonts w:ascii="Arial" w:cs="Arial" w:eastAsia="Arial" w:hAnsi="Arial"/>
                <w:sz w:val="16"/>
                <w:szCs w:val="16"/>
                <w:color w:val="auto"/>
              </w:rPr>
              <w:t>Career Highlights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tcPr>
          <w:p>
            <w:pPr>
              <w:spacing w:after="0"/>
              <w:rPr>
                <w:sz w:val="16"/>
                <w:szCs w:val="16"/>
                <w:color w:val="auto"/>
              </w:rPr>
            </w:pPr>
          </w:p>
        </w:tc>
        <w:tc>
          <w:tcPr>
            <w:tcW w:w="2240" w:type="dxa"/>
            <w:vAlign w:val="bottom"/>
          </w:tcPr>
          <w:p>
            <w:pPr>
              <w:spacing w:after="0"/>
              <w:rPr>
                <w:sz w:val="16"/>
                <w:szCs w:val="16"/>
                <w:color w:val="auto"/>
              </w:rPr>
            </w:pPr>
          </w:p>
        </w:tc>
        <w:tc>
          <w:tcPr>
            <w:tcW w:w="980" w:type="dxa"/>
            <w:vAlign w:val="bottom"/>
          </w:tcPr>
          <w:p>
            <w:pPr>
              <w:ind w:left="800"/>
              <w:spacing w:after="0"/>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w w:val="92"/>
              </w:rPr>
              <w:t>Ms. Tokioka serves as Vice President of Special Project at Atlas Insurance Agency. Since joining the company in 2010, she has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0" w:type="dxa"/>
            <w:vAlign w:val="bottom"/>
            <w:tcBorders>
              <w:right w:val="single" w:sz="8" w:color="auto"/>
            </w:tcBorders>
          </w:tcPr>
          <w:p>
            <w:pPr>
              <w:spacing w:after="0"/>
              <w:rPr>
                <w:sz w:val="15"/>
                <w:szCs w:val="15"/>
                <w:color w:val="auto"/>
              </w:rPr>
            </w:pPr>
          </w:p>
        </w:tc>
        <w:tc>
          <w:tcPr>
            <w:tcW w:w="2240" w:type="dxa"/>
            <w:vAlign w:val="bottom"/>
          </w:tcPr>
          <w:p>
            <w:pPr>
              <w:jc w:val="center"/>
              <w:ind w:left="64"/>
              <w:spacing w:after="0" w:line="172" w:lineRule="exact"/>
              <w:rPr>
                <w:sz w:val="20"/>
                <w:szCs w:val="20"/>
                <w:color w:val="auto"/>
              </w:rPr>
            </w:pPr>
            <w:r>
              <w:rPr>
                <w:rFonts w:ascii="Arial" w:cs="Arial" w:eastAsia="Arial" w:hAnsi="Arial"/>
                <w:sz w:val="16"/>
                <w:szCs w:val="16"/>
                <w:color w:val="auto"/>
                <w:w w:val="94"/>
              </w:rPr>
              <w:t>Dana M. Tokioka</w:t>
            </w:r>
          </w:p>
        </w:tc>
        <w:tc>
          <w:tcPr>
            <w:tcW w:w="980" w:type="dxa"/>
            <w:vAlign w:val="bottom"/>
          </w:tcPr>
          <w:p>
            <w:pPr>
              <w:spacing w:after="0"/>
              <w:rPr>
                <w:sz w:val="15"/>
                <w:szCs w:val="15"/>
                <w:color w:val="auto"/>
              </w:rPr>
            </w:pP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w w:val="93"/>
              </w:rPr>
              <w:t>spearheaded and refined numerous initiatives, transforming the business and helping Atlas become recognized as a nationally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tcPr>
          <w:p>
            <w:pPr>
              <w:spacing w:after="0"/>
              <w:rPr>
                <w:sz w:val="12"/>
                <w:szCs w:val="12"/>
                <w:color w:val="auto"/>
              </w:rPr>
            </w:pPr>
          </w:p>
        </w:tc>
        <w:tc>
          <w:tcPr>
            <w:tcW w:w="2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980" w:type="dxa"/>
            <w:vAlign w:val="bottom"/>
            <w:tcBorders>
              <w:right w:val="single" w:sz="8" w:color="auto"/>
            </w:tcBorders>
          </w:tcPr>
          <w:p>
            <w:pPr>
              <w:ind w:left="140"/>
              <w:spacing w:after="0" w:line="149" w:lineRule="exact"/>
              <w:rPr>
                <w:sz w:val="20"/>
                <w:szCs w:val="20"/>
                <w:color w:val="auto"/>
              </w:rPr>
            </w:pPr>
            <w:r>
              <w:rPr>
                <w:rFonts w:ascii="Arial" w:cs="Arial" w:eastAsia="Arial" w:hAnsi="Arial"/>
                <w:sz w:val="15"/>
                <w:szCs w:val="15"/>
                <w:color w:val="auto"/>
                <w:w w:val="98"/>
              </w:rPr>
              <w:t>ranked top 100 independent agency. While at Atlas, she has developed and executed multiple IT initiatives, established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5"/>
              </w:rPr>
              <w:t>financial reporting metrics, and engineered and directed multi-layered risk programs for financial institutions, service-based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rPr>
              <w:t>organizations, construction firms and other business enterprises.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980" w:type="dxa"/>
            <w:vAlign w:val="bottom"/>
          </w:tcPr>
          <w:p>
            <w:pPr>
              <w:ind w:left="800"/>
              <w:spacing w:after="0" w:line="161" w:lineRule="exact"/>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9"/>
              </w:rPr>
              <w:t>Prior to Atlas Insurance, Ms. Tokioka practiced both real estate and corporate law in California, representing numerous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rPr>
              <w:t>technology companies and performing due diligence for financings and M&amp;A transactions. She negotiated terms and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rPr>
              <w:t>conditions for software, hardware, and consulting agreements and for strategic alliances with U.S. and international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5"/>
              </w:rPr>
              <w:t>corporations. Ms. Tokioka also worked for Booz Allen Hamilton as an Economic Business Analyst to perform economic and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2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cost analysis for IT systems as well as strategize financial and programmatic assessments for the U.S. Army.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0" w:type="dxa"/>
            <w:vAlign w:val="bottom"/>
            <w:tcBorders>
              <w:right w:val="single" w:sz="8" w:color="auto"/>
            </w:tcBorders>
          </w:tcPr>
          <w:p>
            <w:pPr>
              <w:spacing w:after="0"/>
              <w:rPr>
                <w:sz w:val="20"/>
                <w:szCs w:val="20"/>
                <w:color w:val="auto"/>
              </w:rPr>
            </w:pPr>
          </w:p>
        </w:tc>
        <w:tc>
          <w:tcPr>
            <w:tcW w:w="2240" w:type="dxa"/>
            <w:vAlign w:val="bottom"/>
          </w:tcPr>
          <w:p>
            <w:pPr>
              <w:spacing w:after="0"/>
              <w:rPr>
                <w:sz w:val="20"/>
                <w:szCs w:val="20"/>
                <w:color w:val="auto"/>
              </w:rPr>
            </w:pPr>
          </w:p>
        </w:tc>
        <w:tc>
          <w:tcPr>
            <w:tcW w:w="8960" w:type="dxa"/>
            <w:vAlign w:val="bottom"/>
            <w:tcBorders>
              <w:right w:val="single" w:sz="8" w:color="auto"/>
            </w:tcBorders>
            <w:gridSpan w:val="2"/>
          </w:tcPr>
          <w:p>
            <w:pPr>
              <w:ind w:left="480"/>
              <w:spacing w:after="0"/>
              <w:rPr>
                <w:sz w:val="20"/>
                <w:szCs w:val="20"/>
                <w:color w:val="auto"/>
              </w:rPr>
            </w:pPr>
            <w:r>
              <w:rPr>
                <w:rFonts w:ascii="Arial" w:cs="Arial" w:eastAsia="Arial" w:hAnsi="Arial"/>
                <w:sz w:val="16"/>
                <w:szCs w:val="16"/>
                <w:color w:val="auto"/>
              </w:rPr>
              <w:t>Other Professional Experience and Community Involvement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tcPr>
          <w:p>
            <w:pPr>
              <w:spacing w:after="0"/>
              <w:rPr>
                <w:sz w:val="16"/>
                <w:szCs w:val="16"/>
                <w:color w:val="auto"/>
              </w:rPr>
            </w:pPr>
          </w:p>
        </w:tc>
        <w:tc>
          <w:tcPr>
            <w:tcW w:w="2240" w:type="dxa"/>
            <w:vAlign w:val="bottom"/>
          </w:tcPr>
          <w:p>
            <w:pPr>
              <w:spacing w:after="0"/>
              <w:rPr>
                <w:sz w:val="16"/>
                <w:szCs w:val="16"/>
                <w:color w:val="auto"/>
              </w:rPr>
            </w:pPr>
          </w:p>
        </w:tc>
        <w:tc>
          <w:tcPr>
            <w:tcW w:w="980" w:type="dxa"/>
            <w:vAlign w:val="bottom"/>
          </w:tcPr>
          <w:p>
            <w:pPr>
              <w:ind w:left="800"/>
              <w:spacing w:after="0"/>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w w:val="93"/>
              </w:rPr>
              <w:t>Ms. Tokioka was a member of the Board of Directors of Tradewind Capital Group, a Hawaii-based investment firm focused 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7"/>
              </w:rPr>
              <w:t>real estate and private equity opportunities and was a board member of IC international, a surplus lines insurance broker.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980" w:type="dxa"/>
            <w:vAlign w:val="bottom"/>
          </w:tcPr>
          <w:p>
            <w:pPr>
              <w:ind w:left="800"/>
              <w:spacing w:after="0" w:line="161" w:lineRule="exact"/>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6"/>
              </w:rPr>
              <w:t>Ms. Tokioka is a dedicated supporter of the Hawaii nonprofit community. She currently is the President of Island Holdings’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6"/>
              </w:rPr>
              <w:t>two foundations, Island Insurance Foundation and Atlas Insurance Agency Foundation, which support over 120 nonprofits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2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w w:val="93"/>
              </w:rPr>
              <w:t>annually. She served as Chair of the Board of Directors of the YWCA Honolulu and previously served on the boards of Hawaii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w w:val="93"/>
              </w:rPr>
              <w:t>Theatre and Hawaii Imin Shiryo Hozon Kai, a nonprofit focused on sharing the Japanese immigrant experience in Hawaii. She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2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w w:val="98"/>
              </w:rPr>
              <w:t>is currently on the Board of the Pacific Asian Center for Entrepreneurship at the UH Mānoa Shidler College of Business.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0" w:type="dxa"/>
            <w:vAlign w:val="bottom"/>
            <w:tcBorders>
              <w:right w:val="single" w:sz="8" w:color="auto"/>
            </w:tcBorders>
          </w:tcPr>
          <w:p>
            <w:pPr>
              <w:spacing w:after="0"/>
              <w:rPr>
                <w:sz w:val="20"/>
                <w:szCs w:val="20"/>
                <w:color w:val="auto"/>
              </w:rPr>
            </w:pPr>
          </w:p>
        </w:tc>
        <w:tc>
          <w:tcPr>
            <w:tcW w:w="2240" w:type="dxa"/>
            <w:vAlign w:val="bottom"/>
          </w:tcPr>
          <w:p>
            <w:pPr>
              <w:spacing w:after="0"/>
              <w:rPr>
                <w:sz w:val="20"/>
                <w:szCs w:val="20"/>
                <w:color w:val="auto"/>
              </w:rPr>
            </w:pPr>
          </w:p>
        </w:tc>
        <w:tc>
          <w:tcPr>
            <w:tcW w:w="8960" w:type="dxa"/>
            <w:vAlign w:val="bottom"/>
            <w:tcBorders>
              <w:right w:val="single" w:sz="8" w:color="auto"/>
            </w:tcBorders>
            <w:gridSpan w:val="2"/>
          </w:tcPr>
          <w:p>
            <w:pPr>
              <w:ind w:left="480"/>
              <w:spacing w:after="0"/>
              <w:rPr>
                <w:sz w:val="20"/>
                <w:szCs w:val="20"/>
                <w:color w:val="auto"/>
              </w:rPr>
            </w:pPr>
            <w:r>
              <w:rPr>
                <w:rFonts w:ascii="Arial" w:cs="Arial" w:eastAsia="Arial" w:hAnsi="Arial"/>
                <w:sz w:val="16"/>
                <w:szCs w:val="16"/>
                <w:color w:val="auto"/>
              </w:rPr>
              <w:t>Education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tcPr>
          <w:p>
            <w:pPr>
              <w:spacing w:after="0"/>
              <w:rPr>
                <w:sz w:val="16"/>
                <w:szCs w:val="16"/>
                <w:color w:val="auto"/>
              </w:rPr>
            </w:pPr>
          </w:p>
        </w:tc>
        <w:tc>
          <w:tcPr>
            <w:tcW w:w="2240" w:type="dxa"/>
            <w:vAlign w:val="bottom"/>
          </w:tcPr>
          <w:p>
            <w:pPr>
              <w:spacing w:after="0"/>
              <w:rPr>
                <w:sz w:val="16"/>
                <w:szCs w:val="16"/>
                <w:color w:val="auto"/>
              </w:rPr>
            </w:pPr>
          </w:p>
        </w:tc>
        <w:tc>
          <w:tcPr>
            <w:tcW w:w="980" w:type="dxa"/>
            <w:vAlign w:val="bottom"/>
          </w:tcPr>
          <w:p>
            <w:pPr>
              <w:ind w:left="800"/>
              <w:spacing w:after="0"/>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w w:val="95"/>
              </w:rPr>
              <w:t>Ms. Tokioka is a graduate of Tufts University with a bachelor of arts degree, cum laude, in history. She received her M.B.A.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3"/>
              </w:rPr>
              <w:t>from the McDonough School of Business at Georgetown University and her Juris Doctor from the Georgetown University Law</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0" w:type="dxa"/>
            <w:vAlign w:val="bottom"/>
            <w:tcBorders>
              <w:right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79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5"/>
                <w:szCs w:val="15"/>
                <w:color w:val="auto"/>
              </w:rPr>
              <w:t>Center.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0"/>
        </w:trPr>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980" w:type="dxa"/>
            <w:vAlign w:val="bottom"/>
          </w:tcPr>
          <w:p>
            <w:pPr>
              <w:ind w:left="2280"/>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7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377825</wp:posOffset>
            </wp:positionH>
            <wp:positionV relativeFrom="paragraph">
              <wp:posOffset>-6309360</wp:posOffset>
            </wp:positionV>
            <wp:extent cx="815340" cy="815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15340" cy="815340"/>
                    </a:xfrm>
                    <a:prstGeom prst="rect">
                      <a:avLst/>
                    </a:prstGeom>
                    <a:noFill/>
                  </pic:spPr>
                </pic:pic>
              </a:graphicData>
            </a:graphic>
          </wp:anchor>
        </w:drawing>
        <w:drawing>
          <wp:anchor simplePos="0" relativeHeight="251657728" behindDoc="1" locked="0" layoutInCell="0" allowOverlap="1">
            <wp:simplePos x="0" y="0"/>
            <wp:positionH relativeFrom="column">
              <wp:posOffset>377825</wp:posOffset>
            </wp:positionH>
            <wp:positionV relativeFrom="paragraph">
              <wp:posOffset>-3667760</wp:posOffset>
            </wp:positionV>
            <wp:extent cx="815340" cy="815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15340" cy="81534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Borders>
              <w:right w:val="single" w:sz="8" w:color="auto"/>
            </w:tcBorders>
          </w:tcPr>
          <w:p>
            <w:pPr>
              <w:spacing w:after="0"/>
              <w:rPr>
                <w:sz w:val="20"/>
                <w:szCs w:val="20"/>
                <w:color w:val="auto"/>
              </w:rPr>
            </w:pPr>
          </w:p>
        </w:tc>
        <w:tc>
          <w:tcPr>
            <w:tcW w:w="2280" w:type="dxa"/>
            <w:vAlign w:val="bottom"/>
            <w:tcBorders>
              <w:top w:val="single" w:sz="8" w:color="auto"/>
              <w:bottom w:val="single" w:sz="8" w:color="auto"/>
            </w:tcBorders>
            <w:shd w:val="clear" w:color="auto" w:fill="086FB8"/>
          </w:tcPr>
          <w:p>
            <w:pPr>
              <w:jc w:val="center"/>
              <w:ind w:left="44"/>
              <w:spacing w:after="0"/>
              <w:rPr>
                <w:sz w:val="20"/>
                <w:szCs w:val="20"/>
                <w:color w:val="auto"/>
              </w:rPr>
            </w:pPr>
            <w:r>
              <w:rPr>
                <w:rFonts w:ascii="Arial" w:cs="Arial" w:eastAsia="Arial" w:hAnsi="Arial"/>
                <w:sz w:val="13"/>
                <w:szCs w:val="13"/>
                <w:color w:val="FFFFFF"/>
                <w:w w:val="92"/>
              </w:rPr>
              <w:t>Name</w:t>
            </w:r>
          </w:p>
        </w:tc>
        <w:tc>
          <w:tcPr>
            <w:tcW w:w="940" w:type="dxa"/>
            <w:vAlign w:val="bottom"/>
            <w:tcBorders>
              <w:top w:val="single" w:sz="8" w:color="auto"/>
              <w:bottom w:val="single" w:sz="8" w:color="auto"/>
            </w:tcBorders>
            <w:shd w:val="clear" w:color="auto" w:fill="086FB8"/>
          </w:tcPr>
          <w:p>
            <w:pPr>
              <w:spacing w:after="0"/>
              <w:rPr>
                <w:sz w:val="20"/>
                <w:szCs w:val="20"/>
                <w:color w:val="auto"/>
              </w:rPr>
            </w:pPr>
          </w:p>
        </w:tc>
        <w:tc>
          <w:tcPr>
            <w:tcW w:w="7980" w:type="dxa"/>
            <w:vAlign w:val="bottom"/>
            <w:tcBorders>
              <w:top w:val="single" w:sz="8" w:color="auto"/>
              <w:bottom w:val="single" w:sz="8" w:color="auto"/>
              <w:right w:val="single" w:sz="8" w:color="auto"/>
            </w:tcBorders>
            <w:shd w:val="clear" w:color="auto" w:fill="086FB8"/>
          </w:tcPr>
          <w:p>
            <w:pPr>
              <w:ind w:left="3320"/>
              <w:spacing w:after="0"/>
              <w:rPr>
                <w:sz w:val="20"/>
                <w:szCs w:val="20"/>
                <w:color w:val="auto"/>
              </w:rPr>
            </w:pPr>
            <w:r>
              <w:rPr>
                <w:rFonts w:ascii="Arial" w:cs="Arial" w:eastAsia="Arial" w:hAnsi="Arial"/>
                <w:sz w:val="13"/>
                <w:szCs w:val="13"/>
                <w:color w:val="FFFFFF"/>
              </w:rPr>
              <w:t>Qualifications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0" w:type="dxa"/>
            <w:vAlign w:val="bottom"/>
            <w:tcBorders>
              <w:right w:val="single" w:sz="8" w:color="auto"/>
            </w:tcBorders>
          </w:tcPr>
          <w:p>
            <w:pPr>
              <w:spacing w:after="0"/>
              <w:rPr>
                <w:sz w:val="20"/>
                <w:szCs w:val="20"/>
                <w:color w:val="auto"/>
              </w:rPr>
            </w:pPr>
          </w:p>
        </w:tc>
        <w:tc>
          <w:tcPr>
            <w:tcW w:w="2280" w:type="dxa"/>
            <w:vAlign w:val="bottom"/>
          </w:tcPr>
          <w:p>
            <w:pPr>
              <w:spacing w:after="0"/>
              <w:rPr>
                <w:sz w:val="20"/>
                <w:szCs w:val="20"/>
                <w:color w:val="auto"/>
              </w:rPr>
            </w:pPr>
          </w:p>
        </w:tc>
        <w:tc>
          <w:tcPr>
            <w:tcW w:w="892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Key Experience and Qualifications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940" w:type="dxa"/>
            <w:vAlign w:val="bottom"/>
          </w:tcPr>
          <w:p>
            <w:pPr>
              <w:ind w:left="760"/>
              <w:spacing w:after="0"/>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w w:val="94"/>
              </w:rPr>
              <w:t>Mr. Vara’s financial and operational background coupled with his senior executive and audit committee experience make him</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9"/>
              </w:rPr>
              <w:t>qualified to serve on the Company’s Board. His community involvement and leadership of Hawaii’s largest health care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w w:val="99"/>
              </w:rPr>
              <w:t>provider and non-governmental employer also bring a valuable perspective of a key segment of the markets we serve.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0" w:type="dxa"/>
            <w:vAlign w:val="bottom"/>
            <w:tcBorders>
              <w:right w:val="single" w:sz="8" w:color="auto"/>
            </w:tcBorders>
          </w:tcPr>
          <w:p>
            <w:pPr>
              <w:spacing w:after="0"/>
              <w:rPr>
                <w:sz w:val="20"/>
                <w:szCs w:val="20"/>
                <w:color w:val="auto"/>
              </w:rPr>
            </w:pPr>
          </w:p>
        </w:tc>
        <w:tc>
          <w:tcPr>
            <w:tcW w:w="2280" w:type="dxa"/>
            <w:vAlign w:val="bottom"/>
          </w:tcPr>
          <w:p>
            <w:pPr>
              <w:spacing w:after="0"/>
              <w:rPr>
                <w:sz w:val="20"/>
                <w:szCs w:val="20"/>
                <w:color w:val="auto"/>
              </w:rPr>
            </w:pPr>
          </w:p>
        </w:tc>
        <w:tc>
          <w:tcPr>
            <w:tcW w:w="892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Career Highlights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tcPr>
          <w:p>
            <w:pPr>
              <w:spacing w:after="0"/>
              <w:rPr>
                <w:sz w:val="19"/>
                <w:szCs w:val="19"/>
                <w:color w:val="auto"/>
              </w:rPr>
            </w:pPr>
          </w:p>
        </w:tc>
        <w:tc>
          <w:tcPr>
            <w:tcW w:w="2280" w:type="dxa"/>
            <w:vAlign w:val="bottom"/>
          </w:tcPr>
          <w:p>
            <w:pPr>
              <w:spacing w:after="0"/>
              <w:rPr>
                <w:sz w:val="19"/>
                <w:szCs w:val="19"/>
                <w:color w:val="auto"/>
              </w:rPr>
            </w:pPr>
          </w:p>
        </w:tc>
        <w:tc>
          <w:tcPr>
            <w:tcW w:w="940" w:type="dxa"/>
            <w:vAlign w:val="bottom"/>
          </w:tcPr>
          <w:p>
            <w:pPr>
              <w:ind w:left="760"/>
              <w:spacing w:after="0"/>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Mr. Vara was named Hawaii Business Magazine CEO of the Year 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80" w:type="dxa"/>
            <w:vAlign w:val="bottom"/>
            <w:vMerge w:val="restart"/>
          </w:tcPr>
          <w:p>
            <w:pPr>
              <w:jc w:val="center"/>
              <w:ind w:left="24"/>
              <w:spacing w:after="0"/>
              <w:rPr>
                <w:sz w:val="20"/>
                <w:szCs w:val="20"/>
                <w:color w:val="auto"/>
              </w:rPr>
            </w:pPr>
            <w:r>
              <w:rPr>
                <w:rFonts w:ascii="Arial" w:cs="Arial" w:eastAsia="Arial" w:hAnsi="Arial"/>
                <w:sz w:val="16"/>
                <w:szCs w:val="16"/>
                <w:color w:val="auto"/>
                <w:w w:val="87"/>
              </w:rPr>
              <w:t>Raymond P. Vara, Jr.</w:t>
            </w:r>
          </w:p>
        </w:tc>
        <w:tc>
          <w:tcPr>
            <w:tcW w:w="940" w:type="dxa"/>
            <w:vAlign w:val="bottom"/>
          </w:tcPr>
          <w:p>
            <w:pPr>
              <w:ind w:left="760"/>
              <w:spacing w:after="0" w:line="161" w:lineRule="exact"/>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2"/>
              </w:rPr>
              <w:t>As President and CEO of Hawaii Pacific Health, he oversees Hawaii’s largest health care provider comprised of Straub Medical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8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9"/>
              </w:rPr>
              <w:t>Center, Kapi‘olani Medical Center for Women &amp; Children, Pali Momi Medical Center, Wilcox Medical Center and Kauai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rPr>
              <w:t>Medical Clinic.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80" w:type="dxa"/>
            <w:vAlign w:val="bottom"/>
          </w:tcPr>
          <w:p>
            <w:pPr>
              <w:spacing w:after="0"/>
              <w:rPr>
                <w:sz w:val="13"/>
                <w:szCs w:val="13"/>
                <w:color w:val="auto"/>
              </w:rPr>
            </w:pPr>
          </w:p>
        </w:tc>
        <w:tc>
          <w:tcPr>
            <w:tcW w:w="940" w:type="dxa"/>
            <w:vAlign w:val="bottom"/>
          </w:tcPr>
          <w:p>
            <w:pPr>
              <w:ind w:left="760"/>
              <w:spacing w:after="0" w:line="161" w:lineRule="exact"/>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4"/>
              </w:rPr>
              <w:t>Prior to his appointment to CEO in 2012, he served as its Executive Vice President and Chief Executive Officer of Operations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rPr>
              <w:t>of Hawaii Pacific Health since 2004.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80" w:type="dxa"/>
            <w:vAlign w:val="bottom"/>
          </w:tcPr>
          <w:p>
            <w:pPr>
              <w:spacing w:after="0"/>
              <w:rPr>
                <w:sz w:val="13"/>
                <w:szCs w:val="13"/>
                <w:color w:val="auto"/>
              </w:rPr>
            </w:pPr>
          </w:p>
        </w:tc>
        <w:tc>
          <w:tcPr>
            <w:tcW w:w="940" w:type="dxa"/>
            <w:vAlign w:val="bottom"/>
          </w:tcPr>
          <w:p>
            <w:pPr>
              <w:ind w:left="760"/>
              <w:spacing w:after="0" w:line="161" w:lineRule="exact"/>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3"/>
              </w:rPr>
              <w:t>Mr. Vara also served as Chief Financial Officer and Chief Executive Officer for Los Alamos Medical Center in New Mexico, an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integrated health care service provider.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0" w:type="dxa"/>
            <w:vAlign w:val="bottom"/>
            <w:tcBorders>
              <w:right w:val="single" w:sz="8" w:color="auto"/>
            </w:tcBorders>
          </w:tcPr>
          <w:p>
            <w:pPr>
              <w:spacing w:after="0"/>
              <w:rPr>
                <w:sz w:val="20"/>
                <w:szCs w:val="20"/>
                <w:color w:val="auto"/>
              </w:rPr>
            </w:pPr>
          </w:p>
        </w:tc>
        <w:tc>
          <w:tcPr>
            <w:tcW w:w="2280" w:type="dxa"/>
            <w:vAlign w:val="bottom"/>
          </w:tcPr>
          <w:p>
            <w:pPr>
              <w:spacing w:after="0"/>
              <w:rPr>
                <w:sz w:val="20"/>
                <w:szCs w:val="20"/>
                <w:color w:val="auto"/>
              </w:rPr>
            </w:pPr>
          </w:p>
        </w:tc>
        <w:tc>
          <w:tcPr>
            <w:tcW w:w="892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Other Professional Experience and Community Involvement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940" w:type="dxa"/>
            <w:vAlign w:val="bottom"/>
          </w:tcPr>
          <w:p>
            <w:pPr>
              <w:ind w:left="760"/>
              <w:spacing w:after="0"/>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w w:val="99"/>
              </w:rPr>
              <w:t>Prior to joining the private sector, Mr. Vara held various positions in the United States Army, including Controller for the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6"/>
              </w:rPr>
              <w:t>Army’s Northwestern Healthcare Network, Deputy Chief Financial Officer of the Madigan Army Medical Center in Tacoma,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8"/>
              </w:rPr>
              <w:t>Washington, and Assistant Administrator and Chief Financial Officer of Bassett Army Community Hospital in Fairbanks,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rPr>
              <w:t>Alaska.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80" w:type="dxa"/>
            <w:vAlign w:val="bottom"/>
          </w:tcPr>
          <w:p>
            <w:pPr>
              <w:spacing w:after="0"/>
              <w:rPr>
                <w:sz w:val="13"/>
                <w:szCs w:val="13"/>
                <w:color w:val="auto"/>
              </w:rPr>
            </w:pPr>
          </w:p>
        </w:tc>
        <w:tc>
          <w:tcPr>
            <w:tcW w:w="940" w:type="dxa"/>
            <w:vAlign w:val="bottom"/>
          </w:tcPr>
          <w:p>
            <w:pPr>
              <w:ind w:left="760"/>
              <w:spacing w:after="0" w:line="161" w:lineRule="exact"/>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rPr>
              <w:t>Mr. Vara is active in the Hawaii community and serves as a director on several boards, including Hawai‘i Executive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4"/>
              </w:rPr>
              <w:t>Collaborative, Island Holdings, Inc., Island Insurance Company, Ltd., Tradewind Capital Group, American Heart Association-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6"/>
              </w:rPr>
              <w:t>National Board (Chairman), and as Trustee of Blood Bank of Hawaii and Hawaii Pacific University (Chair of Compensation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Committee).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0" w:type="dxa"/>
            <w:vAlign w:val="bottom"/>
            <w:tcBorders>
              <w:right w:val="single" w:sz="8" w:color="auto"/>
            </w:tcBorders>
          </w:tcPr>
          <w:p>
            <w:pPr>
              <w:spacing w:after="0"/>
              <w:rPr>
                <w:sz w:val="20"/>
                <w:szCs w:val="20"/>
                <w:color w:val="auto"/>
              </w:rPr>
            </w:pPr>
          </w:p>
        </w:tc>
        <w:tc>
          <w:tcPr>
            <w:tcW w:w="2280" w:type="dxa"/>
            <w:vAlign w:val="bottom"/>
          </w:tcPr>
          <w:p>
            <w:pPr>
              <w:spacing w:after="0"/>
              <w:rPr>
                <w:sz w:val="20"/>
                <w:szCs w:val="20"/>
                <w:color w:val="auto"/>
              </w:rPr>
            </w:pPr>
          </w:p>
        </w:tc>
        <w:tc>
          <w:tcPr>
            <w:tcW w:w="892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Education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940" w:type="dxa"/>
            <w:vAlign w:val="bottom"/>
          </w:tcPr>
          <w:p>
            <w:pPr>
              <w:ind w:left="760"/>
              <w:spacing w:after="0"/>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w w:val="93"/>
              </w:rPr>
              <w:t>Mr. Vara holds a bachelor’s degree in business administration from Hawaii Pacific University and received his M.B.A. from the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University of Alaska at Fairbanks.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8920" w:type="dxa"/>
            <w:vAlign w:val="bottom"/>
            <w:tcBorders>
              <w:bottom w:val="single" w:sz="8" w:color="auto"/>
              <w:right w:val="single" w:sz="8" w:color="auto"/>
            </w:tcBorders>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tcPr>
          <w:p>
            <w:pPr>
              <w:spacing w:after="0"/>
              <w:rPr>
                <w:sz w:val="21"/>
                <w:szCs w:val="21"/>
                <w:color w:val="auto"/>
              </w:rPr>
            </w:pPr>
          </w:p>
        </w:tc>
        <w:tc>
          <w:tcPr>
            <w:tcW w:w="2280" w:type="dxa"/>
            <w:vAlign w:val="bottom"/>
          </w:tcPr>
          <w:p>
            <w:pPr>
              <w:spacing w:after="0"/>
              <w:rPr>
                <w:sz w:val="21"/>
                <w:szCs w:val="21"/>
                <w:color w:val="auto"/>
              </w:rPr>
            </w:pPr>
          </w:p>
        </w:tc>
        <w:tc>
          <w:tcPr>
            <w:tcW w:w="892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Key Experience and Qualifications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940" w:type="dxa"/>
            <w:vAlign w:val="bottom"/>
          </w:tcPr>
          <w:p>
            <w:pPr>
              <w:ind w:left="760"/>
              <w:spacing w:after="0"/>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w w:val="95"/>
              </w:rPr>
              <w:t>As Owner and Director of C.S. Wo &amp; Sons, Ltd. (a furniture retailer) since 1984, Mr. Wo has led this third-generation family-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1"/>
              </w:rPr>
              <w:t>owned and operated business to become Hawaii’s largest furniture retailer, ranking it among the Top 250 companies in the State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3"/>
              </w:rPr>
              <w:t>of Hawaii and among the Top 100 furniture retailers in the nation. Mr. Wo’s knowledge and experience in operating a business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3"/>
              </w:rPr>
              <w:t>in the Company’s core market as a major employer in the State and deep involvement in the community qualify him for service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on the Board and as Chair of the Human Resources &amp; Compensation Committee.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0" w:type="dxa"/>
            <w:vAlign w:val="bottom"/>
            <w:tcBorders>
              <w:right w:val="single" w:sz="8" w:color="auto"/>
            </w:tcBorders>
          </w:tcPr>
          <w:p>
            <w:pPr>
              <w:spacing w:after="0"/>
              <w:rPr>
                <w:sz w:val="20"/>
                <w:szCs w:val="20"/>
                <w:color w:val="auto"/>
              </w:rPr>
            </w:pPr>
          </w:p>
        </w:tc>
        <w:tc>
          <w:tcPr>
            <w:tcW w:w="2280" w:type="dxa"/>
            <w:vAlign w:val="bottom"/>
          </w:tcPr>
          <w:p>
            <w:pPr>
              <w:spacing w:after="0"/>
              <w:rPr>
                <w:sz w:val="20"/>
                <w:szCs w:val="20"/>
                <w:color w:val="auto"/>
              </w:rPr>
            </w:pPr>
          </w:p>
        </w:tc>
        <w:tc>
          <w:tcPr>
            <w:tcW w:w="892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Career Highlights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0" w:type="dxa"/>
            <w:vAlign w:val="bottom"/>
            <w:tcBorders>
              <w:right w:val="single" w:sz="8" w:color="auto"/>
            </w:tcBorders>
          </w:tcPr>
          <w:p>
            <w:pPr>
              <w:spacing w:after="0"/>
              <w:rPr>
                <w:sz w:val="20"/>
                <w:szCs w:val="20"/>
                <w:color w:val="auto"/>
              </w:rPr>
            </w:pPr>
          </w:p>
        </w:tc>
        <w:tc>
          <w:tcPr>
            <w:tcW w:w="2280" w:type="dxa"/>
            <w:vAlign w:val="bottom"/>
          </w:tcPr>
          <w:p>
            <w:pPr>
              <w:jc w:val="center"/>
              <w:ind w:left="24"/>
              <w:spacing w:after="0"/>
              <w:rPr>
                <w:sz w:val="20"/>
                <w:szCs w:val="20"/>
                <w:color w:val="auto"/>
              </w:rPr>
            </w:pPr>
            <w:r>
              <w:rPr>
                <w:rFonts w:ascii="Arial" w:cs="Arial" w:eastAsia="Arial" w:hAnsi="Arial"/>
                <w:sz w:val="16"/>
                <w:szCs w:val="16"/>
                <w:color w:val="auto"/>
                <w:w w:val="89"/>
              </w:rPr>
              <w:t>Robert W. Wo</w:t>
            </w:r>
          </w:p>
        </w:tc>
        <w:tc>
          <w:tcPr>
            <w:tcW w:w="940" w:type="dxa"/>
            <w:vAlign w:val="bottom"/>
          </w:tcPr>
          <w:p>
            <w:pPr>
              <w:ind w:left="760"/>
              <w:spacing w:after="0"/>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Mr. Wo has been the Owner and Director of C.S. Wo &amp; Sons, Ltd. since 1984.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0" w:type="dxa"/>
            <w:vAlign w:val="bottom"/>
            <w:tcBorders>
              <w:right w:val="single" w:sz="8" w:color="auto"/>
            </w:tcBorders>
          </w:tcPr>
          <w:p>
            <w:pPr>
              <w:spacing w:after="0"/>
              <w:rPr>
                <w:sz w:val="20"/>
                <w:szCs w:val="20"/>
                <w:color w:val="auto"/>
              </w:rPr>
            </w:pPr>
          </w:p>
        </w:tc>
        <w:tc>
          <w:tcPr>
            <w:tcW w:w="2280" w:type="dxa"/>
            <w:vAlign w:val="bottom"/>
          </w:tcPr>
          <w:p>
            <w:pPr>
              <w:spacing w:after="0"/>
              <w:rPr>
                <w:sz w:val="20"/>
                <w:szCs w:val="20"/>
                <w:color w:val="auto"/>
              </w:rPr>
            </w:pPr>
          </w:p>
        </w:tc>
        <w:tc>
          <w:tcPr>
            <w:tcW w:w="892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Other Professional Experience and Community Involvement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940" w:type="dxa"/>
            <w:vAlign w:val="bottom"/>
          </w:tcPr>
          <w:p>
            <w:pPr>
              <w:ind w:left="760"/>
              <w:spacing w:after="0"/>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w w:val="97"/>
              </w:rPr>
              <w:t>Mr. Wo is active in the community, having served on the boards of Aloha United Way, Junior Achievement of Hawaii, and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6"/>
              </w:rPr>
              <w:t>Retail Merchants of Hawaii. He currently serves on the boards of Hawaii Medical Service Association, Assets School, and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Iolani School.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2280" w:type="dxa"/>
            <w:vAlign w:val="bottom"/>
          </w:tcPr>
          <w:p>
            <w:pPr>
              <w:spacing w:after="0"/>
              <w:rPr>
                <w:sz w:val="13"/>
                <w:szCs w:val="13"/>
                <w:color w:val="auto"/>
              </w:rPr>
            </w:pPr>
          </w:p>
        </w:tc>
        <w:tc>
          <w:tcPr>
            <w:tcW w:w="940" w:type="dxa"/>
            <w:vAlign w:val="bottom"/>
          </w:tcPr>
          <w:p>
            <w:pPr>
              <w:ind w:left="760"/>
              <w:spacing w:after="0" w:line="161" w:lineRule="exact"/>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line="161" w:lineRule="exact"/>
              <w:rPr>
                <w:sz w:val="20"/>
                <w:szCs w:val="20"/>
                <w:color w:val="auto"/>
              </w:rPr>
            </w:pPr>
            <w:r>
              <w:rPr>
                <w:rFonts w:ascii="Arial" w:cs="Arial" w:eastAsia="Arial" w:hAnsi="Arial"/>
                <w:sz w:val="15"/>
                <w:szCs w:val="15"/>
                <w:color w:val="auto"/>
                <w:w w:val="94"/>
              </w:rPr>
              <w:t>Mr. Wo is a member of the Hawaii Business Roundtable whose mission is to promote the overall economic vitality and social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health of Hawaii.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0" w:type="dxa"/>
            <w:vAlign w:val="bottom"/>
            <w:tcBorders>
              <w:right w:val="single" w:sz="8" w:color="auto"/>
            </w:tcBorders>
          </w:tcPr>
          <w:p>
            <w:pPr>
              <w:spacing w:after="0"/>
              <w:rPr>
                <w:sz w:val="20"/>
                <w:szCs w:val="20"/>
                <w:color w:val="auto"/>
              </w:rPr>
            </w:pPr>
          </w:p>
        </w:tc>
        <w:tc>
          <w:tcPr>
            <w:tcW w:w="2280" w:type="dxa"/>
            <w:vAlign w:val="bottom"/>
          </w:tcPr>
          <w:p>
            <w:pPr>
              <w:spacing w:after="0"/>
              <w:rPr>
                <w:sz w:val="20"/>
                <w:szCs w:val="20"/>
                <w:color w:val="auto"/>
              </w:rPr>
            </w:pPr>
          </w:p>
        </w:tc>
        <w:tc>
          <w:tcPr>
            <w:tcW w:w="892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Education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940" w:type="dxa"/>
            <w:vAlign w:val="bottom"/>
          </w:tcPr>
          <w:p>
            <w:pPr>
              <w:ind w:left="760"/>
              <w:spacing w:after="0"/>
              <w:rPr>
                <w:sz w:val="20"/>
                <w:szCs w:val="20"/>
                <w:color w:val="auto"/>
              </w:rPr>
            </w:pPr>
            <w:r>
              <w:rPr>
                <w:rFonts w:ascii="Arial" w:cs="Arial" w:eastAsia="Arial" w:hAnsi="Arial"/>
                <w:sz w:val="15"/>
                <w:szCs w:val="15"/>
                <w:color w:val="auto"/>
              </w:rPr>
              <w:t>•</w:t>
            </w:r>
          </w:p>
        </w:tc>
        <w:tc>
          <w:tcPr>
            <w:tcW w:w="79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w w:val="94"/>
              </w:rPr>
              <w:t>Mr. Wo received his bachelor’s degree in economics from Stanford University and earned his M.B.A. from Harvard Business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0" w:type="dxa"/>
            <w:vAlign w:val="bottom"/>
            <w:tcBorders>
              <w:right w:val="single" w:sz="8" w:color="auto"/>
            </w:tcBorders>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79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5"/>
                <w:szCs w:val="15"/>
                <w:color w:val="auto"/>
              </w:rPr>
              <w:t>School.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3"/>
        </w:trPr>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980" w:type="dxa"/>
            <w:vAlign w:val="bottom"/>
          </w:tcPr>
          <w:p>
            <w:pPr>
              <w:ind w:left="2280"/>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377825</wp:posOffset>
            </wp:positionH>
            <wp:positionV relativeFrom="paragraph">
              <wp:posOffset>-5527675</wp:posOffset>
            </wp:positionV>
            <wp:extent cx="815340" cy="815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15340" cy="815340"/>
                    </a:xfrm>
                    <a:prstGeom prst="rect">
                      <a:avLst/>
                    </a:prstGeom>
                    <a:noFill/>
                  </pic:spPr>
                </pic:pic>
              </a:graphicData>
            </a:graphic>
          </wp:anchor>
        </w:drawing>
        <w:drawing>
          <wp:anchor simplePos="0" relativeHeight="251657728" behindDoc="1" locked="0" layoutInCell="0" allowOverlap="1">
            <wp:simplePos x="0" y="0"/>
            <wp:positionH relativeFrom="column">
              <wp:posOffset>377825</wp:posOffset>
            </wp:positionH>
            <wp:positionV relativeFrom="paragraph">
              <wp:posOffset>-2521585</wp:posOffset>
            </wp:positionV>
            <wp:extent cx="815340" cy="815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15340" cy="81534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BENEFICIAL OWNERSHIP</w:t>
      </w:r>
    </w:p>
    <w:p>
      <w:pPr>
        <w:spacing w:after="0" w:line="235" w:lineRule="exact"/>
        <w:rPr>
          <w:sz w:val="20"/>
          <w:szCs w:val="20"/>
          <w:color w:val="auto"/>
        </w:rPr>
      </w:pPr>
    </w:p>
    <w:p>
      <w:pPr>
        <w:ind w:right="200" w:firstLine="546"/>
        <w:spacing w:after="0" w:line="288" w:lineRule="auto"/>
        <w:rPr>
          <w:sz w:val="20"/>
          <w:szCs w:val="20"/>
          <w:color w:val="auto"/>
        </w:rPr>
      </w:pPr>
      <w:r>
        <w:rPr>
          <w:rFonts w:ascii="Arial" w:cs="Arial" w:eastAsia="Arial" w:hAnsi="Arial"/>
          <w:sz w:val="15"/>
          <w:szCs w:val="15"/>
          <w:color w:val="auto"/>
        </w:rPr>
        <w:t>At the close of business on January 31, 2022, Bank of Hawaii Corporation had 40,378,165 shares of its common stock outstanding. As of January 31, 2022, the following table shows the amount of Bank of Hawaii Corporation common stock owned by (i) each person or entity who is known by us to beneficially own more than five percent of Bank of Hawaii Corporation’s common stock; (ii) each current director and director nominee, (iii) each of the executive officers named in the Summary Compensation Table (the “named executive officers”), and (iv) all of our directors and executive officers as a group. Unless otherwise indicated and subject to applicable community property and similar statutes, all persons listed below have sole voting and investment power over all shares of common stock beneficially owned. Share ownership has been computed in accordance with SEC rules and does not necessarily indicate beneficial ownership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7133590" cy="5723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3590" cy="5723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shd w:val="clear" w:color="auto" w:fill="086FB8"/>
          </w:tcPr>
          <w:p>
            <w:pPr>
              <w:spacing w:after="0"/>
              <w:rPr>
                <w:sz w:val="14"/>
                <w:szCs w:val="14"/>
                <w:color w:val="auto"/>
              </w:rPr>
            </w:pPr>
          </w:p>
        </w:tc>
        <w:tc>
          <w:tcPr>
            <w:tcW w:w="1800" w:type="dxa"/>
            <w:vAlign w:val="bottom"/>
            <w:shd w:val="clear" w:color="auto" w:fill="086FB8"/>
          </w:tcPr>
          <w:p>
            <w:pPr>
              <w:spacing w:after="0"/>
              <w:rPr>
                <w:sz w:val="14"/>
                <w:szCs w:val="14"/>
                <w:color w:val="auto"/>
              </w:rPr>
            </w:pPr>
          </w:p>
        </w:tc>
        <w:tc>
          <w:tcPr>
            <w:tcW w:w="1060" w:type="dxa"/>
            <w:vAlign w:val="bottom"/>
            <w:shd w:val="clear" w:color="auto" w:fill="086FB8"/>
          </w:tcPr>
          <w:p>
            <w:pPr>
              <w:spacing w:after="0"/>
              <w:rPr>
                <w:sz w:val="14"/>
                <w:szCs w:val="14"/>
                <w:color w:val="auto"/>
              </w:rPr>
            </w:pPr>
          </w:p>
        </w:tc>
        <w:tc>
          <w:tcPr>
            <w:tcW w:w="280" w:type="dxa"/>
            <w:vAlign w:val="bottom"/>
            <w:shd w:val="clear" w:color="auto" w:fill="086FB8"/>
          </w:tcPr>
          <w:p>
            <w:pPr>
              <w:spacing w:after="0"/>
              <w:rPr>
                <w:sz w:val="14"/>
                <w:szCs w:val="14"/>
                <w:color w:val="auto"/>
              </w:rPr>
            </w:pPr>
          </w:p>
        </w:tc>
        <w:tc>
          <w:tcPr>
            <w:tcW w:w="1940" w:type="dxa"/>
            <w:vAlign w:val="bottom"/>
            <w:shd w:val="clear" w:color="auto" w:fill="086FB8"/>
          </w:tcPr>
          <w:p>
            <w:pPr>
              <w:spacing w:after="0"/>
              <w:rPr>
                <w:sz w:val="14"/>
                <w:szCs w:val="14"/>
                <w:color w:val="auto"/>
              </w:rPr>
            </w:pPr>
          </w:p>
        </w:tc>
        <w:tc>
          <w:tcPr>
            <w:tcW w:w="1260" w:type="dxa"/>
            <w:vAlign w:val="bottom"/>
            <w:vMerge w:val="restart"/>
            <w:shd w:val="clear" w:color="auto" w:fill="086FB8"/>
          </w:tcPr>
          <w:p>
            <w:pPr>
              <w:jc w:val="center"/>
              <w:ind w:left="521"/>
              <w:spacing w:after="0"/>
              <w:rPr>
                <w:sz w:val="20"/>
                <w:szCs w:val="20"/>
                <w:color w:val="auto"/>
              </w:rPr>
            </w:pPr>
            <w:r>
              <w:rPr>
                <w:rFonts w:ascii="Arial" w:cs="Arial" w:eastAsia="Arial" w:hAnsi="Arial"/>
                <w:sz w:val="14"/>
                <w:szCs w:val="14"/>
                <w:b w:val="1"/>
                <w:bCs w:val="1"/>
                <w:color w:val="FFFFFF"/>
                <w:w w:val="94"/>
              </w:rPr>
              <w:t>Number of</w:t>
            </w:r>
          </w:p>
        </w:tc>
        <w:tc>
          <w:tcPr>
            <w:tcW w:w="680" w:type="dxa"/>
            <w:vAlign w:val="bottom"/>
            <w:shd w:val="clear" w:color="auto" w:fill="086FB8"/>
          </w:tcPr>
          <w:p>
            <w:pPr>
              <w:spacing w:after="0"/>
              <w:rPr>
                <w:sz w:val="14"/>
                <w:szCs w:val="14"/>
                <w:color w:val="auto"/>
              </w:rPr>
            </w:pPr>
          </w:p>
        </w:tc>
        <w:tc>
          <w:tcPr>
            <w:tcW w:w="1420" w:type="dxa"/>
            <w:vAlign w:val="bottom"/>
            <w:vMerge w:val="restart"/>
            <w:shd w:val="clear" w:color="auto" w:fill="086FB8"/>
          </w:tcPr>
          <w:p>
            <w:pPr>
              <w:jc w:val="center"/>
              <w:ind w:right="241"/>
              <w:spacing w:after="0"/>
              <w:rPr>
                <w:sz w:val="20"/>
                <w:szCs w:val="20"/>
                <w:color w:val="auto"/>
              </w:rPr>
            </w:pPr>
            <w:r>
              <w:rPr>
                <w:rFonts w:ascii="Arial" w:cs="Arial" w:eastAsia="Arial" w:hAnsi="Arial"/>
                <w:sz w:val="14"/>
                <w:szCs w:val="14"/>
                <w:b w:val="1"/>
                <w:bCs w:val="1"/>
                <w:color w:val="FFFFFF"/>
                <w:w w:val="94"/>
              </w:rPr>
              <w:t>Right to</w:t>
            </w:r>
          </w:p>
        </w:tc>
        <w:tc>
          <w:tcPr>
            <w:tcW w:w="1240" w:type="dxa"/>
            <w:vAlign w:val="bottom"/>
            <w:shd w:val="clear" w:color="auto" w:fill="086FB8"/>
          </w:tcPr>
          <w:p>
            <w:pPr>
              <w:spacing w:after="0"/>
              <w:rPr>
                <w:sz w:val="14"/>
                <w:szCs w:val="14"/>
                <w:color w:val="auto"/>
              </w:rPr>
            </w:pPr>
          </w:p>
        </w:tc>
        <w:tc>
          <w:tcPr>
            <w:tcW w:w="1400" w:type="dxa"/>
            <w:vAlign w:val="bottom"/>
            <w:shd w:val="clear" w:color="auto" w:fill="086FB8"/>
          </w:tcPr>
          <w:p>
            <w:pPr>
              <w:jc w:val="center"/>
              <w:ind w:right="141"/>
              <w:spacing w:after="0"/>
              <w:rPr>
                <w:sz w:val="20"/>
                <w:szCs w:val="20"/>
                <w:color w:val="auto"/>
              </w:rPr>
            </w:pPr>
            <w:r>
              <w:rPr>
                <w:rFonts w:ascii="Arial" w:cs="Arial" w:eastAsia="Arial" w:hAnsi="Arial"/>
                <w:sz w:val="14"/>
                <w:szCs w:val="14"/>
                <w:b w:val="1"/>
                <w:bCs w:val="1"/>
                <w:color w:val="FFFFFF"/>
                <w:w w:val="90"/>
              </w:rPr>
              <w:t>Percent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40" w:type="dxa"/>
            <w:vAlign w:val="bottom"/>
            <w:shd w:val="clear" w:color="auto" w:fill="086FB8"/>
          </w:tcPr>
          <w:p>
            <w:pPr>
              <w:spacing w:after="0"/>
              <w:rPr>
                <w:sz w:val="12"/>
                <w:szCs w:val="12"/>
                <w:color w:val="auto"/>
              </w:rPr>
            </w:pPr>
          </w:p>
        </w:tc>
        <w:tc>
          <w:tcPr>
            <w:tcW w:w="1800" w:type="dxa"/>
            <w:vAlign w:val="bottom"/>
            <w:shd w:val="clear" w:color="auto" w:fill="086FB8"/>
          </w:tcPr>
          <w:p>
            <w:pPr>
              <w:spacing w:after="0"/>
              <w:rPr>
                <w:sz w:val="12"/>
                <w:szCs w:val="12"/>
                <w:color w:val="auto"/>
              </w:rPr>
            </w:pPr>
          </w:p>
        </w:tc>
        <w:tc>
          <w:tcPr>
            <w:tcW w:w="1060" w:type="dxa"/>
            <w:vAlign w:val="bottom"/>
            <w:shd w:val="clear" w:color="auto" w:fill="086FB8"/>
          </w:tcPr>
          <w:p>
            <w:pPr>
              <w:spacing w:after="0"/>
              <w:rPr>
                <w:sz w:val="12"/>
                <w:szCs w:val="12"/>
                <w:color w:val="auto"/>
              </w:rPr>
            </w:pPr>
          </w:p>
        </w:tc>
        <w:tc>
          <w:tcPr>
            <w:tcW w:w="280" w:type="dxa"/>
            <w:vAlign w:val="bottom"/>
            <w:shd w:val="clear" w:color="auto" w:fill="086FB8"/>
          </w:tcPr>
          <w:p>
            <w:pPr>
              <w:spacing w:after="0"/>
              <w:rPr>
                <w:sz w:val="12"/>
                <w:szCs w:val="12"/>
                <w:color w:val="auto"/>
              </w:rPr>
            </w:pPr>
          </w:p>
        </w:tc>
        <w:tc>
          <w:tcPr>
            <w:tcW w:w="1940" w:type="dxa"/>
            <w:vAlign w:val="bottom"/>
            <w:shd w:val="clear" w:color="auto" w:fill="086FB8"/>
          </w:tcPr>
          <w:p>
            <w:pPr>
              <w:spacing w:after="0"/>
              <w:rPr>
                <w:sz w:val="12"/>
                <w:szCs w:val="12"/>
                <w:color w:val="auto"/>
              </w:rPr>
            </w:pPr>
          </w:p>
        </w:tc>
        <w:tc>
          <w:tcPr>
            <w:tcW w:w="1260" w:type="dxa"/>
            <w:vAlign w:val="bottom"/>
            <w:vMerge w:val="continue"/>
            <w:shd w:val="clear" w:color="auto" w:fill="086FB8"/>
          </w:tcPr>
          <w:p>
            <w:pPr>
              <w:spacing w:after="0"/>
              <w:rPr>
                <w:sz w:val="12"/>
                <w:szCs w:val="12"/>
                <w:color w:val="auto"/>
              </w:rPr>
            </w:pPr>
          </w:p>
        </w:tc>
        <w:tc>
          <w:tcPr>
            <w:tcW w:w="680" w:type="dxa"/>
            <w:vAlign w:val="bottom"/>
            <w:shd w:val="clear" w:color="auto" w:fill="086FB8"/>
          </w:tcPr>
          <w:p>
            <w:pPr>
              <w:spacing w:after="0"/>
              <w:rPr>
                <w:sz w:val="12"/>
                <w:szCs w:val="12"/>
                <w:color w:val="auto"/>
              </w:rPr>
            </w:pPr>
          </w:p>
        </w:tc>
        <w:tc>
          <w:tcPr>
            <w:tcW w:w="1420" w:type="dxa"/>
            <w:vAlign w:val="bottom"/>
            <w:vMerge w:val="continue"/>
            <w:shd w:val="clear" w:color="auto" w:fill="086FB8"/>
          </w:tcPr>
          <w:p>
            <w:pPr>
              <w:spacing w:after="0"/>
              <w:rPr>
                <w:sz w:val="12"/>
                <w:szCs w:val="12"/>
                <w:color w:val="auto"/>
              </w:rPr>
            </w:pPr>
          </w:p>
        </w:tc>
        <w:tc>
          <w:tcPr>
            <w:tcW w:w="1240" w:type="dxa"/>
            <w:vAlign w:val="bottom"/>
            <w:shd w:val="clear" w:color="auto" w:fill="086FB8"/>
          </w:tcPr>
          <w:p>
            <w:pPr>
              <w:spacing w:after="0"/>
              <w:rPr>
                <w:sz w:val="12"/>
                <w:szCs w:val="12"/>
                <w:color w:val="auto"/>
              </w:rPr>
            </w:pPr>
          </w:p>
        </w:tc>
        <w:tc>
          <w:tcPr>
            <w:tcW w:w="1400" w:type="dxa"/>
            <w:vAlign w:val="bottom"/>
            <w:shd w:val="clear" w:color="auto" w:fill="086FB8"/>
          </w:tcPr>
          <w:p>
            <w:pPr>
              <w:jc w:val="center"/>
              <w:ind w:right="121"/>
              <w:spacing w:after="0" w:line="147" w:lineRule="exact"/>
              <w:rPr>
                <w:sz w:val="20"/>
                <w:szCs w:val="20"/>
                <w:color w:val="auto"/>
              </w:rPr>
            </w:pPr>
            <w:r>
              <w:rPr>
                <w:rFonts w:ascii="Arial" w:cs="Arial" w:eastAsia="Arial" w:hAnsi="Arial"/>
                <w:sz w:val="14"/>
                <w:szCs w:val="14"/>
                <w:b w:val="1"/>
                <w:bCs w:val="1"/>
                <w:color w:val="FFFFFF"/>
                <w:w w:val="92"/>
              </w:rPr>
              <w:t>Outstanding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40" w:type="dxa"/>
            <w:vAlign w:val="bottom"/>
            <w:shd w:val="clear" w:color="auto" w:fill="086FB8"/>
          </w:tcPr>
          <w:p>
            <w:pPr>
              <w:spacing w:after="0"/>
              <w:rPr>
                <w:sz w:val="12"/>
                <w:szCs w:val="12"/>
                <w:color w:val="auto"/>
              </w:rPr>
            </w:pPr>
          </w:p>
        </w:tc>
        <w:tc>
          <w:tcPr>
            <w:tcW w:w="1800" w:type="dxa"/>
            <w:vAlign w:val="bottom"/>
            <w:shd w:val="clear" w:color="auto" w:fill="086FB8"/>
          </w:tcPr>
          <w:p>
            <w:pPr>
              <w:spacing w:after="0"/>
              <w:rPr>
                <w:sz w:val="12"/>
                <w:szCs w:val="12"/>
                <w:color w:val="auto"/>
              </w:rPr>
            </w:pPr>
          </w:p>
        </w:tc>
        <w:tc>
          <w:tcPr>
            <w:tcW w:w="1060" w:type="dxa"/>
            <w:vAlign w:val="bottom"/>
            <w:shd w:val="clear" w:color="auto" w:fill="086FB8"/>
          </w:tcPr>
          <w:p>
            <w:pPr>
              <w:spacing w:after="0"/>
              <w:rPr>
                <w:sz w:val="12"/>
                <w:szCs w:val="12"/>
                <w:color w:val="auto"/>
              </w:rPr>
            </w:pPr>
          </w:p>
        </w:tc>
        <w:tc>
          <w:tcPr>
            <w:tcW w:w="280" w:type="dxa"/>
            <w:vAlign w:val="bottom"/>
            <w:shd w:val="clear" w:color="auto" w:fill="086FB8"/>
          </w:tcPr>
          <w:p>
            <w:pPr>
              <w:spacing w:after="0"/>
              <w:rPr>
                <w:sz w:val="12"/>
                <w:szCs w:val="12"/>
                <w:color w:val="auto"/>
              </w:rPr>
            </w:pPr>
          </w:p>
        </w:tc>
        <w:tc>
          <w:tcPr>
            <w:tcW w:w="1940" w:type="dxa"/>
            <w:vAlign w:val="bottom"/>
            <w:shd w:val="clear" w:color="auto" w:fill="086FB8"/>
          </w:tcPr>
          <w:p>
            <w:pPr>
              <w:spacing w:after="0"/>
              <w:rPr>
                <w:sz w:val="12"/>
                <w:szCs w:val="12"/>
                <w:color w:val="auto"/>
              </w:rPr>
            </w:pPr>
          </w:p>
        </w:tc>
        <w:tc>
          <w:tcPr>
            <w:tcW w:w="1260" w:type="dxa"/>
            <w:vAlign w:val="bottom"/>
            <w:shd w:val="clear" w:color="auto" w:fill="086FB8"/>
          </w:tcPr>
          <w:p>
            <w:pPr>
              <w:jc w:val="center"/>
              <w:ind w:left="521"/>
              <w:spacing w:after="0" w:line="147" w:lineRule="exact"/>
              <w:rPr>
                <w:sz w:val="20"/>
                <w:szCs w:val="20"/>
                <w:color w:val="auto"/>
              </w:rPr>
            </w:pPr>
            <w:r>
              <w:rPr>
                <w:rFonts w:ascii="Arial" w:cs="Arial" w:eastAsia="Arial" w:hAnsi="Arial"/>
                <w:sz w:val="14"/>
                <w:szCs w:val="14"/>
                <w:b w:val="1"/>
                <w:bCs w:val="1"/>
                <w:color w:val="FFFFFF"/>
                <w:w w:val="89"/>
              </w:rPr>
              <w:t>Shares</w:t>
            </w:r>
          </w:p>
        </w:tc>
        <w:tc>
          <w:tcPr>
            <w:tcW w:w="680" w:type="dxa"/>
            <w:vAlign w:val="bottom"/>
            <w:shd w:val="clear" w:color="auto" w:fill="086FB8"/>
          </w:tcPr>
          <w:p>
            <w:pPr>
              <w:spacing w:after="0"/>
              <w:rPr>
                <w:sz w:val="12"/>
                <w:szCs w:val="12"/>
                <w:color w:val="auto"/>
              </w:rPr>
            </w:pPr>
          </w:p>
        </w:tc>
        <w:tc>
          <w:tcPr>
            <w:tcW w:w="1420" w:type="dxa"/>
            <w:vAlign w:val="bottom"/>
            <w:shd w:val="clear" w:color="auto" w:fill="086FB8"/>
          </w:tcPr>
          <w:p>
            <w:pPr>
              <w:jc w:val="center"/>
              <w:ind w:right="221"/>
              <w:spacing w:after="0" w:line="147" w:lineRule="exact"/>
              <w:rPr>
                <w:sz w:val="20"/>
                <w:szCs w:val="20"/>
                <w:color w:val="auto"/>
              </w:rPr>
            </w:pPr>
            <w:r>
              <w:rPr>
                <w:rFonts w:ascii="Arial" w:cs="Arial" w:eastAsia="Arial" w:hAnsi="Arial"/>
                <w:sz w:val="14"/>
                <w:szCs w:val="14"/>
                <w:b w:val="1"/>
                <w:bCs w:val="1"/>
                <w:color w:val="FFFFFF"/>
                <w:w w:val="91"/>
              </w:rPr>
              <w:t>Acquire</w:t>
            </w:r>
          </w:p>
        </w:tc>
        <w:tc>
          <w:tcPr>
            <w:tcW w:w="1240" w:type="dxa"/>
            <w:vAlign w:val="bottom"/>
            <w:shd w:val="clear" w:color="auto" w:fill="086FB8"/>
          </w:tcPr>
          <w:p>
            <w:pPr>
              <w:spacing w:after="0"/>
              <w:rPr>
                <w:sz w:val="12"/>
                <w:szCs w:val="12"/>
                <w:color w:val="auto"/>
              </w:rPr>
            </w:pPr>
          </w:p>
        </w:tc>
        <w:tc>
          <w:tcPr>
            <w:tcW w:w="1400" w:type="dxa"/>
            <w:vAlign w:val="bottom"/>
            <w:shd w:val="clear" w:color="auto" w:fill="086FB8"/>
          </w:tcPr>
          <w:p>
            <w:pPr>
              <w:jc w:val="center"/>
              <w:ind w:right="121"/>
              <w:spacing w:after="0" w:line="147" w:lineRule="exact"/>
              <w:rPr>
                <w:sz w:val="20"/>
                <w:szCs w:val="20"/>
                <w:color w:val="auto"/>
              </w:rPr>
            </w:pPr>
            <w:r>
              <w:rPr>
                <w:rFonts w:ascii="Arial" w:cs="Arial" w:eastAsia="Arial" w:hAnsi="Arial"/>
                <w:sz w:val="14"/>
                <w:szCs w:val="14"/>
                <w:b w:val="1"/>
                <w:bCs w:val="1"/>
                <w:color w:val="FFFFFF"/>
                <w:w w:val="86"/>
              </w:rPr>
              <w:t>Shares as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40" w:type="dxa"/>
            <w:vAlign w:val="bottom"/>
            <w:shd w:val="clear" w:color="auto" w:fill="086FB8"/>
          </w:tcPr>
          <w:p>
            <w:pPr>
              <w:spacing w:after="0"/>
              <w:rPr>
                <w:sz w:val="12"/>
                <w:szCs w:val="12"/>
                <w:color w:val="auto"/>
              </w:rPr>
            </w:pPr>
          </w:p>
        </w:tc>
        <w:tc>
          <w:tcPr>
            <w:tcW w:w="5080" w:type="dxa"/>
            <w:vAlign w:val="bottom"/>
            <w:gridSpan w:val="4"/>
            <w:vMerge w:val="restart"/>
            <w:shd w:val="clear" w:color="auto" w:fill="086FB8"/>
          </w:tcPr>
          <w:p>
            <w:pPr>
              <w:spacing w:after="0"/>
              <w:rPr>
                <w:sz w:val="20"/>
                <w:szCs w:val="20"/>
                <w:color w:val="auto"/>
              </w:rPr>
            </w:pPr>
            <w:r>
              <w:rPr>
                <w:rFonts w:ascii="Arial" w:cs="Arial" w:eastAsia="Arial" w:hAnsi="Arial"/>
                <w:sz w:val="14"/>
                <w:szCs w:val="14"/>
                <w:b w:val="1"/>
                <w:bCs w:val="1"/>
                <w:color w:val="FFFFFF"/>
              </w:rPr>
              <w:t>Name</w:t>
            </w:r>
          </w:p>
        </w:tc>
        <w:tc>
          <w:tcPr>
            <w:tcW w:w="1940" w:type="dxa"/>
            <w:vAlign w:val="bottom"/>
            <w:gridSpan w:val="2"/>
            <w:shd w:val="clear" w:color="auto" w:fill="086FB8"/>
          </w:tcPr>
          <w:p>
            <w:pPr>
              <w:jc w:val="center"/>
              <w:ind w:right="20"/>
              <w:spacing w:after="0" w:line="147" w:lineRule="exact"/>
              <w:rPr>
                <w:sz w:val="20"/>
                <w:szCs w:val="20"/>
                <w:color w:val="auto"/>
              </w:rPr>
            </w:pPr>
            <w:r>
              <w:rPr>
                <w:rFonts w:ascii="Arial" w:cs="Arial" w:eastAsia="Arial" w:hAnsi="Arial"/>
                <w:sz w:val="14"/>
                <w:szCs w:val="14"/>
                <w:b w:val="1"/>
                <w:bCs w:val="1"/>
                <w:color w:val="FFFFFF"/>
                <w:w w:val="92"/>
              </w:rPr>
              <w:t>Beneficially</w:t>
            </w:r>
          </w:p>
        </w:tc>
        <w:tc>
          <w:tcPr>
            <w:tcW w:w="1420" w:type="dxa"/>
            <w:vAlign w:val="bottom"/>
            <w:shd w:val="clear" w:color="auto" w:fill="086FB8"/>
          </w:tcPr>
          <w:p>
            <w:pPr>
              <w:jc w:val="center"/>
              <w:ind w:right="241"/>
              <w:spacing w:after="0" w:line="147" w:lineRule="exact"/>
              <w:rPr>
                <w:sz w:val="20"/>
                <w:szCs w:val="20"/>
                <w:color w:val="auto"/>
              </w:rPr>
            </w:pPr>
            <w:r>
              <w:rPr>
                <w:rFonts w:ascii="Arial" w:cs="Arial" w:eastAsia="Arial" w:hAnsi="Arial"/>
                <w:sz w:val="14"/>
                <w:szCs w:val="14"/>
                <w:b w:val="1"/>
                <w:bCs w:val="1"/>
                <w:color w:val="FFFFFF"/>
                <w:w w:val="98"/>
              </w:rPr>
              <w:t>Within</w:t>
            </w:r>
          </w:p>
        </w:tc>
        <w:tc>
          <w:tcPr>
            <w:tcW w:w="1240" w:type="dxa"/>
            <w:vAlign w:val="bottom"/>
            <w:vMerge w:val="restart"/>
            <w:shd w:val="clear" w:color="auto" w:fill="086FB8"/>
          </w:tcPr>
          <w:p>
            <w:pPr>
              <w:jc w:val="right"/>
              <w:ind w:right="520"/>
              <w:spacing w:after="0"/>
              <w:rPr>
                <w:sz w:val="20"/>
                <w:szCs w:val="20"/>
                <w:color w:val="auto"/>
              </w:rPr>
            </w:pPr>
            <w:r>
              <w:rPr>
                <w:rFonts w:ascii="Arial" w:cs="Arial" w:eastAsia="Arial" w:hAnsi="Arial"/>
                <w:sz w:val="14"/>
                <w:szCs w:val="14"/>
                <w:b w:val="1"/>
                <w:bCs w:val="1"/>
                <w:color w:val="FFFFFF"/>
              </w:rPr>
              <w:t>Total</w:t>
            </w:r>
          </w:p>
        </w:tc>
        <w:tc>
          <w:tcPr>
            <w:tcW w:w="1400" w:type="dxa"/>
            <w:vAlign w:val="bottom"/>
            <w:shd w:val="clear" w:color="auto" w:fill="086FB8"/>
          </w:tcPr>
          <w:p>
            <w:pPr>
              <w:jc w:val="center"/>
              <w:ind w:right="121"/>
              <w:spacing w:after="0" w:line="147" w:lineRule="exact"/>
              <w:rPr>
                <w:sz w:val="20"/>
                <w:szCs w:val="20"/>
                <w:color w:val="auto"/>
              </w:rPr>
            </w:pPr>
            <w:r>
              <w:rPr>
                <w:rFonts w:ascii="Arial" w:cs="Arial" w:eastAsia="Arial" w:hAnsi="Arial"/>
                <w:sz w:val="14"/>
                <w:szCs w:val="14"/>
                <w:b w:val="1"/>
                <w:bCs w:val="1"/>
                <w:color w:val="FFFFFF"/>
                <w:w w:val="93"/>
              </w:rPr>
              <w:t>January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40" w:type="dxa"/>
            <w:vAlign w:val="bottom"/>
            <w:tcBorders>
              <w:bottom w:val="single" w:sz="8" w:color="auto"/>
            </w:tcBorders>
            <w:shd w:val="clear" w:color="auto" w:fill="086FB8"/>
          </w:tcPr>
          <w:p>
            <w:pPr>
              <w:spacing w:after="0"/>
              <w:rPr>
                <w:sz w:val="14"/>
                <w:szCs w:val="14"/>
                <w:color w:val="auto"/>
              </w:rPr>
            </w:pPr>
          </w:p>
        </w:tc>
        <w:tc>
          <w:tcPr>
            <w:tcW w:w="5080" w:type="dxa"/>
            <w:vAlign w:val="bottom"/>
            <w:tcBorders>
              <w:bottom w:val="single" w:sz="8" w:color="auto"/>
            </w:tcBorders>
            <w:gridSpan w:val="4"/>
            <w:vMerge w:val="continue"/>
            <w:shd w:val="clear" w:color="auto" w:fill="086FB8"/>
          </w:tcPr>
          <w:p>
            <w:pPr>
              <w:spacing w:after="0"/>
              <w:rPr>
                <w:sz w:val="14"/>
                <w:szCs w:val="14"/>
                <w:color w:val="auto"/>
              </w:rPr>
            </w:pPr>
          </w:p>
        </w:tc>
        <w:tc>
          <w:tcPr>
            <w:tcW w:w="1260" w:type="dxa"/>
            <w:vAlign w:val="bottom"/>
            <w:tcBorders>
              <w:bottom w:val="single" w:sz="8" w:color="auto"/>
            </w:tcBorders>
            <w:shd w:val="clear" w:color="auto" w:fill="086FB8"/>
          </w:tcPr>
          <w:p>
            <w:pPr>
              <w:jc w:val="center"/>
              <w:ind w:left="501"/>
              <w:spacing w:after="0"/>
              <w:rPr>
                <w:sz w:val="20"/>
                <w:szCs w:val="20"/>
                <w:color w:val="auto"/>
              </w:rPr>
            </w:pPr>
            <w:r>
              <w:rPr>
                <w:rFonts w:ascii="Arial" w:cs="Arial" w:eastAsia="Arial" w:hAnsi="Arial"/>
                <w:sz w:val="14"/>
                <w:szCs w:val="14"/>
                <w:b w:val="1"/>
                <w:bCs w:val="1"/>
                <w:color w:val="FFFFFF"/>
                <w:w w:val="94"/>
              </w:rPr>
              <w:t>Owned</w:t>
            </w:r>
          </w:p>
        </w:tc>
        <w:tc>
          <w:tcPr>
            <w:tcW w:w="680" w:type="dxa"/>
            <w:vAlign w:val="bottom"/>
            <w:tcBorders>
              <w:bottom w:val="single" w:sz="8" w:color="auto"/>
            </w:tcBorders>
            <w:shd w:val="clear" w:color="auto" w:fill="086FB8"/>
          </w:tcPr>
          <w:p>
            <w:pPr>
              <w:spacing w:after="0"/>
              <w:rPr>
                <w:sz w:val="14"/>
                <w:szCs w:val="14"/>
                <w:color w:val="auto"/>
              </w:rPr>
            </w:pPr>
          </w:p>
        </w:tc>
        <w:tc>
          <w:tcPr>
            <w:tcW w:w="1420" w:type="dxa"/>
            <w:vAlign w:val="bottom"/>
            <w:tcBorders>
              <w:bottom w:val="single" w:sz="8" w:color="auto"/>
            </w:tcBorders>
            <w:shd w:val="clear" w:color="auto" w:fill="086FB8"/>
          </w:tcPr>
          <w:p>
            <w:pPr>
              <w:jc w:val="center"/>
              <w:ind w:right="221"/>
              <w:spacing w:after="0"/>
              <w:rPr>
                <w:sz w:val="20"/>
                <w:szCs w:val="20"/>
                <w:color w:val="auto"/>
              </w:rPr>
            </w:pPr>
            <w:r>
              <w:rPr>
                <w:rFonts w:ascii="Arial" w:cs="Arial" w:eastAsia="Arial" w:hAnsi="Arial"/>
                <w:sz w:val="14"/>
                <w:szCs w:val="14"/>
                <w:b w:val="1"/>
                <w:bCs w:val="1"/>
                <w:color w:val="FFFFFF"/>
                <w:w w:val="90"/>
              </w:rPr>
              <w:t>60 Days</w:t>
            </w:r>
          </w:p>
        </w:tc>
        <w:tc>
          <w:tcPr>
            <w:tcW w:w="1240" w:type="dxa"/>
            <w:vAlign w:val="bottom"/>
            <w:tcBorders>
              <w:bottom w:val="single" w:sz="8" w:color="auto"/>
            </w:tcBorders>
            <w:vMerge w:val="continue"/>
            <w:shd w:val="clear" w:color="auto" w:fill="086FB8"/>
          </w:tcPr>
          <w:p>
            <w:pPr>
              <w:spacing w:after="0"/>
              <w:rPr>
                <w:sz w:val="14"/>
                <w:szCs w:val="14"/>
                <w:color w:val="auto"/>
              </w:rPr>
            </w:pPr>
          </w:p>
        </w:tc>
        <w:tc>
          <w:tcPr>
            <w:tcW w:w="1400" w:type="dxa"/>
            <w:vAlign w:val="bottom"/>
            <w:tcBorders>
              <w:bottom w:val="single" w:sz="8" w:color="auto"/>
            </w:tcBorders>
            <w:shd w:val="clear" w:color="auto" w:fill="086FB8"/>
          </w:tcPr>
          <w:p>
            <w:pPr>
              <w:jc w:val="center"/>
              <w:ind w:right="121"/>
              <w:spacing w:after="0"/>
              <w:rPr>
                <w:sz w:val="20"/>
                <w:szCs w:val="20"/>
                <w:color w:val="auto"/>
              </w:rPr>
            </w:pPr>
            <w:r>
              <w:rPr>
                <w:rFonts w:ascii="Arial" w:cs="Arial" w:eastAsia="Arial" w:hAnsi="Arial"/>
                <w:sz w:val="14"/>
                <w:szCs w:val="14"/>
                <w:b w:val="1"/>
                <w:bCs w:val="1"/>
                <w:color w:val="FFFFFF"/>
                <w:w w:val="89"/>
              </w:rPr>
              <w:t>2022</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40" w:type="dxa"/>
            <w:vAlign w:val="bottom"/>
          </w:tcPr>
          <w:p>
            <w:pPr>
              <w:spacing w:after="0"/>
              <w:rPr>
                <w:sz w:val="14"/>
                <w:szCs w:val="14"/>
                <w:color w:val="auto"/>
              </w:rPr>
            </w:pPr>
          </w:p>
        </w:tc>
        <w:tc>
          <w:tcPr>
            <w:tcW w:w="3140" w:type="dxa"/>
            <w:vAlign w:val="bottom"/>
            <w:tcBorders>
              <w:bottom w:val="single" w:sz="8" w:color="auto"/>
            </w:tcBorders>
            <w:gridSpan w:val="3"/>
          </w:tcPr>
          <w:p>
            <w:pPr>
              <w:spacing w:after="0" w:line="168" w:lineRule="exact"/>
              <w:rPr>
                <w:sz w:val="20"/>
                <w:szCs w:val="20"/>
                <w:color w:val="auto"/>
              </w:rPr>
            </w:pPr>
            <w:r>
              <w:rPr>
                <w:rFonts w:ascii="Arial" w:cs="Arial" w:eastAsia="Arial" w:hAnsi="Arial"/>
                <w:sz w:val="16"/>
                <w:szCs w:val="16"/>
                <w:b w:val="1"/>
                <w:bCs w:val="1"/>
                <w:color w:val="auto"/>
                <w:w w:val="90"/>
              </w:rPr>
              <w:t>More than Five Percent Beneficial Ownership</w:t>
            </w:r>
          </w:p>
        </w:tc>
        <w:tc>
          <w:tcPr>
            <w:tcW w:w="1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40" w:type="dxa"/>
            <w:vAlign w:val="bottom"/>
          </w:tcPr>
          <w:p>
            <w:pPr>
              <w:spacing w:after="0"/>
              <w:rPr>
                <w:sz w:val="19"/>
                <w:szCs w:val="19"/>
                <w:color w:val="auto"/>
              </w:rPr>
            </w:pPr>
          </w:p>
        </w:tc>
        <w:tc>
          <w:tcPr>
            <w:tcW w:w="5080" w:type="dxa"/>
            <w:vAlign w:val="bottom"/>
            <w:gridSpan w:val="4"/>
          </w:tcPr>
          <w:p>
            <w:pPr>
              <w:spacing w:after="0"/>
              <w:rPr>
                <w:sz w:val="20"/>
                <w:szCs w:val="20"/>
                <w:color w:val="auto"/>
              </w:rPr>
            </w:pPr>
            <w:r>
              <w:rPr>
                <w:rFonts w:ascii="Arial" w:cs="Arial" w:eastAsia="Arial" w:hAnsi="Arial"/>
                <w:sz w:val="16"/>
                <w:szCs w:val="16"/>
                <w:color w:val="auto"/>
              </w:rPr>
              <w:t>The Vanguard Group</w:t>
            </w: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40" w:type="dxa"/>
            <w:vAlign w:val="bottom"/>
          </w:tcPr>
          <w:p>
            <w:pPr>
              <w:spacing w:after="0"/>
              <w:rPr>
                <w:sz w:val="17"/>
                <w:szCs w:val="17"/>
                <w:color w:val="auto"/>
              </w:rPr>
            </w:pPr>
          </w:p>
        </w:tc>
        <w:tc>
          <w:tcPr>
            <w:tcW w:w="5080" w:type="dxa"/>
            <w:vAlign w:val="bottom"/>
            <w:gridSpan w:val="4"/>
          </w:tcPr>
          <w:p>
            <w:pPr>
              <w:ind w:left="120"/>
              <w:spacing w:after="0"/>
              <w:rPr>
                <w:sz w:val="20"/>
                <w:szCs w:val="20"/>
                <w:color w:val="auto"/>
              </w:rPr>
            </w:pPr>
            <w:r>
              <w:rPr>
                <w:rFonts w:ascii="Arial" w:cs="Arial" w:eastAsia="Arial" w:hAnsi="Arial"/>
                <w:sz w:val="16"/>
                <w:szCs w:val="16"/>
                <w:color w:val="auto"/>
              </w:rPr>
              <w:t>100 Vanguard Blvd.</w:t>
            </w: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0" w:type="dxa"/>
            <w:vAlign w:val="bottom"/>
          </w:tcPr>
          <w:p>
            <w:pPr>
              <w:spacing w:after="0"/>
              <w:rPr>
                <w:sz w:val="17"/>
                <w:szCs w:val="17"/>
                <w:color w:val="auto"/>
              </w:rPr>
            </w:pPr>
          </w:p>
        </w:tc>
        <w:tc>
          <w:tcPr>
            <w:tcW w:w="5080" w:type="dxa"/>
            <w:vAlign w:val="bottom"/>
            <w:gridSpan w:val="4"/>
          </w:tcPr>
          <w:p>
            <w:pPr>
              <w:ind w:left="120"/>
              <w:spacing w:after="0"/>
              <w:rPr>
                <w:sz w:val="20"/>
                <w:szCs w:val="20"/>
                <w:color w:val="auto"/>
              </w:rPr>
            </w:pPr>
            <w:r>
              <w:rPr>
                <w:rFonts w:ascii="Arial" w:cs="Arial" w:eastAsia="Arial" w:hAnsi="Arial"/>
                <w:sz w:val="16"/>
                <w:szCs w:val="16"/>
                <w:color w:val="auto"/>
              </w:rPr>
              <w:t>Malvern, Pennsylvania 19355</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3,841,480</w:t>
            </w:r>
          </w:p>
        </w:tc>
        <w:tc>
          <w:tcPr>
            <w:tcW w:w="680" w:type="dxa"/>
            <w:vAlign w:val="bottom"/>
          </w:tcPr>
          <w:p>
            <w:pPr>
              <w:ind w:left="20"/>
              <w:spacing w:after="0"/>
              <w:rPr>
                <w:sz w:val="20"/>
                <w:szCs w:val="20"/>
                <w:color w:val="auto"/>
              </w:rPr>
            </w:pPr>
            <w:r>
              <w:rPr>
                <w:rFonts w:ascii="Arial" w:cs="Arial" w:eastAsia="Arial" w:hAnsi="Arial"/>
                <w:sz w:val="16"/>
                <w:szCs w:val="16"/>
                <w:color w:val="auto"/>
              </w:rPr>
              <w:t>(1)</w:t>
            </w:r>
          </w:p>
        </w:tc>
        <w:tc>
          <w:tcPr>
            <w:tcW w:w="1420" w:type="dxa"/>
            <w:vAlign w:val="bottom"/>
          </w:tcPr>
          <w:p>
            <w:pPr>
              <w:ind w:left="9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3,841,480</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9.55%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5080" w:type="dxa"/>
            <w:vAlign w:val="bottom"/>
            <w:gridSpan w:val="4"/>
          </w:tcPr>
          <w:p>
            <w:pPr>
              <w:spacing w:after="0"/>
              <w:rPr>
                <w:sz w:val="20"/>
                <w:szCs w:val="20"/>
                <w:color w:val="auto"/>
              </w:rPr>
            </w:pPr>
            <w:r>
              <w:rPr>
                <w:rFonts w:ascii="Arial" w:cs="Arial" w:eastAsia="Arial" w:hAnsi="Arial"/>
                <w:sz w:val="16"/>
                <w:szCs w:val="16"/>
                <w:color w:val="auto"/>
              </w:rPr>
              <w:t>BlackRock, Inc.</w:t>
            </w: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40" w:type="dxa"/>
            <w:vAlign w:val="bottom"/>
          </w:tcPr>
          <w:p>
            <w:pPr>
              <w:spacing w:after="0"/>
              <w:rPr>
                <w:sz w:val="17"/>
                <w:szCs w:val="17"/>
                <w:color w:val="auto"/>
              </w:rPr>
            </w:pPr>
          </w:p>
        </w:tc>
        <w:tc>
          <w:tcPr>
            <w:tcW w:w="5080" w:type="dxa"/>
            <w:vAlign w:val="bottom"/>
            <w:gridSpan w:val="4"/>
          </w:tcPr>
          <w:p>
            <w:pPr>
              <w:ind w:left="120"/>
              <w:spacing w:after="0"/>
              <w:rPr>
                <w:sz w:val="20"/>
                <w:szCs w:val="20"/>
                <w:color w:val="auto"/>
              </w:rPr>
            </w:pPr>
            <w:r>
              <w:rPr>
                <w:rFonts w:ascii="Arial" w:cs="Arial" w:eastAsia="Arial" w:hAnsi="Arial"/>
                <w:sz w:val="16"/>
                <w:szCs w:val="16"/>
                <w:color w:val="auto"/>
              </w:rPr>
              <w:t>55 East 52nd Street</w:t>
            </w: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0" w:type="dxa"/>
            <w:vAlign w:val="bottom"/>
          </w:tcPr>
          <w:p>
            <w:pPr>
              <w:spacing w:after="0"/>
              <w:rPr>
                <w:sz w:val="17"/>
                <w:szCs w:val="17"/>
                <w:color w:val="auto"/>
              </w:rPr>
            </w:pPr>
          </w:p>
        </w:tc>
        <w:tc>
          <w:tcPr>
            <w:tcW w:w="5080" w:type="dxa"/>
            <w:vAlign w:val="bottom"/>
            <w:gridSpan w:val="4"/>
          </w:tcPr>
          <w:p>
            <w:pPr>
              <w:ind w:left="120"/>
              <w:spacing w:after="0"/>
              <w:rPr>
                <w:sz w:val="20"/>
                <w:szCs w:val="20"/>
                <w:color w:val="auto"/>
              </w:rPr>
            </w:pPr>
            <w:r>
              <w:rPr>
                <w:rFonts w:ascii="Arial" w:cs="Arial" w:eastAsia="Arial" w:hAnsi="Arial"/>
                <w:sz w:val="16"/>
                <w:szCs w:val="16"/>
                <w:color w:val="auto"/>
              </w:rPr>
              <w:t>New York, New York 10055</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3,801,808</w:t>
            </w:r>
          </w:p>
        </w:tc>
        <w:tc>
          <w:tcPr>
            <w:tcW w:w="680" w:type="dxa"/>
            <w:vAlign w:val="bottom"/>
          </w:tcPr>
          <w:p>
            <w:pPr>
              <w:ind w:left="20"/>
              <w:spacing w:after="0"/>
              <w:rPr>
                <w:sz w:val="20"/>
                <w:szCs w:val="20"/>
                <w:color w:val="auto"/>
              </w:rPr>
            </w:pPr>
            <w:r>
              <w:rPr>
                <w:rFonts w:ascii="Arial" w:cs="Arial" w:eastAsia="Arial" w:hAnsi="Arial"/>
                <w:sz w:val="16"/>
                <w:szCs w:val="16"/>
                <w:color w:val="auto"/>
              </w:rPr>
              <w:t>(2)</w:t>
            </w:r>
          </w:p>
        </w:tc>
        <w:tc>
          <w:tcPr>
            <w:tcW w:w="1420" w:type="dxa"/>
            <w:vAlign w:val="bottom"/>
          </w:tcPr>
          <w:p>
            <w:pPr>
              <w:ind w:left="9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3,801,808</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9.40%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5080" w:type="dxa"/>
            <w:vAlign w:val="bottom"/>
            <w:gridSpan w:val="4"/>
          </w:tcPr>
          <w:p>
            <w:pPr>
              <w:spacing w:after="0"/>
              <w:rPr>
                <w:sz w:val="20"/>
                <w:szCs w:val="20"/>
                <w:color w:val="auto"/>
              </w:rPr>
            </w:pPr>
            <w:r>
              <w:rPr>
                <w:rFonts w:ascii="Arial" w:cs="Arial" w:eastAsia="Arial" w:hAnsi="Arial"/>
                <w:sz w:val="16"/>
                <w:szCs w:val="16"/>
                <w:color w:val="auto"/>
              </w:rPr>
              <w:t>Kayne Anderson Rudnick Investment Management LLC</w:t>
            </w: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40" w:type="dxa"/>
            <w:vAlign w:val="bottom"/>
          </w:tcPr>
          <w:p>
            <w:pPr>
              <w:spacing w:after="0"/>
              <w:rPr>
                <w:sz w:val="17"/>
                <w:szCs w:val="17"/>
                <w:color w:val="auto"/>
              </w:rPr>
            </w:pPr>
          </w:p>
        </w:tc>
        <w:tc>
          <w:tcPr>
            <w:tcW w:w="5080" w:type="dxa"/>
            <w:vAlign w:val="bottom"/>
            <w:gridSpan w:val="4"/>
          </w:tcPr>
          <w:p>
            <w:pPr>
              <w:ind w:left="160"/>
              <w:spacing w:after="0"/>
              <w:rPr>
                <w:sz w:val="20"/>
                <w:szCs w:val="20"/>
                <w:color w:val="auto"/>
              </w:rPr>
            </w:pPr>
            <w:r>
              <w:rPr>
                <w:rFonts w:ascii="Arial" w:cs="Arial" w:eastAsia="Arial" w:hAnsi="Arial"/>
                <w:sz w:val="16"/>
                <w:szCs w:val="16"/>
                <w:color w:val="auto"/>
              </w:rPr>
              <w:t>1800 Avenue of the Stars, 2nd Floor,</w:t>
            </w: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0" w:type="dxa"/>
            <w:vAlign w:val="bottom"/>
          </w:tcPr>
          <w:p>
            <w:pPr>
              <w:spacing w:after="0"/>
              <w:rPr>
                <w:sz w:val="17"/>
                <w:szCs w:val="17"/>
                <w:color w:val="auto"/>
              </w:rPr>
            </w:pPr>
          </w:p>
        </w:tc>
        <w:tc>
          <w:tcPr>
            <w:tcW w:w="5080" w:type="dxa"/>
            <w:vAlign w:val="bottom"/>
            <w:gridSpan w:val="4"/>
          </w:tcPr>
          <w:p>
            <w:pPr>
              <w:ind w:left="160"/>
              <w:spacing w:after="0"/>
              <w:rPr>
                <w:sz w:val="20"/>
                <w:szCs w:val="20"/>
                <w:color w:val="auto"/>
              </w:rPr>
            </w:pPr>
            <w:r>
              <w:rPr>
                <w:rFonts w:ascii="Arial" w:cs="Arial" w:eastAsia="Arial" w:hAnsi="Arial"/>
                <w:sz w:val="16"/>
                <w:szCs w:val="16"/>
                <w:color w:val="auto"/>
              </w:rPr>
              <w:t>Los Angeles, California 90067</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2,714,193</w:t>
            </w:r>
          </w:p>
        </w:tc>
        <w:tc>
          <w:tcPr>
            <w:tcW w:w="680" w:type="dxa"/>
            <w:vAlign w:val="bottom"/>
          </w:tcPr>
          <w:p>
            <w:pPr>
              <w:ind w:left="20"/>
              <w:spacing w:after="0"/>
              <w:rPr>
                <w:sz w:val="20"/>
                <w:szCs w:val="20"/>
                <w:color w:val="auto"/>
              </w:rPr>
            </w:pPr>
            <w:r>
              <w:rPr>
                <w:rFonts w:ascii="Arial" w:cs="Arial" w:eastAsia="Arial" w:hAnsi="Arial"/>
                <w:sz w:val="16"/>
                <w:szCs w:val="16"/>
                <w:color w:val="auto"/>
              </w:rPr>
              <w:t>(3)</w:t>
            </w:r>
          </w:p>
        </w:tc>
        <w:tc>
          <w:tcPr>
            <w:tcW w:w="1420" w:type="dxa"/>
            <w:vAlign w:val="bottom"/>
          </w:tcPr>
          <w:p>
            <w:pPr>
              <w:spacing w:after="0"/>
              <w:rPr>
                <w:sz w:val="17"/>
                <w:szCs w:val="17"/>
                <w:color w:val="auto"/>
              </w:rPr>
            </w:pP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2,714,193</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6.71%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5080" w:type="dxa"/>
            <w:vAlign w:val="bottom"/>
            <w:gridSpan w:val="4"/>
          </w:tcPr>
          <w:p>
            <w:pPr>
              <w:spacing w:after="0"/>
              <w:rPr>
                <w:sz w:val="20"/>
                <w:szCs w:val="20"/>
                <w:color w:val="auto"/>
              </w:rPr>
            </w:pPr>
            <w:r>
              <w:rPr>
                <w:rFonts w:ascii="Arial" w:cs="Arial" w:eastAsia="Arial" w:hAnsi="Arial"/>
                <w:sz w:val="16"/>
                <w:szCs w:val="16"/>
                <w:color w:val="auto"/>
              </w:rPr>
              <w:t>Neuberger Berman Group LLC</w:t>
            </w: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40" w:type="dxa"/>
            <w:vAlign w:val="bottom"/>
          </w:tcPr>
          <w:p>
            <w:pPr>
              <w:spacing w:after="0"/>
              <w:rPr>
                <w:sz w:val="17"/>
                <w:szCs w:val="17"/>
                <w:color w:val="auto"/>
              </w:rPr>
            </w:pPr>
          </w:p>
        </w:tc>
        <w:tc>
          <w:tcPr>
            <w:tcW w:w="5080" w:type="dxa"/>
            <w:vAlign w:val="bottom"/>
            <w:gridSpan w:val="4"/>
          </w:tcPr>
          <w:p>
            <w:pPr>
              <w:ind w:left="120"/>
              <w:spacing w:after="0"/>
              <w:rPr>
                <w:sz w:val="20"/>
                <w:szCs w:val="20"/>
                <w:color w:val="auto"/>
              </w:rPr>
            </w:pPr>
            <w:r>
              <w:rPr>
                <w:rFonts w:ascii="Arial" w:cs="Arial" w:eastAsia="Arial" w:hAnsi="Arial"/>
                <w:sz w:val="16"/>
                <w:szCs w:val="16"/>
                <w:color w:val="auto"/>
              </w:rPr>
              <w:t>1290 Avenue of the Americas</w:t>
            </w: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0" w:type="dxa"/>
            <w:vAlign w:val="bottom"/>
          </w:tcPr>
          <w:p>
            <w:pPr>
              <w:spacing w:after="0"/>
              <w:rPr>
                <w:sz w:val="17"/>
                <w:szCs w:val="17"/>
                <w:color w:val="auto"/>
              </w:rPr>
            </w:pPr>
          </w:p>
        </w:tc>
        <w:tc>
          <w:tcPr>
            <w:tcW w:w="5080" w:type="dxa"/>
            <w:vAlign w:val="bottom"/>
            <w:gridSpan w:val="4"/>
          </w:tcPr>
          <w:p>
            <w:pPr>
              <w:ind w:left="120"/>
              <w:spacing w:after="0"/>
              <w:rPr>
                <w:sz w:val="20"/>
                <w:szCs w:val="20"/>
                <w:color w:val="auto"/>
              </w:rPr>
            </w:pPr>
            <w:r>
              <w:rPr>
                <w:rFonts w:ascii="Arial" w:cs="Arial" w:eastAsia="Arial" w:hAnsi="Arial"/>
                <w:sz w:val="16"/>
                <w:szCs w:val="16"/>
                <w:color w:val="auto"/>
              </w:rPr>
              <w:t>New York, New York 10104</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2,602,515</w:t>
            </w:r>
          </w:p>
        </w:tc>
        <w:tc>
          <w:tcPr>
            <w:tcW w:w="680" w:type="dxa"/>
            <w:vAlign w:val="bottom"/>
          </w:tcPr>
          <w:p>
            <w:pPr>
              <w:ind w:left="20"/>
              <w:spacing w:after="0"/>
              <w:rPr>
                <w:sz w:val="20"/>
                <w:szCs w:val="20"/>
                <w:color w:val="auto"/>
              </w:rPr>
            </w:pPr>
            <w:r>
              <w:rPr>
                <w:rFonts w:ascii="Arial" w:cs="Arial" w:eastAsia="Arial" w:hAnsi="Arial"/>
                <w:sz w:val="16"/>
                <w:szCs w:val="16"/>
                <w:color w:val="auto"/>
              </w:rPr>
              <w:t>(4)</w:t>
            </w:r>
          </w:p>
        </w:tc>
        <w:tc>
          <w:tcPr>
            <w:tcW w:w="1420" w:type="dxa"/>
            <w:vAlign w:val="bottom"/>
          </w:tcPr>
          <w:p>
            <w:pPr>
              <w:ind w:left="9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2,602,515</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6.47%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140" w:type="dxa"/>
            <w:vAlign w:val="bottom"/>
          </w:tcPr>
          <w:p>
            <w:pPr>
              <w:spacing w:after="0"/>
              <w:rPr>
                <w:sz w:val="24"/>
                <w:szCs w:val="24"/>
                <w:color w:val="auto"/>
              </w:rPr>
            </w:pPr>
          </w:p>
        </w:tc>
        <w:tc>
          <w:tcPr>
            <w:tcW w:w="5080" w:type="dxa"/>
            <w:vAlign w:val="bottom"/>
            <w:gridSpan w:val="4"/>
          </w:tcPr>
          <w:p>
            <w:pPr>
              <w:spacing w:after="0"/>
              <w:rPr>
                <w:sz w:val="20"/>
                <w:szCs w:val="20"/>
                <w:color w:val="auto"/>
              </w:rPr>
            </w:pPr>
            <w:r>
              <w:rPr>
                <w:rFonts w:ascii="Arial" w:cs="Arial" w:eastAsia="Arial" w:hAnsi="Arial"/>
                <w:sz w:val="16"/>
                <w:szCs w:val="16"/>
                <w:b w:val="1"/>
                <w:bCs w:val="1"/>
                <w:color w:val="auto"/>
              </w:rPr>
              <w:t>Current Directors and Director Nominees</w:t>
            </w: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28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S. Haunani Apoliona</w:t>
            </w:r>
          </w:p>
        </w:tc>
        <w:tc>
          <w:tcPr>
            <w:tcW w:w="2220" w:type="dxa"/>
            <w:vAlign w:val="bottom"/>
            <w:gridSpan w:val="2"/>
          </w:tcPr>
          <w:p>
            <w:pPr>
              <w:spacing w:after="0"/>
              <w:rPr>
                <w:sz w:val="19"/>
                <w:szCs w:val="19"/>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32,889</w:t>
            </w:r>
          </w:p>
        </w:tc>
        <w:tc>
          <w:tcPr>
            <w:tcW w:w="680" w:type="dxa"/>
            <w:vAlign w:val="bottom"/>
          </w:tcPr>
          <w:p>
            <w:pPr>
              <w:ind w:left="20"/>
              <w:spacing w:after="0"/>
              <w:rPr>
                <w:sz w:val="20"/>
                <w:szCs w:val="20"/>
                <w:color w:val="auto"/>
              </w:rPr>
            </w:pPr>
            <w:r>
              <w:rPr>
                <w:rFonts w:ascii="Arial" w:cs="Arial" w:eastAsia="Arial" w:hAnsi="Arial"/>
                <w:sz w:val="16"/>
                <w:szCs w:val="16"/>
                <w:color w:val="auto"/>
              </w:rPr>
              <w:t>(5)</w:t>
            </w:r>
          </w:p>
        </w:tc>
        <w:tc>
          <w:tcPr>
            <w:tcW w:w="1420" w:type="dxa"/>
            <w:vAlign w:val="bottom"/>
          </w:tcPr>
          <w:p>
            <w:pPr>
              <w:ind w:left="9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32,889</w:t>
            </w:r>
          </w:p>
        </w:tc>
        <w:tc>
          <w:tcPr>
            <w:tcW w:w="14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5080" w:type="dxa"/>
            <w:vAlign w:val="bottom"/>
            <w:gridSpan w:val="4"/>
          </w:tcPr>
          <w:p>
            <w:pPr>
              <w:spacing w:after="0"/>
              <w:rPr>
                <w:sz w:val="20"/>
                <w:szCs w:val="20"/>
                <w:color w:val="auto"/>
              </w:rPr>
            </w:pPr>
            <w:r>
              <w:rPr>
                <w:rFonts w:ascii="Arial" w:cs="Arial" w:eastAsia="Arial" w:hAnsi="Arial"/>
                <w:sz w:val="16"/>
                <w:szCs w:val="16"/>
                <w:color w:val="auto"/>
              </w:rPr>
              <w:t>Mark A. Burak</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11,484</w:t>
            </w:r>
          </w:p>
        </w:tc>
        <w:tc>
          <w:tcPr>
            <w:tcW w:w="680" w:type="dxa"/>
            <w:vAlign w:val="bottom"/>
          </w:tcPr>
          <w:p>
            <w:pPr>
              <w:ind w:left="20"/>
              <w:spacing w:after="0"/>
              <w:rPr>
                <w:sz w:val="20"/>
                <w:szCs w:val="20"/>
                <w:color w:val="auto"/>
              </w:rPr>
            </w:pPr>
            <w:r>
              <w:rPr>
                <w:rFonts w:ascii="Arial" w:cs="Arial" w:eastAsia="Arial" w:hAnsi="Arial"/>
                <w:sz w:val="16"/>
                <w:szCs w:val="16"/>
                <w:color w:val="auto"/>
              </w:rPr>
              <w:t>(5)</w:t>
            </w:r>
          </w:p>
        </w:tc>
        <w:tc>
          <w:tcPr>
            <w:tcW w:w="1420" w:type="dxa"/>
            <w:vAlign w:val="bottom"/>
          </w:tcPr>
          <w:p>
            <w:pPr>
              <w:ind w:left="9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11,484</w:t>
            </w:r>
          </w:p>
        </w:tc>
        <w:tc>
          <w:tcPr>
            <w:tcW w:w="14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5080" w:type="dxa"/>
            <w:vAlign w:val="bottom"/>
            <w:gridSpan w:val="4"/>
          </w:tcPr>
          <w:p>
            <w:pPr>
              <w:spacing w:after="0"/>
              <w:rPr>
                <w:sz w:val="20"/>
                <w:szCs w:val="20"/>
                <w:color w:val="auto"/>
              </w:rPr>
            </w:pPr>
            <w:r>
              <w:rPr>
                <w:rFonts w:ascii="Arial" w:cs="Arial" w:eastAsia="Arial" w:hAnsi="Arial"/>
                <w:sz w:val="16"/>
                <w:szCs w:val="16"/>
                <w:color w:val="auto"/>
              </w:rPr>
              <w:t>John C. Erickson</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6,165</w:t>
            </w:r>
          </w:p>
        </w:tc>
        <w:tc>
          <w:tcPr>
            <w:tcW w:w="680" w:type="dxa"/>
            <w:vAlign w:val="bottom"/>
          </w:tcPr>
          <w:p>
            <w:pPr>
              <w:ind w:left="20"/>
              <w:spacing w:after="0"/>
              <w:rPr>
                <w:sz w:val="20"/>
                <w:szCs w:val="20"/>
                <w:color w:val="auto"/>
              </w:rPr>
            </w:pPr>
            <w:r>
              <w:rPr>
                <w:rFonts w:ascii="Arial" w:cs="Arial" w:eastAsia="Arial" w:hAnsi="Arial"/>
                <w:sz w:val="16"/>
                <w:szCs w:val="16"/>
                <w:color w:val="auto"/>
              </w:rPr>
              <w:t>(5)(6)</w:t>
            </w:r>
          </w:p>
        </w:tc>
        <w:tc>
          <w:tcPr>
            <w:tcW w:w="1420" w:type="dxa"/>
            <w:vAlign w:val="bottom"/>
          </w:tcPr>
          <w:p>
            <w:pPr>
              <w:ind w:left="9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6,165</w:t>
            </w:r>
          </w:p>
        </w:tc>
        <w:tc>
          <w:tcPr>
            <w:tcW w:w="14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5080" w:type="dxa"/>
            <w:vAlign w:val="bottom"/>
            <w:gridSpan w:val="4"/>
          </w:tcPr>
          <w:p>
            <w:pPr>
              <w:spacing w:after="0"/>
              <w:rPr>
                <w:sz w:val="20"/>
                <w:szCs w:val="20"/>
                <w:color w:val="auto"/>
              </w:rPr>
            </w:pPr>
            <w:r>
              <w:rPr>
                <w:rFonts w:ascii="Arial" w:cs="Arial" w:eastAsia="Arial" w:hAnsi="Arial"/>
                <w:sz w:val="16"/>
                <w:szCs w:val="16"/>
                <w:color w:val="auto"/>
              </w:rPr>
              <w:t>Joshua D. Feldman</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3,770</w:t>
            </w:r>
          </w:p>
        </w:tc>
        <w:tc>
          <w:tcPr>
            <w:tcW w:w="680" w:type="dxa"/>
            <w:vAlign w:val="bottom"/>
          </w:tcPr>
          <w:p>
            <w:pPr>
              <w:ind w:left="20"/>
              <w:spacing w:after="0"/>
              <w:rPr>
                <w:sz w:val="20"/>
                <w:szCs w:val="20"/>
                <w:color w:val="auto"/>
              </w:rPr>
            </w:pPr>
            <w:r>
              <w:rPr>
                <w:rFonts w:ascii="Arial" w:cs="Arial" w:eastAsia="Arial" w:hAnsi="Arial"/>
                <w:sz w:val="16"/>
                <w:szCs w:val="16"/>
                <w:color w:val="auto"/>
              </w:rPr>
              <w:t>(5)</w:t>
            </w:r>
          </w:p>
        </w:tc>
        <w:tc>
          <w:tcPr>
            <w:tcW w:w="1420" w:type="dxa"/>
            <w:vAlign w:val="bottom"/>
          </w:tcPr>
          <w:p>
            <w:pPr>
              <w:ind w:left="9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3,770</w:t>
            </w:r>
          </w:p>
        </w:tc>
        <w:tc>
          <w:tcPr>
            <w:tcW w:w="14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5080" w:type="dxa"/>
            <w:vAlign w:val="bottom"/>
            <w:gridSpan w:val="4"/>
          </w:tcPr>
          <w:p>
            <w:pPr>
              <w:spacing w:after="0"/>
              <w:rPr>
                <w:sz w:val="20"/>
                <w:szCs w:val="20"/>
                <w:color w:val="auto"/>
              </w:rPr>
            </w:pPr>
            <w:r>
              <w:rPr>
                <w:rFonts w:ascii="Arial" w:cs="Arial" w:eastAsia="Arial" w:hAnsi="Arial"/>
                <w:sz w:val="16"/>
                <w:szCs w:val="16"/>
                <w:color w:val="auto"/>
              </w:rPr>
              <w:t>Michelle E. Hulst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2,369</w:t>
            </w:r>
          </w:p>
        </w:tc>
        <w:tc>
          <w:tcPr>
            <w:tcW w:w="680" w:type="dxa"/>
            <w:vAlign w:val="bottom"/>
          </w:tcPr>
          <w:p>
            <w:pPr>
              <w:ind w:left="20"/>
              <w:spacing w:after="0"/>
              <w:rPr>
                <w:sz w:val="20"/>
                <w:szCs w:val="20"/>
                <w:color w:val="auto"/>
              </w:rPr>
            </w:pPr>
            <w:r>
              <w:rPr>
                <w:rFonts w:ascii="Arial" w:cs="Arial" w:eastAsia="Arial" w:hAnsi="Arial"/>
                <w:sz w:val="16"/>
                <w:szCs w:val="16"/>
                <w:color w:val="auto"/>
              </w:rPr>
              <w:t>(5)</w:t>
            </w:r>
          </w:p>
        </w:tc>
        <w:tc>
          <w:tcPr>
            <w:tcW w:w="1420" w:type="dxa"/>
            <w:vAlign w:val="bottom"/>
          </w:tcPr>
          <w:p>
            <w:pPr>
              <w:ind w:left="9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2,369</w:t>
            </w:r>
          </w:p>
        </w:tc>
        <w:tc>
          <w:tcPr>
            <w:tcW w:w="14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5080" w:type="dxa"/>
            <w:vAlign w:val="bottom"/>
            <w:gridSpan w:val="4"/>
          </w:tcPr>
          <w:p>
            <w:pPr>
              <w:spacing w:after="0"/>
              <w:rPr>
                <w:sz w:val="20"/>
                <w:szCs w:val="20"/>
                <w:color w:val="auto"/>
              </w:rPr>
            </w:pPr>
            <w:r>
              <w:rPr>
                <w:rFonts w:ascii="Arial" w:cs="Arial" w:eastAsia="Arial" w:hAnsi="Arial"/>
                <w:sz w:val="16"/>
                <w:szCs w:val="16"/>
                <w:color w:val="auto"/>
              </w:rPr>
              <w:t>Kent T. Lucien</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38,813</w:t>
            </w:r>
          </w:p>
        </w:tc>
        <w:tc>
          <w:tcPr>
            <w:tcW w:w="680" w:type="dxa"/>
            <w:vAlign w:val="bottom"/>
          </w:tcPr>
          <w:p>
            <w:pPr>
              <w:ind w:left="20"/>
              <w:spacing w:after="0"/>
              <w:rPr>
                <w:sz w:val="20"/>
                <w:szCs w:val="20"/>
                <w:color w:val="auto"/>
              </w:rPr>
            </w:pPr>
            <w:r>
              <w:rPr>
                <w:rFonts w:ascii="Arial" w:cs="Arial" w:eastAsia="Arial" w:hAnsi="Arial"/>
                <w:sz w:val="16"/>
                <w:szCs w:val="16"/>
                <w:color w:val="auto"/>
              </w:rPr>
              <w:t>(6)(7)</w:t>
            </w:r>
          </w:p>
        </w:tc>
        <w:tc>
          <w:tcPr>
            <w:tcW w:w="1420" w:type="dxa"/>
            <w:vAlign w:val="bottom"/>
          </w:tcPr>
          <w:p>
            <w:pPr>
              <w:ind w:left="9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38,813</w:t>
            </w:r>
          </w:p>
        </w:tc>
        <w:tc>
          <w:tcPr>
            <w:tcW w:w="14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5080" w:type="dxa"/>
            <w:vAlign w:val="bottom"/>
            <w:gridSpan w:val="4"/>
          </w:tcPr>
          <w:p>
            <w:pPr>
              <w:spacing w:after="0"/>
              <w:rPr>
                <w:sz w:val="20"/>
                <w:szCs w:val="20"/>
                <w:color w:val="auto"/>
              </w:rPr>
            </w:pPr>
            <w:r>
              <w:rPr>
                <w:rFonts w:ascii="Arial" w:cs="Arial" w:eastAsia="Arial" w:hAnsi="Arial"/>
                <w:sz w:val="16"/>
                <w:szCs w:val="16"/>
                <w:color w:val="auto"/>
              </w:rPr>
              <w:t>Elliot K. Mills</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376</w:t>
            </w:r>
          </w:p>
        </w:tc>
        <w:tc>
          <w:tcPr>
            <w:tcW w:w="680" w:type="dxa"/>
            <w:vAlign w:val="bottom"/>
          </w:tcPr>
          <w:p>
            <w:pPr>
              <w:ind w:left="20"/>
              <w:spacing w:after="0"/>
              <w:rPr>
                <w:sz w:val="20"/>
                <w:szCs w:val="20"/>
                <w:color w:val="auto"/>
              </w:rPr>
            </w:pPr>
            <w:r>
              <w:rPr>
                <w:rFonts w:ascii="Arial" w:cs="Arial" w:eastAsia="Arial" w:hAnsi="Arial"/>
                <w:sz w:val="16"/>
                <w:szCs w:val="16"/>
                <w:color w:val="auto"/>
              </w:rPr>
              <w:t>(5)</w:t>
            </w:r>
          </w:p>
        </w:tc>
        <w:tc>
          <w:tcPr>
            <w:tcW w:w="1420" w:type="dxa"/>
            <w:vAlign w:val="bottom"/>
          </w:tcPr>
          <w:p>
            <w:pPr>
              <w:ind w:left="9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376</w:t>
            </w:r>
          </w:p>
        </w:tc>
        <w:tc>
          <w:tcPr>
            <w:tcW w:w="14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5080" w:type="dxa"/>
            <w:vAlign w:val="bottom"/>
            <w:gridSpan w:val="4"/>
          </w:tcPr>
          <w:p>
            <w:pPr>
              <w:spacing w:after="0"/>
              <w:rPr>
                <w:sz w:val="20"/>
                <w:szCs w:val="20"/>
                <w:color w:val="auto"/>
              </w:rPr>
            </w:pPr>
            <w:r>
              <w:rPr>
                <w:rFonts w:ascii="Arial" w:cs="Arial" w:eastAsia="Arial" w:hAnsi="Arial"/>
                <w:sz w:val="16"/>
                <w:szCs w:val="16"/>
                <w:color w:val="auto"/>
              </w:rPr>
              <w:t>Alicia E. Moy</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4,065</w:t>
            </w:r>
          </w:p>
        </w:tc>
        <w:tc>
          <w:tcPr>
            <w:tcW w:w="680" w:type="dxa"/>
            <w:vAlign w:val="bottom"/>
          </w:tcPr>
          <w:p>
            <w:pPr>
              <w:ind w:left="20"/>
              <w:spacing w:after="0"/>
              <w:rPr>
                <w:sz w:val="20"/>
                <w:szCs w:val="20"/>
                <w:color w:val="auto"/>
              </w:rPr>
            </w:pPr>
            <w:r>
              <w:rPr>
                <w:rFonts w:ascii="Arial" w:cs="Arial" w:eastAsia="Arial" w:hAnsi="Arial"/>
                <w:sz w:val="16"/>
                <w:szCs w:val="16"/>
                <w:color w:val="auto"/>
              </w:rPr>
              <w:t>(5)</w:t>
            </w:r>
          </w:p>
        </w:tc>
        <w:tc>
          <w:tcPr>
            <w:tcW w:w="1420" w:type="dxa"/>
            <w:vAlign w:val="bottom"/>
          </w:tcPr>
          <w:p>
            <w:pPr>
              <w:ind w:left="9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4,065</w:t>
            </w:r>
          </w:p>
        </w:tc>
        <w:tc>
          <w:tcPr>
            <w:tcW w:w="14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5080" w:type="dxa"/>
            <w:vAlign w:val="bottom"/>
            <w:gridSpan w:val="4"/>
          </w:tcPr>
          <w:p>
            <w:pPr>
              <w:spacing w:after="0"/>
              <w:rPr>
                <w:sz w:val="20"/>
                <w:szCs w:val="20"/>
                <w:color w:val="auto"/>
              </w:rPr>
            </w:pPr>
            <w:r>
              <w:rPr>
                <w:rFonts w:ascii="Arial" w:cs="Arial" w:eastAsia="Arial" w:hAnsi="Arial"/>
                <w:sz w:val="16"/>
                <w:szCs w:val="16"/>
                <w:color w:val="auto"/>
              </w:rPr>
              <w:t>Victor K. Nichols</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19,465</w:t>
            </w:r>
          </w:p>
        </w:tc>
        <w:tc>
          <w:tcPr>
            <w:tcW w:w="680" w:type="dxa"/>
            <w:vAlign w:val="bottom"/>
          </w:tcPr>
          <w:p>
            <w:pPr>
              <w:ind w:left="20"/>
              <w:spacing w:after="0"/>
              <w:rPr>
                <w:sz w:val="20"/>
                <w:szCs w:val="20"/>
                <w:color w:val="auto"/>
              </w:rPr>
            </w:pPr>
            <w:r>
              <w:rPr>
                <w:rFonts w:ascii="Arial" w:cs="Arial" w:eastAsia="Arial" w:hAnsi="Arial"/>
                <w:sz w:val="16"/>
                <w:szCs w:val="16"/>
                <w:color w:val="auto"/>
              </w:rPr>
              <w:t>(5)</w:t>
            </w:r>
          </w:p>
        </w:tc>
        <w:tc>
          <w:tcPr>
            <w:tcW w:w="1420" w:type="dxa"/>
            <w:vAlign w:val="bottom"/>
          </w:tcPr>
          <w:p>
            <w:pPr>
              <w:ind w:left="9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19,465</w:t>
            </w:r>
          </w:p>
        </w:tc>
        <w:tc>
          <w:tcPr>
            <w:tcW w:w="14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5080" w:type="dxa"/>
            <w:vAlign w:val="bottom"/>
            <w:gridSpan w:val="4"/>
          </w:tcPr>
          <w:p>
            <w:pPr>
              <w:spacing w:after="0"/>
              <w:rPr>
                <w:sz w:val="20"/>
                <w:szCs w:val="20"/>
                <w:color w:val="auto"/>
              </w:rPr>
            </w:pPr>
            <w:r>
              <w:rPr>
                <w:rFonts w:ascii="Arial" w:cs="Arial" w:eastAsia="Arial" w:hAnsi="Arial"/>
                <w:sz w:val="16"/>
                <w:szCs w:val="16"/>
                <w:color w:val="auto"/>
              </w:rPr>
              <w:t>Barbara J. Tanabe</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28,186</w:t>
            </w:r>
          </w:p>
        </w:tc>
        <w:tc>
          <w:tcPr>
            <w:tcW w:w="680" w:type="dxa"/>
            <w:vAlign w:val="bottom"/>
          </w:tcPr>
          <w:p>
            <w:pPr>
              <w:ind w:left="20"/>
              <w:spacing w:after="0"/>
              <w:rPr>
                <w:sz w:val="20"/>
                <w:szCs w:val="20"/>
                <w:color w:val="auto"/>
              </w:rPr>
            </w:pPr>
            <w:r>
              <w:rPr>
                <w:rFonts w:ascii="Arial" w:cs="Arial" w:eastAsia="Arial" w:hAnsi="Arial"/>
                <w:sz w:val="16"/>
                <w:szCs w:val="16"/>
                <w:color w:val="auto"/>
              </w:rPr>
              <w:t>(5)</w:t>
            </w:r>
          </w:p>
        </w:tc>
        <w:tc>
          <w:tcPr>
            <w:tcW w:w="1420" w:type="dxa"/>
            <w:vAlign w:val="bottom"/>
          </w:tcPr>
          <w:p>
            <w:pPr>
              <w:ind w:left="9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28,186</w:t>
            </w:r>
          </w:p>
        </w:tc>
        <w:tc>
          <w:tcPr>
            <w:tcW w:w="14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5080" w:type="dxa"/>
            <w:vAlign w:val="bottom"/>
            <w:gridSpan w:val="4"/>
          </w:tcPr>
          <w:p>
            <w:pPr>
              <w:spacing w:after="0"/>
              <w:rPr>
                <w:sz w:val="20"/>
                <w:szCs w:val="20"/>
                <w:color w:val="auto"/>
              </w:rPr>
            </w:pPr>
            <w:r>
              <w:rPr>
                <w:rFonts w:ascii="Arial" w:cs="Arial" w:eastAsia="Arial" w:hAnsi="Arial"/>
                <w:sz w:val="16"/>
                <w:szCs w:val="16"/>
                <w:color w:val="auto"/>
              </w:rPr>
              <w:t>Dana M. Tokioka</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2,193</w:t>
            </w:r>
          </w:p>
        </w:tc>
        <w:tc>
          <w:tcPr>
            <w:tcW w:w="680" w:type="dxa"/>
            <w:vAlign w:val="bottom"/>
          </w:tcPr>
          <w:p>
            <w:pPr>
              <w:ind w:left="20"/>
              <w:spacing w:after="0"/>
              <w:rPr>
                <w:sz w:val="20"/>
                <w:szCs w:val="20"/>
                <w:color w:val="auto"/>
              </w:rPr>
            </w:pPr>
            <w:r>
              <w:rPr>
                <w:rFonts w:ascii="Arial" w:cs="Arial" w:eastAsia="Arial" w:hAnsi="Arial"/>
                <w:sz w:val="16"/>
                <w:szCs w:val="16"/>
                <w:color w:val="auto"/>
              </w:rPr>
              <w:t>(5)</w:t>
            </w:r>
          </w:p>
        </w:tc>
        <w:tc>
          <w:tcPr>
            <w:tcW w:w="1420" w:type="dxa"/>
            <w:vAlign w:val="bottom"/>
          </w:tcPr>
          <w:p>
            <w:pPr>
              <w:ind w:left="9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2,193</w:t>
            </w:r>
          </w:p>
        </w:tc>
        <w:tc>
          <w:tcPr>
            <w:tcW w:w="14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5080" w:type="dxa"/>
            <w:vAlign w:val="bottom"/>
            <w:gridSpan w:val="4"/>
          </w:tcPr>
          <w:p>
            <w:pPr>
              <w:spacing w:after="0"/>
              <w:rPr>
                <w:sz w:val="20"/>
                <w:szCs w:val="20"/>
                <w:color w:val="auto"/>
              </w:rPr>
            </w:pPr>
            <w:r>
              <w:rPr>
                <w:rFonts w:ascii="Arial" w:cs="Arial" w:eastAsia="Arial" w:hAnsi="Arial"/>
                <w:sz w:val="16"/>
                <w:szCs w:val="16"/>
                <w:color w:val="auto"/>
              </w:rPr>
              <w:t>Raymond P. Vara, Jr.</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7,661</w:t>
            </w:r>
          </w:p>
        </w:tc>
        <w:tc>
          <w:tcPr>
            <w:tcW w:w="680" w:type="dxa"/>
            <w:vAlign w:val="bottom"/>
          </w:tcPr>
          <w:p>
            <w:pPr>
              <w:ind w:left="20"/>
              <w:spacing w:after="0"/>
              <w:rPr>
                <w:sz w:val="20"/>
                <w:szCs w:val="20"/>
                <w:color w:val="auto"/>
              </w:rPr>
            </w:pPr>
            <w:r>
              <w:rPr>
                <w:rFonts w:ascii="Arial" w:cs="Arial" w:eastAsia="Arial" w:hAnsi="Arial"/>
                <w:sz w:val="16"/>
                <w:szCs w:val="16"/>
                <w:color w:val="auto"/>
              </w:rPr>
              <w:t>(5)</w:t>
            </w:r>
          </w:p>
        </w:tc>
        <w:tc>
          <w:tcPr>
            <w:tcW w:w="1420" w:type="dxa"/>
            <w:vAlign w:val="bottom"/>
          </w:tcPr>
          <w:p>
            <w:pPr>
              <w:ind w:left="9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7,661</w:t>
            </w:r>
          </w:p>
        </w:tc>
        <w:tc>
          <w:tcPr>
            <w:tcW w:w="14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5080" w:type="dxa"/>
            <w:vAlign w:val="bottom"/>
            <w:gridSpan w:val="4"/>
          </w:tcPr>
          <w:p>
            <w:pPr>
              <w:spacing w:after="0"/>
              <w:rPr>
                <w:sz w:val="20"/>
                <w:szCs w:val="20"/>
                <w:color w:val="auto"/>
              </w:rPr>
            </w:pPr>
            <w:r>
              <w:rPr>
                <w:rFonts w:ascii="Arial" w:cs="Arial" w:eastAsia="Arial" w:hAnsi="Arial"/>
                <w:sz w:val="16"/>
                <w:szCs w:val="16"/>
                <w:color w:val="auto"/>
              </w:rPr>
              <w:t>Robert W. Wo</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68,386</w:t>
            </w:r>
          </w:p>
        </w:tc>
        <w:tc>
          <w:tcPr>
            <w:tcW w:w="680" w:type="dxa"/>
            <w:vAlign w:val="bottom"/>
          </w:tcPr>
          <w:p>
            <w:pPr>
              <w:ind w:left="20"/>
              <w:spacing w:after="0"/>
              <w:rPr>
                <w:sz w:val="20"/>
                <w:szCs w:val="20"/>
                <w:color w:val="auto"/>
              </w:rPr>
            </w:pPr>
            <w:r>
              <w:rPr>
                <w:rFonts w:ascii="Arial" w:cs="Arial" w:eastAsia="Arial" w:hAnsi="Arial"/>
                <w:sz w:val="16"/>
                <w:szCs w:val="16"/>
                <w:color w:val="auto"/>
              </w:rPr>
              <w:t>(5)(6)</w:t>
            </w:r>
          </w:p>
        </w:tc>
        <w:tc>
          <w:tcPr>
            <w:tcW w:w="1420" w:type="dxa"/>
            <w:vAlign w:val="bottom"/>
          </w:tcPr>
          <w:p>
            <w:pPr>
              <w:ind w:left="9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68,386</w:t>
            </w:r>
          </w:p>
        </w:tc>
        <w:tc>
          <w:tcPr>
            <w:tcW w:w="14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140" w:type="dxa"/>
            <w:vAlign w:val="bottom"/>
          </w:tcPr>
          <w:p>
            <w:pPr>
              <w:spacing w:after="0"/>
              <w:rPr>
                <w:sz w:val="24"/>
                <w:szCs w:val="24"/>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0"/>
              </w:rPr>
              <w:t>Named Executive Officers</w:t>
            </w:r>
          </w:p>
        </w:tc>
        <w:tc>
          <w:tcPr>
            <w:tcW w:w="3280" w:type="dxa"/>
            <w:vAlign w:val="bottom"/>
            <w:gridSpan w:val="3"/>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5080" w:type="dxa"/>
            <w:vAlign w:val="bottom"/>
            <w:gridSpan w:val="4"/>
          </w:tcPr>
          <w:p>
            <w:pPr>
              <w:spacing w:after="0"/>
              <w:rPr>
                <w:sz w:val="20"/>
                <w:szCs w:val="20"/>
                <w:color w:val="auto"/>
              </w:rPr>
            </w:pPr>
            <w:r>
              <w:rPr>
                <w:rFonts w:ascii="Arial" w:cs="Arial" w:eastAsia="Arial" w:hAnsi="Arial"/>
                <w:sz w:val="16"/>
                <w:szCs w:val="16"/>
                <w:color w:val="auto"/>
              </w:rPr>
              <w:t>Peter S. Ho (also Director Nominee)</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242,452</w:t>
            </w:r>
          </w:p>
        </w:tc>
        <w:tc>
          <w:tcPr>
            <w:tcW w:w="680" w:type="dxa"/>
            <w:vAlign w:val="bottom"/>
          </w:tcPr>
          <w:p>
            <w:pPr>
              <w:spacing w:after="0"/>
              <w:rPr>
                <w:sz w:val="19"/>
                <w:szCs w:val="19"/>
                <w:color w:val="auto"/>
              </w:rPr>
            </w:pPr>
          </w:p>
        </w:tc>
        <w:tc>
          <w:tcPr>
            <w:tcW w:w="1420" w:type="dxa"/>
            <w:vAlign w:val="bottom"/>
          </w:tcPr>
          <w:p>
            <w:pPr>
              <w:ind w:left="9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242,452</w:t>
            </w:r>
          </w:p>
        </w:tc>
        <w:tc>
          <w:tcPr>
            <w:tcW w:w="14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5080" w:type="dxa"/>
            <w:vAlign w:val="bottom"/>
            <w:gridSpan w:val="4"/>
          </w:tcPr>
          <w:p>
            <w:pPr>
              <w:spacing w:after="0"/>
              <w:rPr>
                <w:sz w:val="20"/>
                <w:szCs w:val="20"/>
                <w:color w:val="auto"/>
              </w:rPr>
            </w:pPr>
            <w:r>
              <w:rPr>
                <w:rFonts w:ascii="Arial" w:cs="Arial" w:eastAsia="Arial" w:hAnsi="Arial"/>
                <w:sz w:val="16"/>
                <w:szCs w:val="16"/>
                <w:color w:val="auto"/>
              </w:rPr>
              <w:t>Dean Y. Shigemura</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62,977</w:t>
            </w:r>
          </w:p>
        </w:tc>
        <w:tc>
          <w:tcPr>
            <w:tcW w:w="680" w:type="dxa"/>
            <w:vAlign w:val="bottom"/>
          </w:tcPr>
          <w:p>
            <w:pPr>
              <w:ind w:left="20"/>
              <w:spacing w:after="0"/>
              <w:rPr>
                <w:sz w:val="20"/>
                <w:szCs w:val="20"/>
                <w:color w:val="auto"/>
              </w:rPr>
            </w:pPr>
            <w:r>
              <w:rPr>
                <w:rFonts w:ascii="Arial" w:cs="Arial" w:eastAsia="Arial" w:hAnsi="Arial"/>
                <w:sz w:val="16"/>
                <w:szCs w:val="16"/>
                <w:color w:val="auto"/>
              </w:rPr>
              <w:t>(6)</w:t>
            </w:r>
          </w:p>
        </w:tc>
        <w:tc>
          <w:tcPr>
            <w:tcW w:w="1420" w:type="dxa"/>
            <w:vAlign w:val="bottom"/>
          </w:tcPr>
          <w:p>
            <w:pPr>
              <w:ind w:left="9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62,977</w:t>
            </w:r>
          </w:p>
        </w:tc>
        <w:tc>
          <w:tcPr>
            <w:tcW w:w="14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5080" w:type="dxa"/>
            <w:vAlign w:val="bottom"/>
            <w:gridSpan w:val="4"/>
          </w:tcPr>
          <w:p>
            <w:pPr>
              <w:spacing w:after="0"/>
              <w:rPr>
                <w:sz w:val="20"/>
                <w:szCs w:val="20"/>
                <w:color w:val="auto"/>
              </w:rPr>
            </w:pPr>
            <w:r>
              <w:rPr>
                <w:rFonts w:ascii="Arial" w:cs="Arial" w:eastAsia="Arial" w:hAnsi="Arial"/>
                <w:sz w:val="16"/>
                <w:szCs w:val="16"/>
                <w:color w:val="auto"/>
              </w:rPr>
              <w:t>Sharon M. Crofts</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69,666</w:t>
            </w:r>
          </w:p>
        </w:tc>
        <w:tc>
          <w:tcPr>
            <w:tcW w:w="680" w:type="dxa"/>
            <w:vAlign w:val="bottom"/>
          </w:tcPr>
          <w:p>
            <w:pPr>
              <w:spacing w:after="0"/>
              <w:rPr>
                <w:sz w:val="18"/>
                <w:szCs w:val="18"/>
                <w:color w:val="auto"/>
              </w:rPr>
            </w:pPr>
          </w:p>
        </w:tc>
        <w:tc>
          <w:tcPr>
            <w:tcW w:w="1420" w:type="dxa"/>
            <w:vAlign w:val="bottom"/>
          </w:tcPr>
          <w:p>
            <w:pPr>
              <w:ind w:left="9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69,666</w:t>
            </w:r>
          </w:p>
        </w:tc>
        <w:tc>
          <w:tcPr>
            <w:tcW w:w="14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5080" w:type="dxa"/>
            <w:vAlign w:val="bottom"/>
            <w:gridSpan w:val="4"/>
          </w:tcPr>
          <w:p>
            <w:pPr>
              <w:spacing w:after="0"/>
              <w:rPr>
                <w:sz w:val="20"/>
                <w:szCs w:val="20"/>
                <w:color w:val="auto"/>
              </w:rPr>
            </w:pPr>
            <w:r>
              <w:rPr>
                <w:rFonts w:ascii="Arial" w:cs="Arial" w:eastAsia="Arial" w:hAnsi="Arial"/>
                <w:sz w:val="16"/>
                <w:szCs w:val="16"/>
                <w:color w:val="auto"/>
              </w:rPr>
              <w:t>James C. Polk</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103,442</w:t>
            </w:r>
          </w:p>
        </w:tc>
        <w:tc>
          <w:tcPr>
            <w:tcW w:w="680" w:type="dxa"/>
            <w:vAlign w:val="bottom"/>
          </w:tcPr>
          <w:p>
            <w:pPr>
              <w:ind w:left="20"/>
              <w:spacing w:after="0"/>
              <w:rPr>
                <w:sz w:val="20"/>
                <w:szCs w:val="20"/>
                <w:color w:val="auto"/>
              </w:rPr>
            </w:pPr>
            <w:r>
              <w:rPr>
                <w:rFonts w:ascii="Arial" w:cs="Arial" w:eastAsia="Arial" w:hAnsi="Arial"/>
                <w:sz w:val="16"/>
                <w:szCs w:val="16"/>
                <w:color w:val="auto"/>
              </w:rPr>
              <w:t>(6)</w:t>
            </w:r>
          </w:p>
        </w:tc>
        <w:tc>
          <w:tcPr>
            <w:tcW w:w="1420" w:type="dxa"/>
            <w:vAlign w:val="bottom"/>
          </w:tcPr>
          <w:p>
            <w:pPr>
              <w:ind w:left="9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103,442</w:t>
            </w:r>
          </w:p>
        </w:tc>
        <w:tc>
          <w:tcPr>
            <w:tcW w:w="14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5080" w:type="dxa"/>
            <w:vAlign w:val="bottom"/>
            <w:gridSpan w:val="4"/>
          </w:tcPr>
          <w:p>
            <w:pPr>
              <w:spacing w:after="0"/>
              <w:rPr>
                <w:sz w:val="20"/>
                <w:szCs w:val="20"/>
                <w:color w:val="auto"/>
              </w:rPr>
            </w:pPr>
            <w:r>
              <w:rPr>
                <w:rFonts w:ascii="Arial" w:cs="Arial" w:eastAsia="Arial" w:hAnsi="Arial"/>
                <w:sz w:val="16"/>
                <w:szCs w:val="16"/>
                <w:color w:val="auto"/>
              </w:rPr>
              <w:t>Mary E. Sellers</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97,206</w:t>
            </w:r>
          </w:p>
        </w:tc>
        <w:tc>
          <w:tcPr>
            <w:tcW w:w="680" w:type="dxa"/>
            <w:vAlign w:val="bottom"/>
          </w:tcPr>
          <w:p>
            <w:pPr>
              <w:ind w:left="20"/>
              <w:spacing w:after="0"/>
              <w:rPr>
                <w:sz w:val="20"/>
                <w:szCs w:val="20"/>
                <w:color w:val="auto"/>
              </w:rPr>
            </w:pPr>
            <w:r>
              <w:rPr>
                <w:rFonts w:ascii="Arial" w:cs="Arial" w:eastAsia="Arial" w:hAnsi="Arial"/>
                <w:sz w:val="16"/>
                <w:szCs w:val="16"/>
                <w:color w:val="auto"/>
              </w:rPr>
              <w:t>(6)</w:t>
            </w:r>
          </w:p>
        </w:tc>
        <w:tc>
          <w:tcPr>
            <w:tcW w:w="1420" w:type="dxa"/>
            <w:vAlign w:val="bottom"/>
          </w:tcPr>
          <w:p>
            <w:pPr>
              <w:ind w:left="9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97,206</w:t>
            </w:r>
          </w:p>
        </w:tc>
        <w:tc>
          <w:tcPr>
            <w:tcW w:w="14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40" w:type="dxa"/>
            <w:vAlign w:val="bottom"/>
          </w:tcPr>
          <w:p>
            <w:pPr>
              <w:spacing w:after="0"/>
              <w:rPr>
                <w:sz w:val="17"/>
                <w:szCs w:val="17"/>
                <w:color w:val="auto"/>
              </w:rPr>
            </w:pPr>
          </w:p>
        </w:tc>
        <w:tc>
          <w:tcPr>
            <w:tcW w:w="5080" w:type="dxa"/>
            <w:vAlign w:val="bottom"/>
            <w:gridSpan w:val="4"/>
          </w:tcPr>
          <w:p>
            <w:pPr>
              <w:spacing w:after="0"/>
              <w:rPr>
                <w:sz w:val="20"/>
                <w:szCs w:val="20"/>
                <w:color w:val="auto"/>
              </w:rPr>
            </w:pPr>
            <w:r>
              <w:rPr>
                <w:rFonts w:ascii="Arial" w:cs="Arial" w:eastAsia="Arial" w:hAnsi="Arial"/>
                <w:sz w:val="16"/>
                <w:szCs w:val="16"/>
                <w:b w:val="1"/>
                <w:bCs w:val="1"/>
                <w:color w:val="auto"/>
                <w:w w:val="98"/>
              </w:rPr>
              <w:t>All current directors, director nominees, and executive officers as a</w:t>
            </w: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5080" w:type="dxa"/>
            <w:vAlign w:val="bottom"/>
            <w:gridSpan w:val="4"/>
          </w:tcPr>
          <w:p>
            <w:pPr>
              <w:spacing w:after="0"/>
              <w:rPr>
                <w:sz w:val="20"/>
                <w:szCs w:val="20"/>
                <w:color w:val="auto"/>
              </w:rPr>
            </w:pPr>
            <w:r>
              <w:rPr>
                <w:rFonts w:ascii="Arial" w:cs="Arial" w:eastAsia="Arial" w:hAnsi="Arial"/>
                <w:sz w:val="16"/>
                <w:szCs w:val="16"/>
                <w:b w:val="1"/>
                <w:bCs w:val="1"/>
                <w:color w:val="auto"/>
              </w:rPr>
              <w:t>group (21 persons)</w:t>
            </w:r>
          </w:p>
        </w:tc>
        <w:tc>
          <w:tcPr>
            <w:tcW w:w="1260" w:type="dxa"/>
            <w:vAlign w:val="bottom"/>
          </w:tcPr>
          <w:p>
            <w:pPr>
              <w:jc w:val="right"/>
              <w:ind w:right="21"/>
              <w:spacing w:after="0"/>
              <w:rPr>
                <w:sz w:val="20"/>
                <w:szCs w:val="20"/>
                <w:color w:val="auto"/>
              </w:rPr>
            </w:pPr>
            <w:r>
              <w:rPr>
                <w:rFonts w:ascii="Arial" w:cs="Arial" w:eastAsia="Arial" w:hAnsi="Arial"/>
                <w:sz w:val="16"/>
                <w:szCs w:val="16"/>
                <w:b w:val="1"/>
                <w:bCs w:val="1"/>
                <w:color w:val="auto"/>
              </w:rPr>
              <w:t>833,541</w:t>
            </w:r>
          </w:p>
        </w:tc>
        <w:tc>
          <w:tcPr>
            <w:tcW w:w="680" w:type="dxa"/>
            <w:vAlign w:val="bottom"/>
          </w:tcPr>
          <w:p>
            <w:pPr>
              <w:spacing w:after="0"/>
              <w:rPr>
                <w:sz w:val="18"/>
                <w:szCs w:val="18"/>
                <w:color w:val="auto"/>
              </w:rPr>
            </w:pPr>
          </w:p>
        </w:tc>
        <w:tc>
          <w:tcPr>
            <w:tcW w:w="1420" w:type="dxa"/>
            <w:vAlign w:val="bottom"/>
          </w:tcPr>
          <w:p>
            <w:pPr>
              <w:ind w:left="940"/>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40"/>
              <w:spacing w:after="0"/>
              <w:rPr>
                <w:sz w:val="20"/>
                <w:szCs w:val="20"/>
                <w:color w:val="auto"/>
              </w:rPr>
            </w:pPr>
            <w:r>
              <w:rPr>
                <w:rFonts w:ascii="Arial" w:cs="Arial" w:eastAsia="Arial" w:hAnsi="Arial"/>
                <w:sz w:val="16"/>
                <w:szCs w:val="16"/>
                <w:b w:val="1"/>
                <w:bCs w:val="1"/>
                <w:color w:val="auto"/>
              </w:rPr>
              <w:t>833,541</w:t>
            </w:r>
          </w:p>
        </w:tc>
        <w:tc>
          <w:tcPr>
            <w:tcW w:w="1400" w:type="dxa"/>
            <w:vAlign w:val="bottom"/>
          </w:tcPr>
          <w:p>
            <w:pPr>
              <w:jc w:val="right"/>
              <w:ind w:right="1"/>
              <w:spacing w:after="0"/>
              <w:rPr>
                <w:sz w:val="20"/>
                <w:szCs w:val="20"/>
                <w:color w:val="auto"/>
              </w:rPr>
            </w:pPr>
            <w:r>
              <w:rPr>
                <w:rFonts w:ascii="Arial" w:cs="Arial" w:eastAsia="Arial" w:hAnsi="Arial"/>
                <w:sz w:val="16"/>
                <w:szCs w:val="16"/>
                <w:b w:val="1"/>
                <w:bCs w:val="1"/>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80" w:right="2660" w:hanging="160"/>
        <w:spacing w:after="0" w:line="289" w:lineRule="auto"/>
        <w:tabs>
          <w:tab w:leader="none" w:pos="1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Each of the current directors, director nominees, and named executive officers beneficially owned less than one percent of Bank of Hawaii Corporation's outstanding common stock as of January 31, 2022.</w:t>
      </w:r>
    </w:p>
    <w:p>
      <w:pPr>
        <w:spacing w:after="0" w:line="199" w:lineRule="exact"/>
        <w:rPr>
          <w:sz w:val="20"/>
          <w:szCs w:val="20"/>
          <w:color w:val="auto"/>
        </w:rPr>
      </w:pPr>
    </w:p>
    <w:p>
      <w:pPr>
        <w:ind w:left="400" w:right="100" w:hanging="393"/>
        <w:spacing w:after="0" w:line="237" w:lineRule="auto"/>
        <w:tabs>
          <w:tab w:leader="none" w:pos="400" w:val="left"/>
        </w:tabs>
        <w:numPr>
          <w:ilvl w:val="0"/>
          <w:numId w:val="54"/>
        </w:numPr>
        <w:rPr>
          <w:rFonts w:ascii="Arial" w:cs="Arial" w:eastAsia="Arial" w:hAnsi="Arial"/>
          <w:sz w:val="26"/>
          <w:szCs w:val="26"/>
          <w:color w:val="auto"/>
          <w:vertAlign w:val="superscript"/>
        </w:rPr>
      </w:pPr>
      <w:r>
        <w:rPr>
          <w:rFonts w:ascii="Arial" w:cs="Arial" w:eastAsia="Arial" w:hAnsi="Arial"/>
          <w:sz w:val="15"/>
          <w:szCs w:val="15"/>
          <w:color w:val="auto"/>
        </w:rPr>
        <w:t>According to its Schedule 13G filed with the SEC on February 9, 2022, The Vanguard Group is an investment adviser and its subsidiaries may be deemed to have beneficial ownership as of December 31, 2021, of 3,841,480 shares of Bank of Hawaii Corporation common stock owned by its clients, none known to have more than five percent of outstanding shares. According to the same filing, The Vanguard Group has shared power to vote or to direct the vote over 19,408 of those shares, sole power to dispose or to direct the disposition of 3,786,223 shares, and shared power to dispose or to direct the disposition of 55,257 shares.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400" w:right="140" w:hanging="393"/>
        <w:spacing w:after="0" w:line="237" w:lineRule="auto"/>
        <w:tabs>
          <w:tab w:leader="none" w:pos="400" w:val="left"/>
        </w:tabs>
        <w:numPr>
          <w:ilvl w:val="0"/>
          <w:numId w:val="55"/>
        </w:numPr>
        <w:rPr>
          <w:rFonts w:ascii="Arial" w:cs="Arial" w:eastAsia="Arial" w:hAnsi="Arial"/>
          <w:sz w:val="26"/>
          <w:szCs w:val="26"/>
          <w:color w:val="auto"/>
          <w:vertAlign w:val="superscript"/>
        </w:rPr>
      </w:pPr>
      <w:r>
        <w:rPr>
          <w:rFonts w:ascii="Arial" w:cs="Arial" w:eastAsia="Arial" w:hAnsi="Arial"/>
          <w:sz w:val="15"/>
          <w:szCs w:val="15"/>
          <w:color w:val="auto"/>
        </w:rPr>
        <w:t>According to its Schedule 13G filed with the SEC on February 1, 2022, BlackRock, Inc. is a parent holding company or control person and may be deemed to have beneficial ownership as of December 31, 2021 of 3,801,808 shares of Bank of Hawaii Corporation common stock owned by its clients, none known to have more than five percent of outstanding shares except subsidiary BlackRock Fund Advisors. According to the same filing, BlackRock, Inc. has sole power to vote or to direct the vote over 3,632,855 of those shares and sole power to dispose or to direct the disposition of 3,801,808 shares.</w:t>
      </w:r>
    </w:p>
    <w:p>
      <w:pPr>
        <w:spacing w:after="0" w:line="103" w:lineRule="exact"/>
        <w:rPr>
          <w:rFonts w:ascii="Arial" w:cs="Arial" w:eastAsia="Arial" w:hAnsi="Arial"/>
          <w:sz w:val="26"/>
          <w:szCs w:val="26"/>
          <w:color w:val="auto"/>
          <w:vertAlign w:val="superscript"/>
        </w:rPr>
      </w:pPr>
    </w:p>
    <w:p>
      <w:pPr>
        <w:ind w:left="400" w:right="80" w:hanging="393"/>
        <w:spacing w:after="0" w:line="245" w:lineRule="auto"/>
        <w:tabs>
          <w:tab w:leader="none" w:pos="400" w:val="left"/>
        </w:tabs>
        <w:numPr>
          <w:ilvl w:val="0"/>
          <w:numId w:val="55"/>
        </w:numPr>
        <w:rPr>
          <w:rFonts w:ascii="Arial" w:cs="Arial" w:eastAsia="Arial" w:hAnsi="Arial"/>
          <w:sz w:val="26"/>
          <w:szCs w:val="26"/>
          <w:color w:val="auto"/>
          <w:vertAlign w:val="superscript"/>
        </w:rPr>
      </w:pPr>
      <w:r>
        <w:rPr>
          <w:rFonts w:ascii="Arial" w:cs="Arial" w:eastAsia="Arial" w:hAnsi="Arial"/>
          <w:sz w:val="15"/>
          <w:szCs w:val="15"/>
          <w:color w:val="auto"/>
        </w:rPr>
        <w:t>According to its Schedule 13G filed with the SEC on February 11, 2022, Kayne Anderson Rudnick Investment Management LLC is an investment adviser and may be deemed to have beneficial ownership as of December 31, 2021, of 2,714,193 shares of Bank of Hawaii Corporation common stock owned by its clients, none known to have more than five percent of outstanding shares. According to the same filing, Kayne Anderson Rudnick Investment Management LLC has sole power to vote or to direct the vote over 1,481,708 of those shares, shared power to vote or to direct the vote of 909,116 of those shares, sole power to dispose or to direct the disposition of 1,805,077 shares and shared power to dispose or to direct the disposition of 909,116 shares.</w:t>
      </w:r>
    </w:p>
    <w:p>
      <w:pPr>
        <w:spacing w:after="0" w:line="100" w:lineRule="exact"/>
        <w:rPr>
          <w:rFonts w:ascii="Arial" w:cs="Arial" w:eastAsia="Arial" w:hAnsi="Arial"/>
          <w:sz w:val="26"/>
          <w:szCs w:val="26"/>
          <w:color w:val="auto"/>
          <w:vertAlign w:val="superscript"/>
        </w:rPr>
      </w:pPr>
    </w:p>
    <w:p>
      <w:pPr>
        <w:ind w:left="400" w:right="40" w:hanging="393"/>
        <w:spacing w:after="0" w:line="218" w:lineRule="auto"/>
        <w:tabs>
          <w:tab w:leader="none" w:pos="400" w:val="left"/>
        </w:tabs>
        <w:numPr>
          <w:ilvl w:val="0"/>
          <w:numId w:val="55"/>
        </w:numPr>
        <w:rPr>
          <w:rFonts w:ascii="Arial" w:cs="Arial" w:eastAsia="Arial" w:hAnsi="Arial"/>
          <w:sz w:val="29"/>
          <w:szCs w:val="29"/>
          <w:color w:val="auto"/>
          <w:vertAlign w:val="superscript"/>
        </w:rPr>
      </w:pPr>
      <w:r>
        <w:rPr>
          <w:rFonts w:ascii="Arial" w:cs="Arial" w:eastAsia="Arial" w:hAnsi="Arial"/>
          <w:sz w:val="16"/>
          <w:szCs w:val="16"/>
          <w:color w:val="auto"/>
        </w:rPr>
        <w:t>According to its Schedule 13G filed with the SEC on February 11, 2022, Neuberger Berman Group LLC is a parent holding company or control person and its affiliates may be deemed to have beneficial ownership as of December 31, 2021, of 2,602,515 shares of Bank of Hawaii Corporation common stock by its clients, none known to have more than five percent of outstanding shares. According to the same filing, Neuberger Berman Group LLC has shared power to vote or to direct the vote of 2,573,687 of those shares and shared power to dispose or to direct the disposition of 2,602,515 shares.</w:t>
      </w:r>
    </w:p>
    <w:p>
      <w:pPr>
        <w:spacing w:after="0" w:line="105" w:lineRule="exact"/>
        <w:rPr>
          <w:rFonts w:ascii="Arial" w:cs="Arial" w:eastAsia="Arial" w:hAnsi="Arial"/>
          <w:sz w:val="29"/>
          <w:szCs w:val="29"/>
          <w:color w:val="auto"/>
          <w:vertAlign w:val="superscript"/>
        </w:rPr>
      </w:pPr>
    </w:p>
    <w:p>
      <w:pPr>
        <w:ind w:left="400" w:right="60" w:hanging="393"/>
        <w:spacing w:after="0" w:line="294" w:lineRule="auto"/>
        <w:tabs>
          <w:tab w:leader="none" w:pos="4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Includes restricted shares owned by directors under the Director Stock Program: Ms. Apoliona, 14,375 shares; Mr. Burak, 715 shares; Mr. Erickson, 715 shares; Mr. Feldman, 715 shares; Ms. Hulst, 715 shares; Mr. Lucien, 715 shares; Mr. Mills, 376 shares; Ms. Moy, 715 shares; Mr. Nichols, 715 shares; Ms. Tanabe, 715 shares; Ms. Tokioka, 715 shares; Mr. Vara, 715 shares; and Mr. Wo, 19,515 shares. Also includes shares owned by directors under the Directors Deferred Compensation Plan: Messrs. Nichols, 8,695 shares and Wo, 24,103 shares; and Mmes. Apoliona, 9,606 shares and Tanabe, 13,052 shares.</w:t>
      </w:r>
    </w:p>
    <w:p>
      <w:pPr>
        <w:spacing w:after="0" w:line="64" w:lineRule="exact"/>
        <w:rPr>
          <w:rFonts w:ascii="Arial" w:cs="Arial" w:eastAsia="Arial" w:hAnsi="Arial"/>
          <w:sz w:val="15"/>
          <w:szCs w:val="15"/>
          <w:color w:val="auto"/>
        </w:rPr>
      </w:pPr>
    </w:p>
    <w:p>
      <w:pPr>
        <w:ind w:left="400" w:hanging="393"/>
        <w:spacing w:after="0" w:line="275" w:lineRule="auto"/>
        <w:tabs>
          <w:tab w:leader="none" w:pos="4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shares held individually or jointly by family members as to which the specified director or officer may be deemed to have shared voting or investment power as follows: Mr. Erickson, 2,135 shares; Mr. Wo, 11,161 shares; Mr. Lucien, 36,041 shares; Ms. Sellers, 53,511 shares; Mr. Polk, 19,950 shares, and Mr. Shigemura, 21,890 shares.</w:t>
      </w:r>
    </w:p>
    <w:p>
      <w:pPr>
        <w:spacing w:after="0" w:line="76" w:lineRule="exact"/>
        <w:rPr>
          <w:rFonts w:ascii="Arial" w:cs="Arial" w:eastAsia="Arial" w:hAnsi="Arial"/>
          <w:sz w:val="16"/>
          <w:szCs w:val="16"/>
          <w:color w:val="auto"/>
        </w:rPr>
      </w:pPr>
    </w:p>
    <w:p>
      <w:pPr>
        <w:ind w:left="400" w:hanging="393"/>
        <w:spacing w:after="0"/>
        <w:tabs>
          <w:tab w:leader="none" w:pos="4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1,000 shares held in a Keogh account.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SOUND ENVIRONMENTAL, SOCIAL, AND GOVERNANCE LEADERSHIP</w:t>
      </w:r>
    </w:p>
    <w:p>
      <w:pPr>
        <w:spacing w:after="0" w:line="235" w:lineRule="exact"/>
        <w:rPr>
          <w:sz w:val="20"/>
          <w:szCs w:val="20"/>
          <w:color w:val="auto"/>
        </w:rPr>
      </w:pPr>
    </w:p>
    <w:p>
      <w:pPr>
        <w:ind w:right="40" w:firstLine="546"/>
        <w:spacing w:after="0" w:line="285" w:lineRule="auto"/>
        <w:rPr>
          <w:sz w:val="20"/>
          <w:szCs w:val="20"/>
          <w:color w:val="auto"/>
        </w:rPr>
      </w:pPr>
      <w:r>
        <w:rPr>
          <w:rFonts w:ascii="Arial" w:cs="Arial" w:eastAsia="Arial" w:hAnsi="Arial"/>
          <w:sz w:val="15"/>
          <w:szCs w:val="15"/>
          <w:color w:val="231F20"/>
        </w:rPr>
        <w:t>The Company is dedicated to making corporate social responsibility a part of everything we do in the communities we serve—including how we manage and develop our people, the products and services we offer, and the investments we make in creating a sustainable and resilient economy in our communities. The Bank’s commitment to integrity and ethical excellence drives its Environmental, Social and Governance (“ESG”) strategy. The Company’s senior management team develops the Company’s ESG strategic direction and is driving progress through an internal ESG working group led by a cross-functional team of executives representing Communications, Community &amp; Employee Engagement, Facilities, Human Resources, Investor Relations, and Legal. Our Board is charged with providing guidance, insight and oversight as to the strategy, initiatives and management’s performance in achieving ESG goals. Senior management and the Board remain committed to being a leader among Hawaii’s corporate citizens by fostering an effective and efficient risk and control environment that includes an emphasis on an ethically driven culture, sustainable growth, and an ongoing investment in our employees and our community.</w:t>
      </w:r>
    </w:p>
    <w:p>
      <w:pPr>
        <w:spacing w:after="0" w:line="180" w:lineRule="exact"/>
        <w:rPr>
          <w:sz w:val="20"/>
          <w:szCs w:val="20"/>
          <w:color w:val="auto"/>
        </w:rPr>
      </w:pPr>
    </w:p>
    <w:p>
      <w:pPr>
        <w:ind w:firstLine="546"/>
        <w:spacing w:after="0" w:line="275" w:lineRule="auto"/>
        <w:rPr>
          <w:sz w:val="20"/>
          <w:szCs w:val="20"/>
          <w:color w:val="auto"/>
        </w:rPr>
      </w:pPr>
      <w:r>
        <w:rPr>
          <w:rFonts w:ascii="Arial" w:cs="Arial" w:eastAsia="Arial" w:hAnsi="Arial"/>
          <w:sz w:val="16"/>
          <w:szCs w:val="16"/>
          <w:color w:val="231F20"/>
        </w:rPr>
        <w:t>The Company’s Code of Business Conduct and Ethics drives a workplace and workforce that embraces the highest ethical and moral standards. We maintain strong and confidential reporting processes and procedures that support an open and honest environment in an effort to ensure that the highest principles of integrity and inclusion are maintained.</w:t>
      </w:r>
    </w:p>
    <w:p>
      <w:pPr>
        <w:spacing w:after="0" w:line="183" w:lineRule="exact"/>
        <w:rPr>
          <w:sz w:val="20"/>
          <w:szCs w:val="20"/>
          <w:color w:val="auto"/>
        </w:rPr>
      </w:pPr>
    </w:p>
    <w:p>
      <w:pPr>
        <w:jc w:val="both"/>
        <w:ind w:right="500" w:firstLine="546"/>
        <w:spacing w:after="0" w:line="301" w:lineRule="auto"/>
        <w:rPr>
          <w:sz w:val="20"/>
          <w:szCs w:val="20"/>
          <w:color w:val="auto"/>
        </w:rPr>
      </w:pPr>
      <w:r>
        <w:rPr>
          <w:rFonts w:ascii="Arial" w:cs="Arial" w:eastAsia="Arial" w:hAnsi="Arial"/>
          <w:sz w:val="15"/>
          <w:szCs w:val="15"/>
          <w:color w:val="231F20"/>
        </w:rPr>
        <w:t>The Company believes that a diverse and inclusive workforce fosters an environment where everyone can thrive and be successful. As of December 31, 2021, approximately 87% of the Company’s workforce are minorities (non-Caucasian) and approximately 63% are female, including 45% and 56% of our senior leaders and managers, respectively. In addition, we conduct an external pay equity study periodically to ensure that a gender pay gap does not exist.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COMMITMENT TO EFFECTIVE CORPORATE GOVERNANCE</w:t>
      </w:r>
    </w:p>
    <w:p>
      <w:pPr>
        <w:spacing w:after="0" w:line="2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is committed to effective corporate governance practices that enhance and protect shareholder rights including:</w:t>
      </w:r>
    </w:p>
    <w:p>
      <w:pPr>
        <w:spacing w:after="0" w:line="124" w:lineRule="exact"/>
        <w:rPr>
          <w:sz w:val="20"/>
          <w:szCs w:val="20"/>
          <w:color w:val="auto"/>
        </w:rPr>
      </w:pPr>
    </w:p>
    <w:p>
      <w:pPr>
        <w:ind w:left="1080" w:hanging="538"/>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Annually elected directors</w:t>
      </w:r>
    </w:p>
    <w:p>
      <w:pPr>
        <w:spacing w:after="0" w:line="163" w:lineRule="exact"/>
        <w:rPr>
          <w:rFonts w:ascii="Arial" w:cs="Arial" w:eastAsia="Arial" w:hAnsi="Arial"/>
          <w:sz w:val="16"/>
          <w:szCs w:val="16"/>
          <w:color w:val="auto"/>
        </w:rPr>
      </w:pPr>
    </w:p>
    <w:p>
      <w:pPr>
        <w:ind w:left="1080" w:hanging="538"/>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Majority voting in director elections with a plurality carve out in the case of contested elections and a director resignation policy</w:t>
      </w:r>
    </w:p>
    <w:p>
      <w:pPr>
        <w:spacing w:after="0" w:line="163" w:lineRule="exact"/>
        <w:rPr>
          <w:rFonts w:ascii="Arial" w:cs="Arial" w:eastAsia="Arial" w:hAnsi="Arial"/>
          <w:sz w:val="16"/>
          <w:szCs w:val="16"/>
          <w:color w:val="auto"/>
        </w:rPr>
      </w:pPr>
    </w:p>
    <w:p>
      <w:pPr>
        <w:ind w:left="1080" w:hanging="538"/>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Independent directors comprise 86% (12) of the Board and 100% of key committees</w:t>
      </w:r>
    </w:p>
    <w:p>
      <w:pPr>
        <w:spacing w:after="0" w:line="163" w:lineRule="exact"/>
        <w:rPr>
          <w:rFonts w:ascii="Arial" w:cs="Arial" w:eastAsia="Arial" w:hAnsi="Arial"/>
          <w:sz w:val="16"/>
          <w:szCs w:val="16"/>
          <w:color w:val="auto"/>
        </w:rPr>
      </w:pPr>
    </w:p>
    <w:p>
      <w:pPr>
        <w:ind w:left="1080" w:hanging="538"/>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36% of directors are women (5)</w:t>
      </w:r>
    </w:p>
    <w:p>
      <w:pPr>
        <w:spacing w:after="0" w:line="163" w:lineRule="exact"/>
        <w:rPr>
          <w:rFonts w:ascii="Arial" w:cs="Arial" w:eastAsia="Arial" w:hAnsi="Arial"/>
          <w:sz w:val="16"/>
          <w:szCs w:val="16"/>
          <w:color w:val="auto"/>
        </w:rPr>
      </w:pPr>
    </w:p>
    <w:p>
      <w:pPr>
        <w:ind w:left="1080" w:hanging="538"/>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50% of directors are ethnically diverse (7)</w:t>
      </w:r>
    </w:p>
    <w:p>
      <w:pPr>
        <w:spacing w:after="0" w:line="163" w:lineRule="exact"/>
        <w:rPr>
          <w:rFonts w:ascii="Arial" w:cs="Arial" w:eastAsia="Arial" w:hAnsi="Arial"/>
          <w:sz w:val="16"/>
          <w:szCs w:val="16"/>
          <w:color w:val="auto"/>
        </w:rPr>
      </w:pPr>
    </w:p>
    <w:p>
      <w:pPr>
        <w:ind w:left="1080" w:hanging="538"/>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Ongoing director refreshment with 6 new directors added in the past 5 years</w:t>
      </w:r>
    </w:p>
    <w:p>
      <w:pPr>
        <w:spacing w:after="0" w:line="163" w:lineRule="exact"/>
        <w:rPr>
          <w:rFonts w:ascii="Arial" w:cs="Arial" w:eastAsia="Arial" w:hAnsi="Arial"/>
          <w:sz w:val="16"/>
          <w:szCs w:val="16"/>
          <w:color w:val="auto"/>
        </w:rPr>
      </w:pPr>
    </w:p>
    <w:p>
      <w:pPr>
        <w:ind w:left="1080" w:hanging="538"/>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directors are subject to Company stock ownership guidelines equal to 5 times the director annual cash retainer</w:t>
      </w:r>
    </w:p>
    <w:p>
      <w:pPr>
        <w:spacing w:after="0" w:line="163" w:lineRule="exact"/>
        <w:rPr>
          <w:rFonts w:ascii="Arial" w:cs="Arial" w:eastAsia="Arial" w:hAnsi="Arial"/>
          <w:sz w:val="16"/>
          <w:szCs w:val="16"/>
          <w:color w:val="auto"/>
        </w:rPr>
      </w:pPr>
    </w:p>
    <w:p>
      <w:pPr>
        <w:ind w:left="1080" w:hanging="538"/>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Directors actively participate in continuing education programs on corporate governance and related issues</w:t>
      </w:r>
    </w:p>
    <w:p>
      <w:pPr>
        <w:spacing w:after="0" w:line="163" w:lineRule="exact"/>
        <w:rPr>
          <w:rFonts w:ascii="Arial" w:cs="Arial" w:eastAsia="Arial" w:hAnsi="Arial"/>
          <w:sz w:val="16"/>
          <w:szCs w:val="16"/>
          <w:color w:val="auto"/>
        </w:rPr>
      </w:pPr>
    </w:p>
    <w:p>
      <w:pPr>
        <w:ind w:left="1080" w:hanging="538"/>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Each director attended at least 75% of the Board and the director’s assigned committee meetings</w:t>
      </w:r>
    </w:p>
    <w:p>
      <w:pPr>
        <w:spacing w:after="0" w:line="163" w:lineRule="exact"/>
        <w:rPr>
          <w:rFonts w:ascii="Arial" w:cs="Arial" w:eastAsia="Arial" w:hAnsi="Arial"/>
          <w:sz w:val="16"/>
          <w:szCs w:val="16"/>
          <w:color w:val="auto"/>
        </w:rPr>
      </w:pPr>
    </w:p>
    <w:p>
      <w:pPr>
        <w:ind w:left="1080" w:hanging="538"/>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Company has adopted an annual frequency for the Say-on-Pay vote</w:t>
      </w:r>
    </w:p>
    <w:p>
      <w:pPr>
        <w:spacing w:after="0" w:line="163" w:lineRule="exact"/>
        <w:rPr>
          <w:rFonts w:ascii="Arial" w:cs="Arial" w:eastAsia="Arial" w:hAnsi="Arial"/>
          <w:sz w:val="16"/>
          <w:szCs w:val="16"/>
          <w:color w:val="auto"/>
        </w:rPr>
      </w:pPr>
    </w:p>
    <w:p>
      <w:pPr>
        <w:ind w:left="1080" w:hanging="538"/>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Company participates in robust shareholder outreach activities</w:t>
      </w:r>
    </w:p>
    <w:p>
      <w:pPr>
        <w:spacing w:after="0" w:line="163" w:lineRule="exact"/>
        <w:rPr>
          <w:rFonts w:ascii="Arial" w:cs="Arial" w:eastAsia="Arial" w:hAnsi="Arial"/>
          <w:sz w:val="16"/>
          <w:szCs w:val="16"/>
          <w:color w:val="auto"/>
        </w:rPr>
      </w:pPr>
    </w:p>
    <w:p>
      <w:pPr>
        <w:ind w:left="1080" w:hanging="538"/>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Company supports a whistleblower policy and program</w:t>
      </w:r>
    </w:p>
    <w:p>
      <w:pPr>
        <w:spacing w:after="0" w:line="163" w:lineRule="exact"/>
        <w:rPr>
          <w:rFonts w:ascii="Arial" w:cs="Arial" w:eastAsia="Arial" w:hAnsi="Arial"/>
          <w:sz w:val="16"/>
          <w:szCs w:val="16"/>
          <w:color w:val="auto"/>
        </w:rPr>
      </w:pPr>
    </w:p>
    <w:p>
      <w:pPr>
        <w:ind w:left="1080" w:hanging="538"/>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Company maintains a clawback policy</w:t>
      </w:r>
    </w:p>
    <w:p>
      <w:pPr>
        <w:spacing w:after="0" w:line="163" w:lineRule="exact"/>
        <w:rPr>
          <w:rFonts w:ascii="Arial" w:cs="Arial" w:eastAsia="Arial" w:hAnsi="Arial"/>
          <w:sz w:val="16"/>
          <w:szCs w:val="16"/>
          <w:color w:val="auto"/>
        </w:rPr>
      </w:pPr>
    </w:p>
    <w:p>
      <w:pPr>
        <w:ind w:left="1080" w:hanging="538"/>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 poison pill has been adopted</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 Guidelines</w:t>
      </w:r>
    </w:p>
    <w:p>
      <w:pPr>
        <w:spacing w:after="0" w:line="235" w:lineRule="exact"/>
        <w:rPr>
          <w:sz w:val="20"/>
          <w:szCs w:val="20"/>
          <w:color w:val="auto"/>
        </w:rPr>
      </w:pPr>
    </w:p>
    <w:p>
      <w:pPr>
        <w:ind w:right="140" w:firstLine="546"/>
        <w:spacing w:after="0" w:line="320" w:lineRule="auto"/>
        <w:rPr>
          <w:sz w:val="20"/>
          <w:szCs w:val="20"/>
          <w:color w:val="auto"/>
        </w:rPr>
      </w:pPr>
      <w:r>
        <w:rPr>
          <w:rFonts w:ascii="Arial" w:cs="Arial" w:eastAsia="Arial" w:hAnsi="Arial"/>
          <w:sz w:val="14"/>
          <w:szCs w:val="14"/>
          <w:color w:val="auto"/>
        </w:rPr>
        <w:t>The Company and the Board have adopted Corporate Governance Guidelines (“Governance Guidelines”). The Governance Guidelines are posted on the Investor Relations page of the Company’s website at www.boh.com. The Governance Guidelines address director qualification and independence standards, responsibilities of the Board, access to management and access to independent advisors, compensation, orientation and continuing education, Board committees, Chief Executive Officer (“CEO”) evaluation, management succession, Code of Business Conduct and Ethics, shareholder communications to the Board and the Board’s annual performance evaluation.</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Company’s leadership structure includes both a combined Chairman and CEO and a separate Lead Independent Director. At this time, the Board believes that it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is in the best interests of the Company to have a single individual serve as Chairman and CEO to control and implement the short- and long-term strategies of the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Company. The Board believes that this joint position provides it with the ability to perform its oversight role over management with the benefit of a management perspective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as to the Company’s business strategy and all other aspects of the business. With its Lead Independent Director, this governance structure also provides a form of leadership</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that allows the Board to function distinct from management, capable of objective judgment regarding management’s performance, and enables</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right="280"/>
        <w:spacing w:after="0" w:line="301" w:lineRule="auto"/>
        <w:rPr>
          <w:sz w:val="20"/>
          <w:szCs w:val="20"/>
          <w:color w:val="auto"/>
        </w:rPr>
      </w:pPr>
      <w:r>
        <w:rPr>
          <w:rFonts w:ascii="Arial" w:cs="Arial" w:eastAsia="Arial" w:hAnsi="Arial"/>
          <w:sz w:val="15"/>
          <w:szCs w:val="15"/>
          <w:color w:val="auto"/>
        </w:rPr>
        <w:t>the Board to fulfill its duties effectively and efficiently. The Company’s leadership structure promotes the objectivity of the Board’s decisions and its role in reviewing the performance of management. Through its leadership and governance processes the Company seeks to establish a governance structure that provides both oversight and guidance by the Board to management regarding strategic planning, risk assessment and management, and corporate performance.</w:t>
      </w:r>
    </w:p>
    <w:p>
      <w:pPr>
        <w:spacing w:after="0" w:line="167" w:lineRule="exact"/>
        <w:rPr>
          <w:sz w:val="20"/>
          <w:szCs w:val="20"/>
          <w:color w:val="auto"/>
        </w:rPr>
      </w:pPr>
    </w:p>
    <w:p>
      <w:pPr>
        <w:ind w:right="20" w:firstLine="546"/>
        <w:spacing w:after="0" w:line="268" w:lineRule="auto"/>
        <w:rPr>
          <w:sz w:val="20"/>
          <w:szCs w:val="20"/>
          <w:color w:val="auto"/>
        </w:rPr>
      </w:pPr>
      <w:r>
        <w:rPr>
          <w:rFonts w:ascii="Arial" w:cs="Arial" w:eastAsia="Arial" w:hAnsi="Arial"/>
          <w:sz w:val="16"/>
          <w:szCs w:val="16"/>
          <w:color w:val="auto"/>
        </w:rPr>
        <w:t>The Company’s Lead Independent Director is appointed by the Board and the current Lead Independent Director, Mr. Raymond P. Vara, Jr., was appointed in April 2020. The Company’s Governance Guidelines clearly define the Lead Independent Director’s role and duties which include, but are not limited to, serving as Chairman of the Company’s Nominating &amp; Corporate Governance Committee, presiding over regularly scheduled executive sessions of the non-management directors, serving as a liaison between the non-management directors and executive management, and assisting the Board and executive management to ensure compliance with the Governance Guidelines.</w:t>
      </w:r>
    </w:p>
    <w:p>
      <w:pPr>
        <w:spacing w:after="0" w:line="190" w:lineRule="exact"/>
        <w:rPr>
          <w:sz w:val="20"/>
          <w:szCs w:val="20"/>
          <w:color w:val="auto"/>
        </w:rPr>
      </w:pPr>
    </w:p>
    <w:p>
      <w:pPr>
        <w:ind w:right="380" w:firstLine="546"/>
        <w:spacing w:after="0" w:line="268" w:lineRule="auto"/>
        <w:rPr>
          <w:sz w:val="20"/>
          <w:szCs w:val="20"/>
          <w:color w:val="auto"/>
        </w:rPr>
      </w:pPr>
      <w:r>
        <w:rPr>
          <w:rFonts w:ascii="Arial" w:cs="Arial" w:eastAsia="Arial" w:hAnsi="Arial"/>
          <w:sz w:val="16"/>
          <w:szCs w:val="16"/>
          <w:color w:val="auto"/>
        </w:rPr>
        <w:t>The Company’s Nominating &amp; Corporate Governance Committee has determined that 12 of the 13 current non-management directors, including the Lead Independent Director, are “independent” as defined by the NYSE rules. The non-management directors meet in executive session without management in attendance for regularly scheduled meetings. The non-management directors may also meet in executive session each time the full Board convenes for a meeting. In 2021, the non-management directors met three times in executive session. The Lead Independent Director also meets regularly on an individual basis with members of the Company’s executive management team.</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Qualifications and Nomination Process</w:t>
      </w:r>
    </w:p>
    <w:p>
      <w:pPr>
        <w:spacing w:after="0" w:line="235" w:lineRule="exact"/>
        <w:rPr>
          <w:sz w:val="20"/>
          <w:szCs w:val="20"/>
          <w:color w:val="auto"/>
        </w:rPr>
      </w:pPr>
    </w:p>
    <w:p>
      <w:pPr>
        <w:ind w:right="120" w:firstLine="546"/>
        <w:spacing w:after="0" w:line="285" w:lineRule="auto"/>
        <w:rPr>
          <w:sz w:val="20"/>
          <w:szCs w:val="20"/>
          <w:color w:val="auto"/>
        </w:rPr>
      </w:pPr>
      <w:r>
        <w:rPr>
          <w:rFonts w:ascii="Arial" w:cs="Arial" w:eastAsia="Arial" w:hAnsi="Arial"/>
          <w:sz w:val="15"/>
          <w:szCs w:val="15"/>
          <w:color w:val="auto"/>
        </w:rPr>
        <w:t>The Nominating &amp; Corporate Governance Committee is responsible for identifying and assessing all director candidates and recommending nominees to the Board. Potential nominees are evaluated based on their independence, within the meaning of the Governance Guidelines and the rules of the NYSE. Candidates to be nominated as a director, including those submitted by shareholders, are selected based on, among other criteria, their integrity, informed judgment, financial literacy, high performance standards, accomplishments and reputation in the community, experience, skill sets, and ability to commit adequate time to Board and committee matters and to act on behalf of shareholders. The criteria also include a determination of the needs of the Board and of the interplay between each individual’s personal qualities and characteristics and those of the other directors and potential directors in building a Board that is effective, collegial and responsive to the needs of the Company and its shareholders. In addition, Board members are expected to participate in continuing education and training opportunities to stay current on corporate governance, industry trends and issues and to enhance their understanding of the Company’s business.</w:t>
      </w:r>
    </w:p>
    <w:p>
      <w:pPr>
        <w:spacing w:after="0" w:line="180" w:lineRule="exact"/>
        <w:rPr>
          <w:sz w:val="20"/>
          <w:szCs w:val="20"/>
          <w:color w:val="auto"/>
        </w:rPr>
      </w:pPr>
    </w:p>
    <w:p>
      <w:pPr>
        <w:ind w:right="60" w:firstLine="546"/>
        <w:spacing w:after="0" w:line="306" w:lineRule="auto"/>
        <w:rPr>
          <w:sz w:val="20"/>
          <w:szCs w:val="20"/>
          <w:color w:val="auto"/>
        </w:rPr>
      </w:pPr>
      <w:r>
        <w:rPr>
          <w:rFonts w:ascii="Arial" w:cs="Arial" w:eastAsia="Arial" w:hAnsi="Arial"/>
          <w:sz w:val="14"/>
          <w:szCs w:val="14"/>
          <w:color w:val="auto"/>
        </w:rPr>
        <w:t>The objective of the Nominating &amp; Corporate Governance Committee is to present a combination of candidates that will result in a Board with a wide range of skills, expertise, industry knowledge, viewpoints, and backgrounds, with business and community contacts relevant to the Company’s business. To accomplish this, the Nominating &amp; Corporate Governance Committee seeks candidates from different age groups, ethnicities, genders, industries, and experiences, in addition to the criteria described above. The Board includes directors with experience in public corporations, nonprofit organizations, and entrepreneurial individuals who have successfully run their own private enterprises. The Board also has the broad set of skills necessary for providing oversight to a financial institution, which includes proven leadership and expertise in finance, accounting, information technology, risk management, lending, investment management, digital marketing, data analytics and communications. A shareholder may submit a candidate for consideration by the Board to be included in the Board’s slate of director nominees. Candidates proposed by shareholders will be evaluated by the Nominating &amp; Corporate Governance Committee under the same criteria that are applied to other candidates. The criteria are set forth above and in the Company’s Bylaws and Governance Guidelines. Candidates to be considered for nomination by the Nominating &amp; Corporate Governance Committee at the 2023 Annual Meeting of Shareholders must be presented in writing to the Corporate Secretary on or before November 18, 2022, at 130 Merchant Street, Honolulu, Hawaii 96813.</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Experience, Tenure, Diversity and Refreshment</w:t>
      </w:r>
    </w:p>
    <w:p>
      <w:pPr>
        <w:spacing w:after="0" w:line="235" w:lineRule="exact"/>
        <w:rPr>
          <w:sz w:val="20"/>
          <w:szCs w:val="20"/>
          <w:color w:val="auto"/>
        </w:rPr>
      </w:pPr>
    </w:p>
    <w:p>
      <w:pPr>
        <w:ind w:right="80" w:firstLine="546"/>
        <w:spacing w:after="0" w:line="275" w:lineRule="auto"/>
        <w:rPr>
          <w:sz w:val="20"/>
          <w:szCs w:val="20"/>
          <w:color w:val="auto"/>
        </w:rPr>
      </w:pPr>
      <w:r>
        <w:rPr>
          <w:rFonts w:ascii="Arial" w:cs="Arial" w:eastAsia="Arial" w:hAnsi="Arial"/>
          <w:sz w:val="16"/>
          <w:szCs w:val="16"/>
          <w:color w:val="auto"/>
        </w:rPr>
        <w:t>The Board maintains a unique balance of experience, tenure, diversity, cultural and local market knowledge and broad subject matter expertise. While our longer-tenured directors carry a wealth of experience and deep understanding of the Company and our industry, the Board embraces the need for fresh perspectives and is committed to continued director refreshment.</w:t>
      </w:r>
    </w:p>
    <w:p>
      <w:pPr>
        <w:spacing w:after="0" w:line="183" w:lineRule="exact"/>
        <w:rPr>
          <w:sz w:val="20"/>
          <w:szCs w:val="20"/>
          <w:color w:val="auto"/>
        </w:rPr>
      </w:pPr>
    </w:p>
    <w:p>
      <w:pPr>
        <w:ind w:firstLine="546"/>
        <w:spacing w:after="0" w:line="275" w:lineRule="auto"/>
        <w:rPr>
          <w:sz w:val="20"/>
          <w:szCs w:val="20"/>
          <w:color w:val="auto"/>
        </w:rPr>
      </w:pPr>
      <w:r>
        <w:rPr>
          <w:rFonts w:ascii="Arial" w:cs="Arial" w:eastAsia="Arial" w:hAnsi="Arial"/>
          <w:sz w:val="16"/>
          <w:szCs w:val="16"/>
          <w:color w:val="auto"/>
        </w:rPr>
        <w:t>Since 2017, the Board has added six new directors. In anticipation of the retirement of three directors in 2024, on October 22, 2021 the Board increased the number of directors on the Board to 14 and elected new director Elliot K. Mills to serve until the 2022 Annual Meeting. On February 18, 2022, Mr. Mills and the other current directors were nominated to stand for re-election at the 2022 Annual Meeting.</w:t>
      </w:r>
    </w:p>
    <w:p>
      <w:pPr>
        <w:spacing w:after="0" w:line="183" w:lineRule="exact"/>
        <w:rPr>
          <w:sz w:val="20"/>
          <w:szCs w:val="20"/>
          <w:color w:val="auto"/>
        </w:rPr>
      </w:pPr>
    </w:p>
    <w:p>
      <w:pPr>
        <w:ind w:right="140" w:firstLine="546"/>
        <w:spacing w:after="0" w:line="289" w:lineRule="auto"/>
        <w:rPr>
          <w:sz w:val="20"/>
          <w:szCs w:val="20"/>
          <w:color w:val="auto"/>
        </w:rPr>
      </w:pPr>
      <w:r>
        <w:rPr>
          <w:rFonts w:ascii="Arial" w:cs="Arial" w:eastAsia="Arial" w:hAnsi="Arial"/>
          <w:sz w:val="16"/>
          <w:szCs w:val="16"/>
          <w:color w:val="auto"/>
        </w:rPr>
        <w:t>The Board employs a balanced approach to populating Board Committees. This refreshment strategy results in a membership that maintains new and contemporary perspectives, ideas and approaches, with the appointment of Mmes. Moy and Tanabe to the Audit &amp; Risk Committee in 2020.</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and Committee Evaluations</w:t>
      </w:r>
    </w:p>
    <w:p>
      <w:pPr>
        <w:spacing w:after="0" w:line="235" w:lineRule="exact"/>
        <w:rPr>
          <w:sz w:val="20"/>
          <w:szCs w:val="20"/>
          <w:color w:val="auto"/>
        </w:rPr>
      </w:pPr>
    </w:p>
    <w:p>
      <w:pPr>
        <w:ind w:right="40" w:firstLine="546"/>
        <w:spacing w:after="0" w:line="294" w:lineRule="auto"/>
        <w:rPr>
          <w:sz w:val="20"/>
          <w:szCs w:val="20"/>
          <w:color w:val="auto"/>
        </w:rPr>
      </w:pPr>
      <w:r>
        <w:rPr>
          <w:rFonts w:ascii="Arial" w:cs="Arial" w:eastAsia="Arial" w:hAnsi="Arial"/>
          <w:sz w:val="15"/>
          <w:szCs w:val="15"/>
          <w:color w:val="auto"/>
        </w:rPr>
        <w:t>The Nominating &amp; Corporate Governance Committee leads and oversees the annual evaluation of the Board and Board committees. The annual evaluation includes an individual director self-assessment and an independent third party hosted survey to determine whether the Board and its committees are functioning effectively. The Nominating &amp; Corporate Governance Committee establishes the evaluation criteria, oversees the evaluation process, discusses the results with the Board, and implements any changes that emerge from the evaluations that the Board deems appropriate to enhance Board effectiveness.</w:t>
      </w:r>
    </w:p>
    <w:p>
      <w:pPr>
        <w:spacing w:after="0" w:line="171" w:lineRule="exact"/>
        <w:rPr>
          <w:sz w:val="20"/>
          <w:szCs w:val="20"/>
          <w:color w:val="auto"/>
        </w:rPr>
      </w:pPr>
    </w:p>
    <w:p>
      <w:pPr>
        <w:ind w:firstLine="546"/>
        <w:spacing w:after="0" w:line="267" w:lineRule="auto"/>
        <w:rPr>
          <w:sz w:val="20"/>
          <w:szCs w:val="20"/>
          <w:color w:val="auto"/>
        </w:rPr>
      </w:pPr>
      <w:r>
        <w:rPr>
          <w:rFonts w:ascii="Arial" w:cs="Arial" w:eastAsia="Arial" w:hAnsi="Arial"/>
          <w:sz w:val="16"/>
          <w:szCs w:val="16"/>
          <w:color w:val="auto"/>
        </w:rPr>
        <w:t>An independent consultant provides assistance with the design of the online survey instrument and administers the survey on behalf of the Nominating &amp; Corporate Governance Committee, thereby assuring anonymity of participant responses through a secure, encrypted website. A written report of total sample data, as well as data for the Board committees, is prepared by the consultant, analyzing the closed-end questions and including the verbatim comments offered by directors at the close of each section of the survey that may provide recommendations for improvement. The report also tracks current data against results from previous surveys, where comparable. The Nominating &amp; Corporate Governance Committee, through the same third party, distributes a survey to executive management for feedback concerning how the Board and its committees can enhance their effectiveness.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Majority Voting</w:t>
      </w:r>
    </w:p>
    <w:p>
      <w:pPr>
        <w:spacing w:after="0" w:line="235" w:lineRule="exact"/>
        <w:rPr>
          <w:sz w:val="20"/>
          <w:szCs w:val="20"/>
          <w:color w:val="auto"/>
        </w:rPr>
      </w:pPr>
    </w:p>
    <w:p>
      <w:pPr>
        <w:ind w:right="260" w:firstLine="546"/>
        <w:spacing w:after="0" w:line="270" w:lineRule="auto"/>
        <w:rPr>
          <w:sz w:val="20"/>
          <w:szCs w:val="20"/>
          <w:color w:val="auto"/>
        </w:rPr>
      </w:pPr>
      <w:r>
        <w:rPr>
          <w:rFonts w:ascii="Arial" w:cs="Arial" w:eastAsia="Arial" w:hAnsi="Arial"/>
          <w:sz w:val="16"/>
          <w:szCs w:val="16"/>
          <w:color w:val="auto"/>
        </w:rPr>
        <w:t>The Company’s Bylaws and Governance Guidelines provide for majority voting in uncontested elections and a resignation process in the event a director nominee does not obtain a majority of votes cast. The resignation process provides the Board with discretion to accept or reject a tendered resignation if a majority vote is not obtained. If the tendered resignation is not accepted by the Board, the Board shall not nominate such director to stand for re-election at the next annual meeting of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Communication with Directors</w:t>
      </w:r>
    </w:p>
    <w:p>
      <w:pPr>
        <w:spacing w:after="0" w:line="235" w:lineRule="exact"/>
        <w:rPr>
          <w:sz w:val="20"/>
          <w:szCs w:val="20"/>
          <w:color w:val="auto"/>
        </w:rPr>
      </w:pPr>
    </w:p>
    <w:p>
      <w:pPr>
        <w:ind w:right="160" w:firstLine="546"/>
        <w:spacing w:after="0" w:line="275" w:lineRule="auto"/>
        <w:rPr>
          <w:sz w:val="20"/>
          <w:szCs w:val="20"/>
          <w:color w:val="auto"/>
        </w:rPr>
      </w:pPr>
      <w:r>
        <w:rPr>
          <w:rFonts w:ascii="Arial" w:cs="Arial" w:eastAsia="Arial" w:hAnsi="Arial"/>
          <w:sz w:val="16"/>
          <w:szCs w:val="16"/>
          <w:color w:val="auto"/>
        </w:rPr>
        <w:t>Shareholders and any interested parties may communicate with the Board, non-management directors, or the Lead Independent Director by sending correspondence c/o the Company’s Corporate Secretary, 130 Merchant Street, Honolulu, Hawaii 96813. All appropriate communications received will be forwarded to the Board, non-management directors or the Lead Independent Director as addressed.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Business Conduct and Ethics</w:t>
      </w:r>
    </w:p>
    <w:p>
      <w:pPr>
        <w:spacing w:after="0" w:line="235" w:lineRule="exact"/>
        <w:rPr>
          <w:sz w:val="20"/>
          <w:szCs w:val="20"/>
          <w:color w:val="auto"/>
        </w:rPr>
      </w:pPr>
    </w:p>
    <w:p>
      <w:pPr>
        <w:ind w:right="160" w:firstLine="546"/>
        <w:spacing w:after="0" w:line="275" w:lineRule="auto"/>
        <w:rPr>
          <w:sz w:val="20"/>
          <w:szCs w:val="20"/>
          <w:color w:val="auto"/>
        </w:rPr>
      </w:pPr>
      <w:r>
        <w:rPr>
          <w:rFonts w:ascii="Arial" w:cs="Arial" w:eastAsia="Arial" w:hAnsi="Arial"/>
          <w:sz w:val="16"/>
          <w:szCs w:val="16"/>
          <w:color w:val="auto"/>
        </w:rPr>
        <w:t>The Company has earned its reputation as a respected leader in the communities it serves and in the financial services industry by conducting business in an ethical, responsible and professional manner. The Company is proud of the high standards of quality and service that have been its hallmark through the years. These qualities represent fundamental business practices and apply to all directors, officers and employees.</w:t>
      </w:r>
    </w:p>
    <w:p>
      <w:pPr>
        <w:spacing w:after="0" w:line="183" w:lineRule="exact"/>
        <w:rPr>
          <w:sz w:val="20"/>
          <w:szCs w:val="20"/>
          <w:color w:val="auto"/>
        </w:rPr>
      </w:pPr>
    </w:p>
    <w:p>
      <w:pPr>
        <w:ind w:right="20" w:firstLine="546"/>
        <w:spacing w:after="0" w:line="284" w:lineRule="auto"/>
        <w:rPr>
          <w:sz w:val="20"/>
          <w:szCs w:val="20"/>
          <w:color w:val="auto"/>
        </w:rPr>
      </w:pPr>
      <w:r>
        <w:rPr>
          <w:rFonts w:ascii="Arial" w:cs="Arial" w:eastAsia="Arial" w:hAnsi="Arial"/>
          <w:sz w:val="15"/>
          <w:szCs w:val="15"/>
          <w:color w:val="auto"/>
        </w:rPr>
        <w:t>The Company and the Board have adopted a Code of Business Conduct and Ethics (the “Code”) for directors, executive officers (including the Company’s Chief Executive Officer, Chief Financial Officer, Principal Accounting Officer and Controller) and employees that are posted on the Investor Relations page of the Company’s website at www.boh.com. The Code addresses the professional, honest and ethical conduct required of each director, officer and employee, conflicts of interest, disclosure process, compliance with laws, rules and regulations (including securities trading), corporate opportunities, confidentiality, fair dealing, protection and proper use of Company assets, and encourages the reporting of any illegal or unethical behavior through robust reporting protocols and whistleblower protections. The Company also maintains a whistleblower and anti-retaliation policy and encourages conduct reporting through several designated channels, including the Chair of the Audit &amp; Risk Committee, Chief Ethics Officer, General Counsel and a third party hosted anonymous alert line. A waiver of any provision of the Code may be made only by the Audit &amp; Risk Committee of the Board and must be promptly disclosed as required by SEC and NYSE rules. The Company will disclose any such waivers, as well as any amendments to the Code, on the Company’s website at www.boh.com.</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Policy Prohibiting Hedging and Pledging of Company Stock</w:t>
      </w:r>
    </w:p>
    <w:p>
      <w:pPr>
        <w:spacing w:after="0" w:line="235" w:lineRule="exact"/>
        <w:rPr>
          <w:sz w:val="20"/>
          <w:szCs w:val="20"/>
          <w:color w:val="auto"/>
        </w:rPr>
      </w:pPr>
    </w:p>
    <w:p>
      <w:pPr>
        <w:jc w:val="both"/>
        <w:ind w:right="100" w:firstLine="546"/>
        <w:spacing w:after="0" w:line="275" w:lineRule="auto"/>
        <w:rPr>
          <w:sz w:val="20"/>
          <w:szCs w:val="20"/>
          <w:color w:val="auto"/>
        </w:rPr>
      </w:pPr>
      <w:r>
        <w:rPr>
          <w:rFonts w:ascii="Arial" w:cs="Arial" w:eastAsia="Arial" w:hAnsi="Arial"/>
          <w:sz w:val="16"/>
          <w:szCs w:val="16"/>
          <w:color w:val="auto"/>
        </w:rPr>
        <w:t>The Company’s Securities Trading Policy (the “Policy”) specifically prohibits directors and employees from hedging the risk associated with the ownership of Bank of Hawaii Corporation’s common stock. The Policy also prohibits directors and employees from pledging transactions involving Bank of Hawaii Corporation common stock as collateral, including the use of a traditional margin account with a broker-dealer.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Independence</w:t>
      </w:r>
    </w:p>
    <w:p>
      <w:pPr>
        <w:spacing w:after="0" w:line="235" w:lineRule="exact"/>
        <w:rPr>
          <w:sz w:val="20"/>
          <w:szCs w:val="20"/>
          <w:color w:val="auto"/>
        </w:rPr>
      </w:pPr>
    </w:p>
    <w:p>
      <w:pPr>
        <w:jc w:val="both"/>
        <w:ind w:right="100" w:firstLine="546"/>
        <w:spacing w:after="0" w:line="331" w:lineRule="auto"/>
        <w:rPr>
          <w:sz w:val="20"/>
          <w:szCs w:val="20"/>
          <w:color w:val="auto"/>
        </w:rPr>
      </w:pPr>
      <w:r>
        <w:rPr>
          <w:rFonts w:ascii="Arial" w:cs="Arial" w:eastAsia="Arial" w:hAnsi="Arial"/>
          <w:sz w:val="14"/>
          <w:szCs w:val="14"/>
          <w:color w:val="auto"/>
        </w:rPr>
        <w:t>The Board is comprised of a majority of independent directors as defined by the NYSE listing standards. In affirmatively determining that a director is independent of the Company’s management and has no material relationship with the Company, either directly or indirectly as a partner, shareholder, or officer of an organization that has a relationship with the Company, the Board applies the following categorical standards, in addition to such other factors as the Board deems appropriate:</w:t>
      </w:r>
    </w:p>
    <w:p>
      <w:pPr>
        <w:spacing w:after="0" w:line="43" w:lineRule="exact"/>
        <w:rPr>
          <w:sz w:val="20"/>
          <w:szCs w:val="20"/>
          <w:color w:val="auto"/>
        </w:rPr>
      </w:pPr>
    </w:p>
    <w:p>
      <w:pPr>
        <w:ind w:left="1080" w:right="20" w:hanging="538"/>
        <w:spacing w:after="0" w:line="331" w:lineRule="auto"/>
        <w:tabs>
          <w:tab w:leader="none" w:pos="10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 no event shall a director be considered independent if the director is an employee, or a member of the director’s immediate family is an executive officer of the Company until three years after the end of such employment relationship. Employment as an interim Chairman of the Board, Chief Executive Officer, Chief Financial Officer or other executive officer shall not disqualify a director from being considered independent following that employment.</w:t>
      </w:r>
    </w:p>
    <w:p>
      <w:pPr>
        <w:spacing w:after="0" w:line="42" w:lineRule="exact"/>
        <w:rPr>
          <w:rFonts w:ascii="Arial" w:cs="Arial" w:eastAsia="Arial" w:hAnsi="Arial"/>
          <w:sz w:val="14"/>
          <w:szCs w:val="14"/>
          <w:color w:val="auto"/>
        </w:rPr>
      </w:pPr>
    </w:p>
    <w:p>
      <w:pPr>
        <w:ind w:left="1080" w:right="100" w:hanging="538"/>
        <w:spacing w:after="0" w:line="270"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 no event shall a director be considered independent if the director receives, or a member of the director’s immediate family who serves as an executive officer of the Company receives more than $120,000 per year in direct compensation from the Company, other than director and committee fees and pension or other forms of deferred compensation for prior service (provided such compensation is not contingent in any way on continued service). A director may not be considered independent until three years after ceasing to receive such compensation.</w:t>
      </w:r>
    </w:p>
    <w:p>
      <w:pPr>
        <w:spacing w:after="0" w:line="81" w:lineRule="exact"/>
        <w:rPr>
          <w:rFonts w:ascii="Arial" w:cs="Arial" w:eastAsia="Arial" w:hAnsi="Arial"/>
          <w:sz w:val="16"/>
          <w:szCs w:val="16"/>
          <w:color w:val="auto"/>
        </w:rPr>
      </w:pPr>
    </w:p>
    <w:p>
      <w:pPr>
        <w:ind w:left="1080" w:right="100" w:hanging="538"/>
        <w:spacing w:after="0" w:line="275"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 no event shall a director be considered independent if the director is a current partner or employee of the Company’s internal or external auditor, or whose immediate family member is a current partner or employee of such a firm and personally works on the Company’s audit; or was a partner or employee of such a firm and personally worked on the Company’s audit within the last three years.</w:t>
      </w:r>
    </w:p>
    <w:p>
      <w:pPr>
        <w:spacing w:after="0" w:line="76" w:lineRule="exact"/>
        <w:rPr>
          <w:rFonts w:ascii="Arial" w:cs="Arial" w:eastAsia="Arial" w:hAnsi="Arial"/>
          <w:sz w:val="16"/>
          <w:szCs w:val="16"/>
          <w:color w:val="auto"/>
        </w:rPr>
      </w:pPr>
    </w:p>
    <w:p>
      <w:pPr>
        <w:ind w:left="1080" w:right="280" w:hanging="538"/>
        <w:spacing w:after="0" w:line="275"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 no event shall a director be considered independent if the director is employed, or a member of the director’s immediate family is employed, as an executive officer of another company where any of the Company’s present executives serves on that company’s compensation committee until three years after the end of such service or employment relationship.</w:t>
      </w:r>
    </w:p>
    <w:p>
      <w:pPr>
        <w:spacing w:after="0" w:line="76" w:lineRule="exact"/>
        <w:rPr>
          <w:rFonts w:ascii="Arial" w:cs="Arial" w:eastAsia="Arial" w:hAnsi="Arial"/>
          <w:sz w:val="16"/>
          <w:szCs w:val="16"/>
          <w:color w:val="auto"/>
        </w:rPr>
      </w:pPr>
    </w:p>
    <w:p>
      <w:pPr>
        <w:ind w:left="1080" w:right="40" w:hanging="538"/>
        <w:spacing w:after="0" w:line="270"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 no event shall a director be considered independent if the director is an executive officer or employee, or an immediate family member of the director is an executive officer, of a company that makes payments to, or receives payments from, the Company for property or services rendered in an amount which, in any single fiscal year, exceeds the greater of $1.0 million, or 2% of such other company’s consolidated gross revenues for such year, until three years after falling below such threshold.</w:t>
      </w:r>
    </w:p>
    <w:p>
      <w:pPr>
        <w:spacing w:after="0" w:line="81" w:lineRule="exact"/>
        <w:rPr>
          <w:rFonts w:ascii="Arial" w:cs="Arial" w:eastAsia="Arial" w:hAnsi="Arial"/>
          <w:sz w:val="16"/>
          <w:szCs w:val="16"/>
          <w:color w:val="auto"/>
        </w:rPr>
      </w:pPr>
    </w:p>
    <w:p>
      <w:pPr>
        <w:ind w:left="1080" w:hanging="538"/>
        <w:spacing w:after="0" w:line="290" w:lineRule="auto"/>
        <w:tabs>
          <w:tab w:leader="none" w:pos="10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 director will not fail to be deemed independent solely as a result of the director’s and the director’s immediate family members’, or a director’s affiliated entities, banking relationship with the Company if such relationship does not violate paragraphs (a) through (e) above and is made in the ordinary course of business on substantially the same terms as those prevailing at the time for comparable transactions with persons not affiliated with the Company and, with respect to extensions of credit, is made in compliance with applicable laws, including Regulation O of the Board of Governors of the Federal Reserve System, and do not involve more than the normal risk of collectability or present other unfavorable features.</w:t>
      </w:r>
    </w:p>
    <w:p>
      <w:pPr>
        <w:spacing w:after="0" w:line="67" w:lineRule="exact"/>
        <w:rPr>
          <w:rFonts w:ascii="Arial" w:cs="Arial" w:eastAsia="Arial" w:hAnsi="Arial"/>
          <w:sz w:val="15"/>
          <w:szCs w:val="15"/>
          <w:color w:val="auto"/>
        </w:rPr>
      </w:pPr>
    </w:p>
    <w:p>
      <w:pPr>
        <w:ind w:left="1080" w:right="160" w:hanging="538"/>
        <w:spacing w:after="0" w:line="294" w:lineRule="auto"/>
        <w:tabs>
          <w:tab w:leader="none" w:pos="10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Audit &amp; Risk Committee members may not receive directly or indirectly any consulting, advisory or other compensatory fee from the Company and shall otherwise meet the independence criteria of Rule 10A-3 under the Securities Exchange Act of 1934, as amended. Audit &amp; Risk Committee members may receive directors’ fees and other in-kind consideration ordinarily available to directors, as well as regular benefits that other directors receive (including any additional such fees or consideration paid to directors with respect to service on committees of the Board).</w:t>
      </w:r>
    </w:p>
    <w:p>
      <w:pPr>
        <w:spacing w:after="0" w:line="64" w:lineRule="exact"/>
        <w:rPr>
          <w:rFonts w:ascii="Arial" w:cs="Arial" w:eastAsia="Arial" w:hAnsi="Arial"/>
          <w:sz w:val="15"/>
          <w:szCs w:val="15"/>
          <w:color w:val="auto"/>
        </w:rPr>
      </w:pPr>
    </w:p>
    <w:p>
      <w:pPr>
        <w:ind w:left="1080" w:right="40" w:hanging="538"/>
        <w:spacing w:after="0" w:line="320" w:lineRule="auto"/>
        <w:tabs>
          <w:tab w:leader="none" w:pos="10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Human Resources &amp; Compensation Committee members may not receive directly or indirectly any consulting, advisory or other compensatory fee from the Company, and shall otherwise meet the independence criteria of Rule 10C-1 under the Securities Exchange Act of 1934, as amended. Human Resources &amp; Compensation Committee members may receive directors’ fees or other in-kind consideration ordinarily available to directors, as well as regular benefits that other directors receive (including any additional such fees or consideration paid to directors with respect to service on committees of the Board).</w:t>
      </w:r>
    </w:p>
    <w:p>
      <w:pPr>
        <w:spacing w:after="0" w:line="50" w:lineRule="exact"/>
        <w:rPr>
          <w:rFonts w:ascii="Arial" w:cs="Arial" w:eastAsia="Arial" w:hAnsi="Arial"/>
          <w:sz w:val="14"/>
          <w:szCs w:val="14"/>
          <w:color w:val="auto"/>
        </w:rPr>
      </w:pPr>
    </w:p>
    <w:p>
      <w:pPr>
        <w:ind w:left="1080" w:right="100" w:hanging="538"/>
        <w:spacing w:after="0" w:line="301" w:lineRule="auto"/>
        <w:tabs>
          <w:tab w:leader="none" w:pos="10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If a particular commercial, industrial, banking, consulting, legal, accounting, charitable or familial relationship or transaction that is not addressed by the above standards exists between a director and the Company, the Board will determine, after taking into account all relevant facts and circumstances, whether such relationship or transaction is in the Board’s judgment material, and therefore whether the affected director is independent.</w:t>
      </w:r>
    </w:p>
    <w:p>
      <w:pPr>
        <w:spacing w:after="0" w:line="167" w:lineRule="exact"/>
        <w:rPr>
          <w:sz w:val="20"/>
          <w:szCs w:val="20"/>
          <w:color w:val="auto"/>
        </w:rPr>
      </w:pPr>
    </w:p>
    <w:p>
      <w:pPr>
        <w:ind w:right="120" w:firstLine="546"/>
        <w:spacing w:after="0" w:line="289" w:lineRule="auto"/>
        <w:rPr>
          <w:sz w:val="20"/>
          <w:szCs w:val="20"/>
          <w:color w:val="auto"/>
        </w:rPr>
      </w:pPr>
      <w:r>
        <w:rPr>
          <w:rFonts w:ascii="Arial" w:cs="Arial" w:eastAsia="Arial" w:hAnsi="Arial"/>
          <w:sz w:val="16"/>
          <w:szCs w:val="16"/>
          <w:color w:val="auto"/>
        </w:rPr>
        <w:t>For purposes of these independence standards, an “immediate family member” includes the director’s spouse, parents, children, siblings, mothers and fathers-in-law, sons and daughters-in-law, brothers and sisters-in-law, and anyone (other than a domestic employee) who shares the director’s home.</w:t>
      </w:r>
    </w:p>
    <w:p>
      <w:pPr>
        <w:spacing w:after="0" w:line="172" w:lineRule="exact"/>
        <w:rPr>
          <w:sz w:val="20"/>
          <w:szCs w:val="20"/>
          <w:color w:val="auto"/>
        </w:rPr>
      </w:pPr>
    </w:p>
    <w:p>
      <w:pPr>
        <w:ind w:right="60" w:firstLine="546"/>
        <w:spacing w:after="0" w:line="267" w:lineRule="auto"/>
        <w:rPr>
          <w:sz w:val="20"/>
          <w:szCs w:val="20"/>
          <w:color w:val="auto"/>
        </w:rPr>
      </w:pPr>
      <w:r>
        <w:rPr>
          <w:rFonts w:ascii="Arial" w:cs="Arial" w:eastAsia="Arial" w:hAnsi="Arial"/>
          <w:sz w:val="16"/>
          <w:szCs w:val="16"/>
          <w:color w:val="auto"/>
        </w:rPr>
        <w:t>The following 12 director nominees standing for election have been determined by the Board to be independent: Messrs. Burak, Erickson, Feldman, Mills, Nichols, Vara, and Wo, and Mmes. Apoliona, Hulst, Moy, Tanabe, and Tokioka, and accordingly, the Board has a majority of independent directors as defined by the listing standards of the NYSE and the Governance Guidelines. The Audit &amp; Risk, Human Resources &amp; Compensation, and Nominating &amp; Corporate Governance Committees are each composed entirely of independent directors who also meet applicable committee independence standards. Mr. Ho is the Chairman, CEO and President of the Company and is therefore not independent. Mr. Lucien, who retired as an employee of the Company in April 2020, was formerly the Vice Chair and Chief Strategy Officer of the Company and is therefore not independent under the NYSE listing standards.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Resources &amp; Compensation Committee Interlocks and Insider Participation</w:t>
      </w:r>
    </w:p>
    <w:p>
      <w:pPr>
        <w:spacing w:after="0" w:line="235" w:lineRule="exact"/>
        <w:rPr>
          <w:sz w:val="20"/>
          <w:szCs w:val="20"/>
          <w:color w:val="auto"/>
        </w:rPr>
      </w:pPr>
    </w:p>
    <w:p>
      <w:pPr>
        <w:jc w:val="both"/>
        <w:ind w:right="120" w:firstLine="546"/>
        <w:spacing w:after="0" w:line="364" w:lineRule="auto"/>
        <w:rPr>
          <w:sz w:val="20"/>
          <w:szCs w:val="20"/>
          <w:color w:val="auto"/>
        </w:rPr>
      </w:pPr>
      <w:r>
        <w:rPr>
          <w:rFonts w:ascii="Arial" w:cs="Arial" w:eastAsia="Arial" w:hAnsi="Arial"/>
          <w:sz w:val="14"/>
          <w:szCs w:val="14"/>
          <w:color w:val="auto"/>
        </w:rPr>
        <w:t>No member of the Human Resources &amp; Compensation Committee during fiscal year 2021 served as an officer, former officer, or employee of the Company or had a relationship that was required to be disclosed under “Certain Relationships and Related Transactions.” Further, during 2021, no executive officer of the Company served as:</w:t>
      </w:r>
    </w:p>
    <w:p>
      <w:pPr>
        <w:spacing w:after="0" w:line="20" w:lineRule="exact"/>
        <w:rPr>
          <w:sz w:val="20"/>
          <w:szCs w:val="20"/>
          <w:color w:val="auto"/>
        </w:rPr>
      </w:pPr>
    </w:p>
    <w:p>
      <w:pPr>
        <w:ind w:left="1080" w:right="320" w:hanging="538"/>
        <w:spacing w:after="0" w:line="324" w:lineRule="auto"/>
        <w:tabs>
          <w:tab w:leader="none" w:pos="10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A member of the Human Resources &amp; Compensation Committee (or equivalent) of any other entity, one of whose executive officers served as one of our directors or was an immediate family member of a director, or served on our Human Resources &amp; Compensation Committee; or</w:t>
      </w:r>
    </w:p>
    <w:p>
      <w:pPr>
        <w:spacing w:after="0" w:line="42" w:lineRule="exact"/>
        <w:rPr>
          <w:rFonts w:ascii="Arial" w:cs="Arial" w:eastAsia="Arial" w:hAnsi="Arial"/>
          <w:sz w:val="15"/>
          <w:szCs w:val="15"/>
          <w:color w:val="auto"/>
        </w:rPr>
      </w:pPr>
    </w:p>
    <w:p>
      <w:pPr>
        <w:ind w:left="1080" w:right="660" w:hanging="538"/>
        <w:spacing w:after="0" w:line="289"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director of any other entity, one of whose executive officers or their immediate family member served on our Human Resources &amp; Compensation Committee.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Oversight of Risk</w:t>
      </w:r>
    </w:p>
    <w:p>
      <w:pPr>
        <w:spacing w:after="0" w:line="235" w:lineRule="exact"/>
        <w:rPr>
          <w:sz w:val="20"/>
          <w:szCs w:val="20"/>
          <w:color w:val="auto"/>
        </w:rPr>
      </w:pPr>
    </w:p>
    <w:p>
      <w:pPr>
        <w:ind w:right="120" w:firstLine="546"/>
        <w:spacing w:after="0" w:line="289" w:lineRule="auto"/>
        <w:rPr>
          <w:sz w:val="20"/>
          <w:szCs w:val="20"/>
          <w:color w:val="auto"/>
        </w:rPr>
      </w:pPr>
      <w:r>
        <w:rPr>
          <w:rFonts w:ascii="Arial" w:cs="Arial" w:eastAsia="Arial" w:hAnsi="Arial"/>
          <w:sz w:val="16"/>
          <w:szCs w:val="16"/>
          <w:color w:val="auto"/>
        </w:rPr>
        <w:t>The Company’s governance, including policies, standards and procedures, has been developed with the goal of ensuring that business decisions and the execution of business processes are in compliance with legal and regulatory requirements.</w:t>
      </w:r>
    </w:p>
    <w:p>
      <w:pPr>
        <w:spacing w:after="0" w:line="172" w:lineRule="exact"/>
        <w:rPr>
          <w:sz w:val="20"/>
          <w:szCs w:val="20"/>
          <w:color w:val="auto"/>
        </w:rPr>
      </w:pPr>
    </w:p>
    <w:p>
      <w:pPr>
        <w:ind w:right="140" w:firstLine="546"/>
        <w:spacing w:after="0" w:line="268" w:lineRule="auto"/>
        <w:rPr>
          <w:sz w:val="20"/>
          <w:szCs w:val="20"/>
          <w:color w:val="auto"/>
        </w:rPr>
      </w:pPr>
      <w:r>
        <w:rPr>
          <w:rFonts w:ascii="Arial" w:cs="Arial" w:eastAsia="Arial" w:hAnsi="Arial"/>
          <w:sz w:val="16"/>
          <w:szCs w:val="16"/>
          <w:color w:val="auto"/>
        </w:rPr>
        <w:t>Authority for accepting risk exposures on behalf of the Company originates from the Board. In turn, that authority is delegated through the Board-appointed Executive Committee, chaired by the CEO and comprised of executive management, and its subcommittees, including the Risk Council. The Risk Council, chaired by the Chief Risk Officer, provides the Executive Committee with a forum for the review and communication of both specific and company-wide risk issues, and serves to enhance collaboration among all areas of the Company that create and manage risk, while reinforcing executive management’s responsibility for ensuring risk is managed within established tolerances.</w:t>
      </w:r>
    </w:p>
    <w:p>
      <w:pPr>
        <w:spacing w:after="0" w:line="190" w:lineRule="exact"/>
        <w:rPr>
          <w:sz w:val="20"/>
          <w:szCs w:val="20"/>
          <w:color w:val="auto"/>
        </w:rPr>
      </w:pPr>
    </w:p>
    <w:p>
      <w:pPr>
        <w:ind w:right="160" w:firstLine="546"/>
        <w:spacing w:after="0" w:line="301" w:lineRule="auto"/>
        <w:rPr>
          <w:sz w:val="20"/>
          <w:szCs w:val="20"/>
          <w:color w:val="auto"/>
        </w:rPr>
      </w:pPr>
      <w:r>
        <w:rPr>
          <w:rFonts w:ascii="Arial" w:cs="Arial" w:eastAsia="Arial" w:hAnsi="Arial"/>
          <w:sz w:val="15"/>
          <w:szCs w:val="15"/>
          <w:color w:val="auto"/>
        </w:rPr>
        <w:t>Risk management at the Company is the process for identifying, measuring, controlling and monitoring risk across the enterprise given its business as a financial institution and financial intermediary. Risk Management crosses all functions and employees and is embedded in all aspects of planning and performance measurement. The Company’s systems, information and timely reporting are designed to enable the Company to quickly adapt to early warning signs.</w:t>
      </w:r>
    </w:p>
    <w:p>
      <w:pPr>
        <w:spacing w:after="0" w:line="167" w:lineRule="exact"/>
        <w:rPr>
          <w:sz w:val="20"/>
          <w:szCs w:val="20"/>
          <w:color w:val="auto"/>
        </w:rPr>
      </w:pPr>
    </w:p>
    <w:p>
      <w:pPr>
        <w:ind w:firstLine="546"/>
        <w:spacing w:after="0" w:line="315" w:lineRule="auto"/>
        <w:rPr>
          <w:sz w:val="20"/>
          <w:szCs w:val="20"/>
          <w:color w:val="auto"/>
        </w:rPr>
      </w:pPr>
      <w:r>
        <w:rPr>
          <w:rFonts w:ascii="Arial" w:cs="Arial" w:eastAsia="Arial" w:hAnsi="Arial"/>
          <w:sz w:val="14"/>
          <w:szCs w:val="14"/>
          <w:color w:val="auto"/>
        </w:rPr>
        <w:t>The Board is responsible for oversight of the Company’s enterprise risk framework. The Board implements its risk oversight function both as a whole and through delegation to various committees. The Board has delegated to the Audit &amp; Risk Committee primary responsibility for overseeing financial, credit, investment and operational risk exposures including regulatory and legal risk; to the Fiduciary &amp; Investment Management Committee primary responsibility for oversight of fiduciary and investment risk of client accounts; and to the Human Resources &amp; Compensation Committee primary responsibility for oversight of risk related to management and staff. These committees report to the full Board to ensure the Company’s overall risk exposures are understood, including risk interrelationships. The Board also oversees reputational risk.</w:t>
      </w:r>
    </w:p>
    <w:p>
      <w:pPr>
        <w:spacing w:after="0" w:line="160" w:lineRule="exact"/>
        <w:rPr>
          <w:sz w:val="20"/>
          <w:szCs w:val="20"/>
          <w:color w:val="auto"/>
        </w:rPr>
      </w:pPr>
    </w:p>
    <w:p>
      <w:pPr>
        <w:ind w:right="100" w:firstLine="546"/>
        <w:spacing w:after="0" w:line="320" w:lineRule="auto"/>
        <w:rPr>
          <w:sz w:val="20"/>
          <w:szCs w:val="20"/>
          <w:color w:val="auto"/>
        </w:rPr>
      </w:pPr>
      <w:r>
        <w:rPr>
          <w:rFonts w:ascii="Arial" w:cs="Arial" w:eastAsia="Arial" w:hAnsi="Arial"/>
          <w:sz w:val="14"/>
          <w:szCs w:val="14"/>
          <w:color w:val="auto"/>
        </w:rPr>
        <w:t>Risk reports are provided and discussed at every committee and Board meeting. In addition to detailed reports, the Board reviews an Enterprise Risk Position report that reflects key risk measures and trends across the Company. Key managers responsible for risk management (Chief Risk Officer, Treasurer, Chief Compliance Officer, General Counsel, and Chief Fiduciary Officer) regularly provide updates at the respective committee and Board meetings. In support of the Board’s risk oversight role and to ensure that potential problems are surfaced, the Audit &amp; Risk Committee directly oversees the Company’s Internal Audit and Credit Review functions.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Cybersecurity and Information Security Risk Oversight</w:t>
      </w:r>
    </w:p>
    <w:p>
      <w:pPr>
        <w:spacing w:after="0" w:line="235" w:lineRule="exact"/>
        <w:rPr>
          <w:sz w:val="20"/>
          <w:szCs w:val="20"/>
          <w:color w:val="auto"/>
        </w:rPr>
      </w:pPr>
    </w:p>
    <w:p>
      <w:pPr>
        <w:ind w:right="60" w:firstLine="546"/>
        <w:spacing w:after="0" w:line="268" w:lineRule="auto"/>
        <w:rPr>
          <w:sz w:val="20"/>
          <w:szCs w:val="20"/>
          <w:color w:val="auto"/>
        </w:rPr>
      </w:pPr>
      <w:r>
        <w:rPr>
          <w:rFonts w:ascii="Arial" w:cs="Arial" w:eastAsia="Arial" w:hAnsi="Arial"/>
          <w:sz w:val="16"/>
          <w:szCs w:val="16"/>
          <w:color w:val="auto"/>
        </w:rPr>
        <w:t>Management of cybersecurity risks is the responsibility of the full Board. In 2021, the Company, the Board, and the Audit &amp; Risk Committee continued to strengthen the management and oversight of cybersecurity risks through new security system enhancements, policies, testing, identification and reporting. The Company continued its program of third party penetration testing and ongoing analysis to identify potential vulnerabilities and need for additional enhancements. The company also continued to support remote work in response to the COVID-19 pandemic which included ensuring the necessary provisions for managing the cybersecurity and information security risks associated with remote work.</w:t>
      </w:r>
    </w:p>
    <w:p>
      <w:pPr>
        <w:spacing w:after="0" w:line="190" w:lineRule="exact"/>
        <w:rPr>
          <w:sz w:val="20"/>
          <w:szCs w:val="20"/>
          <w:color w:val="auto"/>
        </w:rPr>
      </w:pPr>
    </w:p>
    <w:p>
      <w:pPr>
        <w:ind w:right="40" w:firstLine="546"/>
        <w:spacing w:after="0" w:line="302" w:lineRule="auto"/>
        <w:rPr>
          <w:sz w:val="20"/>
          <w:szCs w:val="20"/>
          <w:color w:val="auto"/>
        </w:rPr>
      </w:pPr>
      <w:r>
        <w:rPr>
          <w:rFonts w:ascii="Arial" w:cs="Arial" w:eastAsia="Arial" w:hAnsi="Arial"/>
          <w:sz w:val="14"/>
          <w:szCs w:val="14"/>
          <w:color w:val="auto"/>
        </w:rPr>
        <w:t>The Board devotes significant time and attention to the oversight of cybersecurity and information security risk, and benefits from the technical expertise of certain of its members. In particular, the Board and Audit &amp; Risk Committee each receive regular reporting on cybersecurity and information security risk. At least quarterly, the Audit</w:t>
      </w:r>
    </w:p>
    <w:p>
      <w:pPr>
        <w:ind w:right="80" w:firstLine="7"/>
        <w:spacing w:after="0" w:line="358" w:lineRule="auto"/>
        <w:tabs>
          <w:tab w:leader="none" w:pos="165" w:val="left"/>
        </w:tabs>
        <w:numPr>
          <w:ilvl w:val="0"/>
          <w:numId w:val="59"/>
        </w:numPr>
        <w:rPr>
          <w:rFonts w:ascii="Arial" w:cs="Arial" w:eastAsia="Arial" w:hAnsi="Arial"/>
          <w:sz w:val="14"/>
          <w:szCs w:val="14"/>
          <w:color w:val="auto"/>
        </w:rPr>
      </w:pPr>
      <w:r>
        <w:rPr>
          <w:rFonts w:ascii="Arial" w:cs="Arial" w:eastAsia="Arial" w:hAnsi="Arial"/>
          <w:sz w:val="14"/>
          <w:szCs w:val="14"/>
          <w:color w:val="auto"/>
        </w:rPr>
        <w:t>Risk Committee receives an operational risk update that includes a review of cybersecurity and information security risk. Our Board reviews and approves our Information Security Policy annually and frequently receives presentations on and discusses cybersecurity and information security risks, industry trends and best practices.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Policies and Risk</w:t>
      </w:r>
    </w:p>
    <w:p>
      <w:pPr>
        <w:spacing w:after="0" w:line="235" w:lineRule="exact"/>
        <w:rPr>
          <w:sz w:val="20"/>
          <w:szCs w:val="20"/>
          <w:color w:val="auto"/>
        </w:rPr>
      </w:pPr>
    </w:p>
    <w:p>
      <w:pPr>
        <w:ind w:right="40" w:firstLine="546"/>
        <w:spacing w:after="0" w:line="294" w:lineRule="auto"/>
        <w:rPr>
          <w:sz w:val="20"/>
          <w:szCs w:val="20"/>
          <w:color w:val="auto"/>
        </w:rPr>
      </w:pPr>
      <w:r>
        <w:rPr>
          <w:rFonts w:ascii="Arial" w:cs="Arial" w:eastAsia="Arial" w:hAnsi="Arial"/>
          <w:sz w:val="15"/>
          <w:szCs w:val="15"/>
          <w:color w:val="auto"/>
        </w:rPr>
        <w:t>The Board’s risk oversight responsibility includes the implementation of compensation programs that do not encourage or incentivize excessive risk taking or inappropriate conduct and promote, among other things, gender pay equality. The Human Resources &amp; Compensation Committee is responsible for establishing and reviewing the Company’s executive compensation programs, as well as the compensation programs for employees generally, and ensuring that the programs do not encourage unnecessary or excessive risk taking or create risks that are reasonably likely to have a material adverse effect on the Company and its customers.</w:t>
      </w:r>
    </w:p>
    <w:p>
      <w:pPr>
        <w:spacing w:after="0" w:line="171" w:lineRule="exact"/>
        <w:rPr>
          <w:sz w:val="20"/>
          <w:szCs w:val="20"/>
          <w:color w:val="auto"/>
        </w:rPr>
      </w:pPr>
    </w:p>
    <w:p>
      <w:pPr>
        <w:ind w:right="100" w:firstLine="546"/>
        <w:spacing w:after="0" w:line="294" w:lineRule="auto"/>
        <w:rPr>
          <w:sz w:val="20"/>
          <w:szCs w:val="20"/>
          <w:color w:val="auto"/>
        </w:rPr>
      </w:pPr>
      <w:r>
        <w:rPr>
          <w:rFonts w:ascii="Arial" w:cs="Arial" w:eastAsia="Arial" w:hAnsi="Arial"/>
          <w:sz w:val="15"/>
          <w:szCs w:val="15"/>
          <w:color w:val="auto"/>
        </w:rPr>
        <w:t>The Company, in addition to its annual comprehensive review, receives ongoing reporting relating to the Company’s incentive plans’ design, performance, payouts and customer impact, with oversight by and reporting to the Board, Audit &amp; Risk Committee and Human Resources &amp; Compensation Committee. This reporting includes an analysis of potential “red flag” indicators including the existence, nature and extent of any customer complaints, regulatory complaints, legal actions, employee feedback and payout results to determine if the incentive plan design or implementation resulted in employee wrongdoing or customer abuse.</w:t>
      </w:r>
    </w:p>
    <w:p>
      <w:pPr>
        <w:spacing w:after="0" w:line="167" w:lineRule="exact"/>
        <w:rPr>
          <w:sz w:val="20"/>
          <w:szCs w:val="20"/>
          <w:color w:val="auto"/>
        </w:rPr>
      </w:pPr>
    </w:p>
    <w:p>
      <w:pPr>
        <w:ind w:left="3460"/>
        <w:spacing w:after="0"/>
        <w:rPr>
          <w:sz w:val="20"/>
          <w:szCs w:val="20"/>
          <w:color w:val="auto"/>
        </w:rPr>
      </w:pPr>
      <w:r>
        <w:rPr>
          <w:rFonts w:ascii="Arial" w:cs="Arial" w:eastAsia="Arial" w:hAnsi="Arial"/>
          <w:sz w:val="16"/>
          <w:szCs w:val="16"/>
          <w:b w:val="1"/>
          <w:bCs w:val="1"/>
          <w:color w:val="231F20"/>
        </w:rPr>
        <w:t>COMMITMENT TO MEANINGFUL SOCIAL INITIATIVES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Detailed and Carefully Designed COVID-19 Response</w:t>
      </w:r>
    </w:p>
    <w:p>
      <w:pPr>
        <w:spacing w:after="0" w:line="235" w:lineRule="exact"/>
        <w:rPr>
          <w:sz w:val="20"/>
          <w:szCs w:val="20"/>
          <w:color w:val="auto"/>
        </w:rPr>
      </w:pPr>
    </w:p>
    <w:p>
      <w:pPr>
        <w:ind w:right="500" w:firstLine="546"/>
        <w:spacing w:after="0" w:line="289" w:lineRule="auto"/>
        <w:rPr>
          <w:sz w:val="20"/>
          <w:szCs w:val="20"/>
          <w:color w:val="auto"/>
        </w:rPr>
      </w:pPr>
      <w:r>
        <w:rPr>
          <w:rFonts w:ascii="Arial" w:cs="Arial" w:eastAsia="Arial" w:hAnsi="Arial"/>
          <w:sz w:val="16"/>
          <w:szCs w:val="16"/>
          <w:color w:val="auto"/>
        </w:rPr>
        <w:t>At Bank of Hawaii, the health and safety of our employees, our customers and our community are our top priority. We put strict safety protocols in place at the beginning of the COVID-19 pandemic and have continued to follow government regulations throughout our branch network and facilities.</w:t>
      </w:r>
    </w:p>
    <w:p>
      <w:pPr>
        <w:spacing w:after="0" w:line="172" w:lineRule="exact"/>
        <w:rPr>
          <w:sz w:val="20"/>
          <w:szCs w:val="20"/>
          <w:color w:val="auto"/>
        </w:rPr>
      </w:pPr>
    </w:p>
    <w:p>
      <w:pPr>
        <w:ind w:firstLine="546"/>
        <w:spacing w:after="0" w:line="270" w:lineRule="auto"/>
        <w:rPr>
          <w:sz w:val="20"/>
          <w:szCs w:val="20"/>
          <w:color w:val="auto"/>
        </w:rPr>
      </w:pPr>
      <w:r>
        <w:rPr>
          <w:rFonts w:ascii="Arial" w:cs="Arial" w:eastAsia="Arial" w:hAnsi="Arial"/>
          <w:sz w:val="16"/>
          <w:szCs w:val="16"/>
          <w:color w:val="auto"/>
        </w:rPr>
        <w:t>In addition, through our ongoing investment in digital enhancements, we enable our office employees to work remotely while continuing to provide our customers with safe and secure ways to bank. Through remote access, approximately 70% of our employees were working remotely at the height of the pandemic, with nearly half of our employees continuing to work from home at the end of 2021, greatly minimizing the impact of the COVID-19 pandemic on our operations. This was made possible by the implementation of a digital workspace platform that was designed from the ground up to be mobile and secure.</w:t>
      </w:r>
    </w:p>
    <w:p>
      <w:pPr>
        <w:spacing w:after="0" w:line="188" w:lineRule="exact"/>
        <w:rPr>
          <w:sz w:val="20"/>
          <w:szCs w:val="20"/>
          <w:color w:val="auto"/>
        </w:rPr>
      </w:pPr>
    </w:p>
    <w:p>
      <w:pPr>
        <w:ind w:right="180" w:firstLine="546"/>
        <w:spacing w:after="0" w:line="275" w:lineRule="auto"/>
        <w:rPr>
          <w:sz w:val="20"/>
          <w:szCs w:val="20"/>
          <w:color w:val="auto"/>
        </w:rPr>
      </w:pPr>
      <w:r>
        <w:rPr>
          <w:rFonts w:ascii="Arial" w:cs="Arial" w:eastAsia="Arial" w:hAnsi="Arial"/>
          <w:sz w:val="16"/>
          <w:szCs w:val="16"/>
          <w:color w:val="auto"/>
        </w:rPr>
        <w:t>We continued to support our customers through our communications by keeping them informed about our numerous digital banking options, allowing them to bank safely from home. From online banking to Direct Deposit to the many capabilities offered through our mobile banking app, we helped our customers as they embraced the various innovative alternatives available to banking in-person.</w:t>
      </w:r>
    </w:p>
    <w:p>
      <w:pPr>
        <w:spacing w:after="0" w:line="183" w:lineRule="exact"/>
        <w:rPr>
          <w:sz w:val="20"/>
          <w:szCs w:val="20"/>
          <w:color w:val="auto"/>
        </w:rPr>
      </w:pPr>
    </w:p>
    <w:p>
      <w:pPr>
        <w:ind w:right="300" w:firstLine="546"/>
        <w:spacing w:after="0" w:line="289" w:lineRule="auto"/>
        <w:rPr>
          <w:sz w:val="20"/>
          <w:szCs w:val="20"/>
          <w:color w:val="auto"/>
        </w:rPr>
      </w:pPr>
      <w:r>
        <w:rPr>
          <w:rFonts w:ascii="Arial" w:cs="Arial" w:eastAsia="Arial" w:hAnsi="Arial"/>
          <w:sz w:val="16"/>
          <w:szCs w:val="16"/>
          <w:color w:val="auto"/>
        </w:rPr>
        <w:t>Throughout the COVID-19 pandemic, we implemented programs to support individuals, families and businesses, and made donations to organizations supporting those in our communities who need it most.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Addressing the Impacts of COVID-19 in Hawaii</w:t>
      </w:r>
    </w:p>
    <w:p>
      <w:pPr>
        <w:spacing w:after="0" w:line="235" w:lineRule="exact"/>
        <w:rPr>
          <w:sz w:val="20"/>
          <w:szCs w:val="20"/>
          <w:color w:val="auto"/>
        </w:rPr>
      </w:pPr>
    </w:p>
    <w:p>
      <w:pPr>
        <w:ind w:right="300" w:firstLine="546"/>
        <w:spacing w:after="0" w:line="268" w:lineRule="auto"/>
        <w:rPr>
          <w:sz w:val="20"/>
          <w:szCs w:val="20"/>
          <w:color w:val="auto"/>
        </w:rPr>
      </w:pPr>
      <w:r>
        <w:rPr>
          <w:rFonts w:ascii="Arial" w:cs="Arial" w:eastAsia="Arial" w:hAnsi="Arial"/>
          <w:sz w:val="16"/>
          <w:szCs w:val="16"/>
          <w:color w:val="auto"/>
        </w:rPr>
        <w:t>In early April 2020, Bank of Hawaii Foundation (the “Foundation”) made an unprecedented $3 million donation to Hawai‘i Community Foundation’s (“HCF”) Hawaiʻi Resilience Fund, which was established by HCF and the Omidyar ‘Ohana Fund to address the growing social and economic impacts of COVID-19 pandemic in Hawaii. Our community continues to benefit from the grant. From businesses to nonprofits to consumers, Bank of Hawaii is addressing a wide spectrum of needs to assist those hit hardest during the pandemic. Our CEO serves as vice chairman of the State of Hawaii’s House Select Committee on COVID-19 Economic and Financial Preparedness.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SBA’s Paycheck Protection Program (“PPP”)</w:t>
      </w:r>
    </w:p>
    <w:p>
      <w:pPr>
        <w:spacing w:after="0" w:line="235" w:lineRule="exact"/>
        <w:rPr>
          <w:sz w:val="20"/>
          <w:szCs w:val="20"/>
          <w:color w:val="auto"/>
        </w:rPr>
      </w:pPr>
    </w:p>
    <w:p>
      <w:pPr>
        <w:ind w:right="80" w:firstLine="546"/>
        <w:spacing w:after="0" w:line="275" w:lineRule="auto"/>
        <w:rPr>
          <w:sz w:val="20"/>
          <w:szCs w:val="20"/>
          <w:color w:val="auto"/>
        </w:rPr>
      </w:pPr>
      <w:r>
        <w:rPr>
          <w:rFonts w:ascii="Arial" w:cs="Arial" w:eastAsia="Arial" w:hAnsi="Arial"/>
          <w:sz w:val="16"/>
          <w:szCs w:val="16"/>
          <w:color w:val="auto"/>
        </w:rPr>
        <w:t>In order to expedite PPP loans and help local business owners, we created a dedicated PPP team of more than 400 employees from every major area of the Company. At the peak of the program, these employees went above and beyond, working countless hours to process applications. Their efforts continued as they worked through loan forgiveness.</w:t>
      </w:r>
    </w:p>
    <w:p>
      <w:pPr>
        <w:spacing w:after="0" w:line="183" w:lineRule="exact"/>
        <w:rPr>
          <w:sz w:val="20"/>
          <w:szCs w:val="20"/>
          <w:color w:val="auto"/>
        </w:rPr>
      </w:pPr>
    </w:p>
    <w:p>
      <w:pPr>
        <w:ind w:right="80" w:firstLine="546"/>
        <w:spacing w:after="0" w:line="331" w:lineRule="auto"/>
        <w:rPr>
          <w:sz w:val="20"/>
          <w:szCs w:val="20"/>
          <w:color w:val="auto"/>
        </w:rPr>
      </w:pPr>
      <w:r>
        <w:rPr>
          <w:rFonts w:ascii="Arial" w:cs="Arial" w:eastAsia="Arial" w:hAnsi="Arial"/>
          <w:sz w:val="14"/>
          <w:szCs w:val="14"/>
          <w:color w:val="auto"/>
        </w:rPr>
        <w:t>In 2021, the Bank participated in the second round of the PPP. The expertise and diligence of our PPP team enabled us to process more than 3,400 PPP loans totaling over $287 million in 2021. In 2020 and 2021 combined Bank of Hawaii processed almost 8,000 PPP loans totaling over $830 million. In addition, the Bank processed more than 7,500 PPP loan forgiveness applications totaling more than $700 million in federal funding to assist Hawaii businesses through this special program.</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Support for Small Businesses</w:t>
      </w:r>
    </w:p>
    <w:p>
      <w:pPr>
        <w:spacing w:after="0" w:line="235" w:lineRule="exact"/>
        <w:rPr>
          <w:sz w:val="20"/>
          <w:szCs w:val="20"/>
          <w:color w:val="auto"/>
        </w:rPr>
      </w:pPr>
    </w:p>
    <w:p>
      <w:pPr>
        <w:ind w:right="120" w:firstLine="546"/>
        <w:spacing w:after="0" w:line="324" w:lineRule="auto"/>
        <w:rPr>
          <w:sz w:val="20"/>
          <w:szCs w:val="20"/>
          <w:color w:val="auto"/>
        </w:rPr>
      </w:pPr>
      <w:r>
        <w:rPr>
          <w:rFonts w:ascii="Arial" w:cs="Arial" w:eastAsia="Arial" w:hAnsi="Arial"/>
          <w:sz w:val="15"/>
          <w:szCs w:val="15"/>
          <w:color w:val="231F20"/>
        </w:rPr>
        <w:t>During the COVID-19 pandemic, Bank of Hawaii continued to support small businesses with the SBA 504 Program, a commercial real estate financing program for owner-occupied properties that allows small business borrowers to preserve working capital by requiring only a 10% down payment on purchase transactions.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Emergency Relief and Financial Assistance</w:t>
      </w:r>
    </w:p>
    <w:p>
      <w:pPr>
        <w:spacing w:after="0" w:line="235" w:lineRule="exact"/>
        <w:rPr>
          <w:sz w:val="20"/>
          <w:szCs w:val="20"/>
          <w:color w:val="auto"/>
        </w:rPr>
      </w:pPr>
    </w:p>
    <w:p>
      <w:pPr>
        <w:ind w:right="20" w:firstLine="546"/>
        <w:spacing w:after="0" w:line="266" w:lineRule="auto"/>
        <w:rPr>
          <w:sz w:val="20"/>
          <w:szCs w:val="20"/>
          <w:color w:val="auto"/>
        </w:rPr>
      </w:pPr>
      <w:r>
        <w:rPr>
          <w:rFonts w:ascii="Arial" w:cs="Arial" w:eastAsia="Arial" w:hAnsi="Arial"/>
          <w:sz w:val="16"/>
          <w:szCs w:val="16"/>
          <w:color w:val="auto"/>
        </w:rPr>
        <w:t>To help lessen the financial impact of the COVID-19 pandemic on the communities we serve, Bank of Hawaii offered a number of programs to help affected individual and business customers. The Company deferred loan payments far beyond the requirements of the CARES Act and also waived ATM surcharge fees and early withdrawal penalty fees on tax-deferred annuities. Rather than the 90 days typically offered, Bank of Hawaii offered six months of forbearance and loan extensions. We reached out proactively to inform people that help was available to clients with loans of all sizes, from large commercial clients to consumers with small installment loans. In lieu of in-person visits, the Company made it possible for customers to complete their necessary documentation online. In addition, we offered loan deferrals to our commercial clients, which helped these customers for up to 18 months, compared to the usual six months in our market. These programs supported a variety of local business owners, including landlords who were able to support their tenants.</w:t>
      </w:r>
    </w:p>
    <w:p>
      <w:pPr>
        <w:spacing w:after="0" w:line="191" w:lineRule="exact"/>
        <w:rPr>
          <w:sz w:val="20"/>
          <w:szCs w:val="20"/>
          <w:color w:val="auto"/>
        </w:rPr>
      </w:pPr>
    </w:p>
    <w:p>
      <w:pPr>
        <w:ind w:right="40" w:firstLine="546"/>
        <w:spacing w:after="0" w:line="315" w:lineRule="auto"/>
        <w:rPr>
          <w:sz w:val="20"/>
          <w:szCs w:val="20"/>
          <w:color w:val="auto"/>
        </w:rPr>
      </w:pPr>
      <w:r>
        <w:rPr>
          <w:rFonts w:ascii="Arial" w:cs="Arial" w:eastAsia="Arial" w:hAnsi="Arial"/>
          <w:sz w:val="14"/>
          <w:szCs w:val="14"/>
          <w:color w:val="auto"/>
        </w:rPr>
        <w:t>In Saipan, 2021 marked the 10th year of the I Kinometi Para I Kumunidåt I Islå-ta Grants, Bank of Hawaii small business and revitalization and development grants. Five grants of up to $5,000 each are awarded annually to support new and existing small businesses to thrive and give back to the community. Since its inception in 2012, $250,000 has been awarded to 50 small businesses. This year with help from the grant monies, one of the five grant recipients, Benjamin Babauta, owner of Tyler’s Gelatte Stone, added an additional employee; organized Small Business Sunday, an event held at Sugar King Park, which gave 13 other small businesses a venue to display products and gain market share; and donated the $1,500 Small Business Sunday proceeds and donations to the Autism Society of the Commonwealth of the Northern Mariana Islands.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Philanthropy and Volunteering to Sustain Our Community</w:t>
      </w:r>
    </w:p>
    <w:p>
      <w:pPr>
        <w:spacing w:after="0" w:line="235" w:lineRule="exact"/>
        <w:rPr>
          <w:sz w:val="20"/>
          <w:szCs w:val="20"/>
          <w:color w:val="auto"/>
        </w:rPr>
      </w:pPr>
    </w:p>
    <w:p>
      <w:pPr>
        <w:ind w:right="180" w:firstLine="546"/>
        <w:spacing w:after="0" w:line="270" w:lineRule="auto"/>
        <w:rPr>
          <w:sz w:val="20"/>
          <w:szCs w:val="20"/>
          <w:color w:val="auto"/>
        </w:rPr>
      </w:pPr>
      <w:r>
        <w:rPr>
          <w:rFonts w:ascii="Arial" w:cs="Arial" w:eastAsia="Arial" w:hAnsi="Arial"/>
          <w:sz w:val="16"/>
          <w:szCs w:val="16"/>
          <w:color w:val="231F20"/>
        </w:rPr>
        <w:t xml:space="preserve">The Company, and its exceptional people, demonstrate their generosity and respect throughout the year by supporting many different causes. Bank of Hawaii, its employees, and the Foundation contributed nearly $2.2 million to community and philanthropic causes in 2021. In addition, Bank of Hawaii employees volunteered safely while adhering to </w:t>
      </w:r>
      <w:r>
        <w:rPr>
          <w:rFonts w:ascii="Arial" w:cs="Arial" w:eastAsia="Arial" w:hAnsi="Arial"/>
          <w:sz w:val="16"/>
          <w:szCs w:val="16"/>
          <w:color w:val="000000"/>
        </w:rPr>
        <w:t>COVID-19 pandemic</w:t>
      </w:r>
      <w:r>
        <w:rPr>
          <w:rFonts w:ascii="Arial" w:cs="Arial" w:eastAsia="Arial" w:hAnsi="Arial"/>
          <w:sz w:val="16"/>
          <w:szCs w:val="16"/>
          <w:color w:val="231F20"/>
        </w:rPr>
        <w:t xml:space="preserve"> protocols at numerous events throughout the year to help distribute food and necessary supplies to our community in need, support small businesses and help care for our ‘āina.</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Kōkua for Community through the COVID-19 Pandemic</w:t>
      </w:r>
    </w:p>
    <w:p>
      <w:pPr>
        <w:spacing w:after="0" w:line="235" w:lineRule="exact"/>
        <w:rPr>
          <w:sz w:val="20"/>
          <w:szCs w:val="20"/>
          <w:color w:val="auto"/>
        </w:rPr>
      </w:pPr>
    </w:p>
    <w:p>
      <w:pPr>
        <w:ind w:right="460" w:firstLine="546"/>
        <w:spacing w:after="0" w:line="289" w:lineRule="auto"/>
        <w:rPr>
          <w:sz w:val="20"/>
          <w:szCs w:val="20"/>
          <w:color w:val="auto"/>
        </w:rPr>
      </w:pPr>
      <w:r>
        <w:rPr>
          <w:rFonts w:ascii="Arial" w:cs="Arial" w:eastAsia="Arial" w:hAnsi="Arial"/>
          <w:sz w:val="16"/>
          <w:szCs w:val="16"/>
          <w:color w:val="auto"/>
        </w:rPr>
        <w:t>To help address expanding food insecurity, the Foundation donated $50,000 to The Pantry by Feeding Hawaii Together, the only “e-commerce” food pantry in America. The donation helped with food and staffing costs. The Pantry serves an average of 13,000 individuals each month.</w:t>
      </w:r>
    </w:p>
    <w:p>
      <w:pPr>
        <w:spacing w:after="0" w:line="172" w:lineRule="exact"/>
        <w:rPr>
          <w:sz w:val="20"/>
          <w:szCs w:val="20"/>
          <w:color w:val="auto"/>
        </w:rPr>
      </w:pPr>
    </w:p>
    <w:p>
      <w:pPr>
        <w:ind w:right="80" w:firstLine="546"/>
        <w:spacing w:after="0" w:line="289" w:lineRule="auto"/>
        <w:rPr>
          <w:sz w:val="20"/>
          <w:szCs w:val="20"/>
          <w:color w:val="auto"/>
        </w:rPr>
      </w:pPr>
      <w:r>
        <w:rPr>
          <w:rFonts w:ascii="Arial" w:cs="Arial" w:eastAsia="Arial" w:hAnsi="Arial"/>
          <w:sz w:val="16"/>
          <w:szCs w:val="16"/>
          <w:color w:val="auto"/>
        </w:rPr>
        <w:t>The Foundation donated $50,000 over a two-year period to Maui Health Foundation’s Patient Resource Assistance Fund, which provides financial support to lower-income patients in need of non-acute medical care so that they may be discharged in a safe and healthy way.</w:t>
      </w:r>
    </w:p>
    <w:p>
      <w:pPr>
        <w:spacing w:after="0" w:line="172" w:lineRule="exact"/>
        <w:rPr>
          <w:sz w:val="20"/>
          <w:szCs w:val="20"/>
          <w:color w:val="auto"/>
        </w:rPr>
      </w:pPr>
    </w:p>
    <w:p>
      <w:pPr>
        <w:ind w:right="200" w:firstLine="546"/>
        <w:spacing w:after="0" w:line="270" w:lineRule="auto"/>
        <w:rPr>
          <w:sz w:val="20"/>
          <w:szCs w:val="20"/>
          <w:color w:val="auto"/>
        </w:rPr>
      </w:pPr>
      <w:r>
        <w:rPr>
          <w:rFonts w:ascii="Arial" w:cs="Arial" w:eastAsia="Arial" w:hAnsi="Arial"/>
          <w:sz w:val="16"/>
          <w:szCs w:val="16"/>
          <w:color w:val="auto"/>
        </w:rPr>
        <w:t>Bank of Hawaii provided the use of its former Kalihi Branch, in-kind support valued at over $30,000, to Kōkua Kalihi Valley (“KKV”) Comprehensive Family Services to administer 1,359 vaccinations to vulnerable members of the community in March through June of 2021. A Foundation grant of $4,000 provided lunches for volunteers, KKV staff, and Hawaii Army National Guard and Honolulu Fire Department employees who worked or volunteered at the vaccination site at the former Kalihi Branch.</w:t>
      </w:r>
    </w:p>
    <w:p>
      <w:pPr>
        <w:spacing w:after="0" w:line="188" w:lineRule="exact"/>
        <w:rPr>
          <w:sz w:val="20"/>
          <w:szCs w:val="20"/>
          <w:color w:val="auto"/>
        </w:rPr>
      </w:pPr>
    </w:p>
    <w:p>
      <w:pPr>
        <w:ind w:right="120" w:firstLine="546"/>
        <w:spacing w:after="0" w:line="275" w:lineRule="auto"/>
        <w:rPr>
          <w:sz w:val="20"/>
          <w:szCs w:val="20"/>
          <w:color w:val="auto"/>
        </w:rPr>
      </w:pPr>
      <w:r>
        <w:rPr>
          <w:rFonts w:ascii="Arial" w:cs="Arial" w:eastAsia="Arial" w:hAnsi="Arial"/>
          <w:sz w:val="16"/>
          <w:szCs w:val="16"/>
          <w:color w:val="auto"/>
        </w:rPr>
        <w:t>A Foundation donation of $30,000 to Project Vision Hawaii helped the nonprofit operate its mobile clinics, which provide hot showers and health resources (including eye exams for children) to those who have a low income or are experiencing homelessness. In 2021, Project Vision Hawaii pivoted to also administer COVID-19 testing and vaccines to various communities.</w:t>
      </w:r>
    </w:p>
    <w:p>
      <w:pPr>
        <w:spacing w:after="0" w:line="183" w:lineRule="exact"/>
        <w:rPr>
          <w:sz w:val="20"/>
          <w:szCs w:val="20"/>
          <w:color w:val="auto"/>
        </w:rPr>
      </w:pPr>
    </w:p>
    <w:p>
      <w:pPr>
        <w:ind w:right="40" w:firstLine="546"/>
        <w:spacing w:after="0" w:line="275" w:lineRule="auto"/>
        <w:rPr>
          <w:sz w:val="20"/>
          <w:szCs w:val="20"/>
          <w:color w:val="auto"/>
        </w:rPr>
      </w:pPr>
      <w:r>
        <w:rPr>
          <w:rFonts w:ascii="Arial" w:cs="Arial" w:eastAsia="Arial" w:hAnsi="Arial"/>
          <w:sz w:val="16"/>
          <w:szCs w:val="16"/>
          <w:color w:val="auto"/>
        </w:rPr>
        <w:t>YWCA’s Dress for Success received a $25,000 Foundation donation to help empower women, including those transitioning out of prison or shelters, or who are new or returning to the workforce, to achieve economic independence. The program provides networking support, training and professional attire to help women gain skills, confidence and jobs.</w:t>
      </w:r>
    </w:p>
    <w:p>
      <w:pPr>
        <w:spacing w:after="0" w:line="183" w:lineRule="exact"/>
        <w:rPr>
          <w:sz w:val="20"/>
          <w:szCs w:val="20"/>
          <w:color w:val="auto"/>
        </w:rPr>
      </w:pPr>
    </w:p>
    <w:p>
      <w:pPr>
        <w:ind w:firstLine="546"/>
        <w:spacing w:after="0" w:line="301" w:lineRule="auto"/>
        <w:rPr>
          <w:sz w:val="20"/>
          <w:szCs w:val="20"/>
          <w:color w:val="auto"/>
        </w:rPr>
      </w:pPr>
      <w:r>
        <w:rPr>
          <w:rFonts w:ascii="Arial" w:cs="Arial" w:eastAsia="Arial" w:hAnsi="Arial"/>
          <w:sz w:val="15"/>
          <w:szCs w:val="15"/>
          <w:color w:val="auto"/>
        </w:rPr>
        <w:t>Palama Settlement received a $25,000 Foundation donation to support its newly established Digital Arts Academy, a formal digital arts program in the Kalihi-Palama neighborhood. The program is part of the Center of Innovation, created to train youth in digital graphic skills that can translate into job readiness. During the pandemic, the program also assisted students with online education challenges by making computers more accessible to those without adequate technology at home.</w:t>
      </w:r>
    </w:p>
    <w:p>
      <w:pPr>
        <w:spacing w:after="0" w:line="167" w:lineRule="exact"/>
        <w:rPr>
          <w:sz w:val="20"/>
          <w:szCs w:val="20"/>
          <w:color w:val="auto"/>
        </w:rPr>
      </w:pPr>
    </w:p>
    <w:p>
      <w:pPr>
        <w:ind w:right="220" w:firstLine="546"/>
        <w:spacing w:after="0" w:line="289" w:lineRule="auto"/>
        <w:rPr>
          <w:sz w:val="20"/>
          <w:szCs w:val="20"/>
          <w:color w:val="auto"/>
        </w:rPr>
      </w:pPr>
      <w:r>
        <w:rPr>
          <w:rFonts w:ascii="Arial" w:cs="Arial" w:eastAsia="Arial" w:hAnsi="Arial"/>
          <w:sz w:val="16"/>
          <w:szCs w:val="16"/>
          <w:color w:val="auto"/>
        </w:rPr>
        <w:t>A $20,000 donation was made to Mental Health America of Hawaii to support its mission to promote mental wellness. The grant helped the organization become more accessible online, including through social media.</w:t>
      </w:r>
    </w:p>
    <w:p>
      <w:pPr>
        <w:spacing w:after="0" w:line="172" w:lineRule="exact"/>
        <w:rPr>
          <w:sz w:val="20"/>
          <w:szCs w:val="20"/>
          <w:color w:val="auto"/>
        </w:rPr>
      </w:pPr>
    </w:p>
    <w:p>
      <w:pPr>
        <w:jc w:val="both"/>
        <w:ind w:right="20" w:firstLine="546"/>
        <w:spacing w:after="0" w:line="275" w:lineRule="auto"/>
        <w:rPr>
          <w:sz w:val="20"/>
          <w:szCs w:val="20"/>
          <w:color w:val="auto"/>
        </w:rPr>
      </w:pPr>
      <w:r>
        <w:rPr>
          <w:rFonts w:ascii="Arial" w:cs="Arial" w:eastAsia="Arial" w:hAnsi="Arial"/>
          <w:sz w:val="16"/>
          <w:szCs w:val="16"/>
          <w:color w:val="auto"/>
        </w:rPr>
        <w:t>Hawaii Community Lending received a Foundation grant of $10,000 to support their outreach efforts to low- and moderate-income Hawaii Island residents to inform them about federal grants available to provide more than $21 million in rent relief and assistance with utilities. Many of the applicants live at 80% below the average median income for the area.</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 Celebrating Diversity and Cultural Awareness and Giving Back to Community</w:t>
      </w:r>
    </w:p>
    <w:p>
      <w:pPr>
        <w:spacing w:after="0" w:line="235" w:lineRule="exact"/>
        <w:rPr>
          <w:sz w:val="20"/>
          <w:szCs w:val="20"/>
          <w:color w:val="auto"/>
        </w:rPr>
      </w:pPr>
    </w:p>
    <w:p>
      <w:pPr>
        <w:ind w:firstLine="546"/>
        <w:spacing w:after="0" w:line="275" w:lineRule="auto"/>
        <w:rPr>
          <w:sz w:val="20"/>
          <w:szCs w:val="20"/>
          <w:color w:val="auto"/>
        </w:rPr>
      </w:pPr>
      <w:r>
        <w:rPr>
          <w:rFonts w:ascii="Arial" w:cs="Arial" w:eastAsia="Arial" w:hAnsi="Arial"/>
          <w:sz w:val="16"/>
          <w:szCs w:val="16"/>
          <w:color w:val="auto"/>
        </w:rPr>
        <w:t>Bank of Hawaii is committed to supporting, educating and bringing awareness to the community on issues of diversity, equity and inclusion. Bank of Hawaii partnered with the Japanese American Citizens League – Honolulu, the National Asian Pacific American Bar Association – Hawaii, and the American Civil Liberties Union to host “A Conversation on Race in Hawai‘i”, a two-part panel featuring leaders from all sectors of the community.</w:t>
      </w:r>
    </w:p>
    <w:p>
      <w:pPr>
        <w:spacing w:after="0" w:line="183" w:lineRule="exact"/>
        <w:rPr>
          <w:sz w:val="20"/>
          <w:szCs w:val="20"/>
          <w:color w:val="auto"/>
        </w:rPr>
      </w:pPr>
    </w:p>
    <w:p>
      <w:pPr>
        <w:ind w:right="120" w:firstLine="546"/>
        <w:spacing w:after="0" w:line="301" w:lineRule="auto"/>
        <w:rPr>
          <w:sz w:val="20"/>
          <w:szCs w:val="20"/>
          <w:color w:val="auto"/>
        </w:rPr>
      </w:pPr>
      <w:r>
        <w:rPr>
          <w:rFonts w:ascii="Arial" w:cs="Arial" w:eastAsia="Arial" w:hAnsi="Arial"/>
          <w:sz w:val="15"/>
          <w:szCs w:val="15"/>
          <w:color w:val="auto"/>
        </w:rPr>
        <w:t>The Company is a long-time sponsor of the Honolulu Rainbow Film Festival, and in 2021 renewed a four-year sponsorship of the Hawaii LGBT Legacy Foundation to support the Honolulu Pride Festival &amp; Parade. The donation supports not only the festival and parade, but helps to fund other program initiatives of the Hawaii LGBT Legacy Foundation. In previous years our employees have turned out in big numbers to show their support by walking in the parade.</w:t>
      </w:r>
    </w:p>
    <w:p>
      <w:pPr>
        <w:spacing w:after="0" w:line="167" w:lineRule="exact"/>
        <w:rPr>
          <w:sz w:val="20"/>
          <w:szCs w:val="20"/>
          <w:color w:val="auto"/>
        </w:rPr>
      </w:pPr>
    </w:p>
    <w:p>
      <w:pPr>
        <w:ind w:right="100" w:firstLine="546"/>
        <w:spacing w:after="0" w:line="268" w:lineRule="auto"/>
        <w:rPr>
          <w:sz w:val="20"/>
          <w:szCs w:val="20"/>
          <w:color w:val="auto"/>
        </w:rPr>
      </w:pPr>
      <w:r>
        <w:rPr>
          <w:rFonts w:ascii="Arial" w:cs="Arial" w:eastAsia="Arial" w:hAnsi="Arial"/>
          <w:sz w:val="16"/>
          <w:szCs w:val="16"/>
          <w:color w:val="auto"/>
        </w:rPr>
        <w:t>In an effort to contribute to the progress and advancement of ensuring an inclusive, collaborative and respectful workplace, Bank of Hawaii’s Diversity, Equity and Inclusion Program supports employee-led Employee Resource Groups (“ERG”s). Our Women Inspired ERG works to empower, support and educate on issues important to women at work, home and in the greater community. Our RainBOH ERG celebrates coming to work with pride, encourages allies to become visible, and educates on issues related to the LGBTQA+ community. And our Military ERG engages in service and networking opportunities that serve the needs of services member, veterans, and military families.</w:t>
      </w:r>
    </w:p>
    <w:p>
      <w:pPr>
        <w:spacing w:after="0" w:line="190" w:lineRule="exact"/>
        <w:rPr>
          <w:sz w:val="20"/>
          <w:szCs w:val="20"/>
          <w:color w:val="auto"/>
        </w:rPr>
      </w:pPr>
    </w:p>
    <w:p>
      <w:pPr>
        <w:ind w:right="20" w:firstLine="546"/>
        <w:spacing w:after="0" w:line="275" w:lineRule="auto"/>
        <w:rPr>
          <w:sz w:val="20"/>
          <w:szCs w:val="20"/>
          <w:color w:val="auto"/>
        </w:rPr>
      </w:pPr>
      <w:r>
        <w:rPr>
          <w:rFonts w:ascii="Arial" w:cs="Arial" w:eastAsia="Arial" w:hAnsi="Arial"/>
          <w:sz w:val="16"/>
          <w:szCs w:val="16"/>
          <w:color w:val="auto"/>
        </w:rPr>
        <w:t>During the 2021 annual Live Kōkua Giving Campaign, employees raised more than $550,000 in partnership with Aloha United Way, which serves more than 300 nonprofits. Themed #BankohStrongForOurCommunity, over 90% of the Bank’s employees donated to 257 organizations, making a difference for some of the most vulnerable in our communities.</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With intentionality and a safety first mindset, our Bankoh Blue Crew returned more actively to help mālama the keiki to kūpuna in our island home. Bank employees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volunteered at vaccination centers and sites, including Kōkua Kalihi Valley Comprehensive Family Services on Oahu and Southern Regional Clinic, the Talofofo Gym and</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Ypao Beach on Guam. Volunteers from the Bank of Hawaii Military ERG worked with Honolulu Habitat for Humanity to build a home for a military veteran and his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family. At Hawaii Foodbank, Bank employee volunteers packed over 5,000 bags of food as part of their Food 4 Keiki School Pantry Program. Bank employee volunteers also</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helped remove 500 pounds of invasive limu with Mālama Maunalua at Maunalua Bay.</w:t>
      </w:r>
    </w:p>
    <w:p>
      <w:pPr>
        <w:spacing w:after="0" w:line="226" w:lineRule="exact"/>
        <w:rPr>
          <w:sz w:val="20"/>
          <w:szCs w:val="20"/>
          <w:color w:val="auto"/>
        </w:rPr>
      </w:pPr>
    </w:p>
    <w:p>
      <w:pPr>
        <w:ind w:right="20" w:firstLine="546"/>
        <w:spacing w:after="0" w:line="267" w:lineRule="auto"/>
        <w:rPr>
          <w:sz w:val="20"/>
          <w:szCs w:val="20"/>
          <w:color w:val="auto"/>
        </w:rPr>
      </w:pPr>
      <w:r>
        <w:rPr>
          <w:rFonts w:ascii="Arial" w:cs="Arial" w:eastAsia="Arial" w:hAnsi="Arial"/>
          <w:sz w:val="16"/>
          <w:szCs w:val="16"/>
          <w:color w:val="auto"/>
        </w:rPr>
        <w:t>Our summer 2021 interns got out from behind the screens of their virtual internships and worked together to improve landscaping at Hawai‘i Nature Center in Makiki on July 24, 2021. The nonprofit organization seeks to foster awareness, appreciation, understanding and stewardship of our environment by educating children with an interactive and immersive approach. For our interns, it was an opportunity to meet one another, roll up their sleeves and work with their hands to improve this beautiful outdoor environment that connects families and children with nature through a variety of programs. Our volunteers were split into three small groups to clear invasive and overgrown tall grass to ensure the safety of the children who visit, clear banana trees that were not growing well on the property, and clear greenery that was blocking the passage of the ‘auwai (canal/ditch).</w:t>
      </w:r>
    </w:p>
    <w:p>
      <w:pPr>
        <w:spacing w:after="0" w:line="190" w:lineRule="exact"/>
        <w:rPr>
          <w:sz w:val="20"/>
          <w:szCs w:val="20"/>
          <w:color w:val="auto"/>
        </w:rPr>
      </w:pPr>
    </w:p>
    <w:p>
      <w:pPr>
        <w:ind w:right="340" w:firstLine="546"/>
        <w:spacing w:after="0" w:line="364" w:lineRule="auto"/>
        <w:rPr>
          <w:sz w:val="20"/>
          <w:szCs w:val="20"/>
          <w:color w:val="auto"/>
        </w:rPr>
      </w:pPr>
      <w:r>
        <w:rPr>
          <w:rFonts w:ascii="Arial" w:cs="Arial" w:eastAsia="Arial" w:hAnsi="Arial"/>
          <w:sz w:val="14"/>
          <w:szCs w:val="14"/>
          <w:color w:val="auto"/>
        </w:rPr>
        <w:t>Susannah Wesley Community Center, a social service agency in Kalihi, asked Bank of Hawaii to provide volunteers to assist families with applications to enter a Section 8 Housing waitlist. For the first time, the application process was entirely online. Thirty-two Bank volunteers helped 300 families complete the application.</w:t>
      </w:r>
    </w:p>
    <w:p>
      <w:pPr>
        <w:spacing w:after="0" w:line="127" w:lineRule="exact"/>
        <w:rPr>
          <w:sz w:val="20"/>
          <w:szCs w:val="20"/>
          <w:color w:val="auto"/>
        </w:rPr>
      </w:pPr>
    </w:p>
    <w:p>
      <w:pPr>
        <w:ind w:right="240" w:firstLine="546"/>
        <w:spacing w:after="0" w:line="331" w:lineRule="auto"/>
        <w:rPr>
          <w:sz w:val="20"/>
          <w:szCs w:val="20"/>
          <w:color w:val="auto"/>
        </w:rPr>
      </w:pPr>
      <w:r>
        <w:rPr>
          <w:rFonts w:ascii="Arial" w:cs="Arial" w:eastAsia="Arial" w:hAnsi="Arial"/>
          <w:sz w:val="14"/>
          <w:szCs w:val="14"/>
          <w:color w:val="auto"/>
        </w:rPr>
        <w:t>Bank of Hawaii employee volunteers have been advising young entrepreneurs and improving financial literacy through decades of partnership with Junior Achievement (“JA”). In 2021, 18 Bank employees in Guam volunteered as advisors, from product development to sales. Guam Economic Development Authority was so supportive, it funded a space for JA students to sell their products in Chamoru Village. Nearly 150 Bank of Hawaii employee volunteers made financial education possible.</w:t>
      </w:r>
    </w:p>
    <w:p>
      <w:pPr>
        <w:spacing w:after="0" w:line="150" w:lineRule="exact"/>
        <w:rPr>
          <w:sz w:val="20"/>
          <w:szCs w:val="20"/>
          <w:color w:val="auto"/>
        </w:rPr>
      </w:pPr>
    </w:p>
    <w:p>
      <w:pPr>
        <w:ind w:right="140" w:firstLine="546"/>
        <w:spacing w:after="0" w:line="270" w:lineRule="auto"/>
        <w:rPr>
          <w:sz w:val="20"/>
          <w:szCs w:val="20"/>
          <w:color w:val="auto"/>
        </w:rPr>
      </w:pPr>
      <w:r>
        <w:rPr>
          <w:rFonts w:ascii="Arial" w:cs="Arial" w:eastAsia="Arial" w:hAnsi="Arial"/>
          <w:sz w:val="16"/>
          <w:szCs w:val="16"/>
          <w:color w:val="231F20"/>
        </w:rPr>
        <w:t>Bank of Hawaii continues to build long-term relationships throughout the communities we serve through education. For the past 11 years, the Company has been offering our SmartMoney financial education seminars, which cover a variety of financial topics, such as how to save and invest and purchase a first home. In 2021, Bank of Hawaii volunteers in Guam and Saipan led 26 Smart Money Seminars with 158 participants on subjects ranging from Business of Banking, ABCs of Credit, Pathways to Homeownership and Budgeting.</w:t>
      </w:r>
    </w:p>
    <w:p>
      <w:pPr>
        <w:spacing w:after="0" w:line="188" w:lineRule="exact"/>
        <w:rPr>
          <w:sz w:val="20"/>
          <w:szCs w:val="20"/>
          <w:color w:val="auto"/>
        </w:rPr>
      </w:pPr>
    </w:p>
    <w:p>
      <w:pPr>
        <w:ind w:right="80" w:firstLine="546"/>
        <w:spacing w:after="0" w:line="275" w:lineRule="auto"/>
        <w:rPr>
          <w:sz w:val="20"/>
          <w:szCs w:val="20"/>
          <w:color w:val="auto"/>
        </w:rPr>
      </w:pPr>
      <w:r>
        <w:rPr>
          <w:rFonts w:ascii="Arial" w:cs="Arial" w:eastAsia="Arial" w:hAnsi="Arial"/>
          <w:sz w:val="16"/>
          <w:szCs w:val="16"/>
          <w:color w:val="231F20"/>
        </w:rPr>
        <w:t>In 2021, four Bank of Hawaii employees completed the Internal Revenue Service Volunteer Income Tax Assistance certification program and volunteered at Goodwill Hawaii; providing free tax preparation to eligible taxpayers. Aside from time spent to prepare for the certification, Bank of Hawaii employee volunteers donated 58 hours at Goodwill Hawaii and completed 43 tax returns with refunds totaling $46,624.</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Attract, Develop and Retain Exceptional People</w:t>
      </w:r>
    </w:p>
    <w:p>
      <w:pPr>
        <w:spacing w:after="0" w:line="235" w:lineRule="exact"/>
        <w:rPr>
          <w:sz w:val="20"/>
          <w:szCs w:val="20"/>
          <w:color w:val="auto"/>
        </w:rPr>
      </w:pPr>
    </w:p>
    <w:p>
      <w:pPr>
        <w:ind w:left="560"/>
        <w:spacing w:after="0"/>
        <w:rPr>
          <w:sz w:val="20"/>
          <w:szCs w:val="20"/>
          <w:color w:val="auto"/>
        </w:rPr>
      </w:pPr>
      <w:r>
        <w:rPr>
          <w:rFonts w:ascii="Arial" w:cs="Arial" w:eastAsia="Arial" w:hAnsi="Arial"/>
          <w:sz w:val="15"/>
          <w:szCs w:val="15"/>
          <w:color w:val="231F20"/>
        </w:rPr>
        <w:t>Bank of Hawaii strives to attract, develop and retain exceptional people. Exceptional people are what allows Bank of Hawaii to be the best corporate citizen</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231F20"/>
        </w:rPr>
        <w:t>possible. Bank of Hawaii implemented a comprehensive internal training program and supported initiatives to foster diversity and inclusion in the workplace. Bank of Hawaii</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231F20"/>
        </w:rPr>
        <w:t>recognizes that a diverse and inclusive workforce fosters an environment where everyone can thrive and be successful.</w:t>
      </w:r>
    </w:p>
    <w:p>
      <w:pPr>
        <w:spacing w:after="0" w:line="226" w:lineRule="exact"/>
        <w:rPr>
          <w:sz w:val="20"/>
          <w:szCs w:val="20"/>
          <w:color w:val="auto"/>
        </w:rPr>
      </w:pPr>
    </w:p>
    <w:p>
      <w:pPr>
        <w:jc w:val="both"/>
        <w:ind w:right="180" w:firstLine="546"/>
        <w:spacing w:after="0" w:line="275" w:lineRule="auto"/>
        <w:rPr>
          <w:sz w:val="20"/>
          <w:szCs w:val="20"/>
          <w:color w:val="auto"/>
        </w:rPr>
      </w:pPr>
      <w:r>
        <w:rPr>
          <w:rFonts w:ascii="Arial" w:cs="Arial" w:eastAsia="Arial" w:hAnsi="Arial"/>
          <w:sz w:val="16"/>
          <w:szCs w:val="16"/>
          <w:color w:val="231F20"/>
        </w:rPr>
        <w:t>In 2021, Bank of Hawaii provided more opportunities for employees to engage with our Leading Women employee resource group. Bank of Hawaii hosted popular discussions on “Leadership: Career Success Tips” and “How an Entrepreneurial Spirit Can Help Advance Your Career,” with women executives and business leaders in the community.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Employee Learning</w:t>
      </w:r>
    </w:p>
    <w:p>
      <w:pPr>
        <w:spacing w:after="0" w:line="235" w:lineRule="exact"/>
        <w:rPr>
          <w:sz w:val="20"/>
          <w:szCs w:val="20"/>
          <w:color w:val="auto"/>
        </w:rPr>
      </w:pPr>
    </w:p>
    <w:p>
      <w:pPr>
        <w:ind w:right="60" w:firstLine="546"/>
        <w:spacing w:after="0" w:line="270" w:lineRule="auto"/>
        <w:rPr>
          <w:sz w:val="20"/>
          <w:szCs w:val="20"/>
          <w:color w:val="auto"/>
        </w:rPr>
      </w:pPr>
      <w:r>
        <w:rPr>
          <w:rFonts w:ascii="Arial" w:cs="Arial" w:eastAsia="Arial" w:hAnsi="Arial"/>
          <w:sz w:val="16"/>
          <w:szCs w:val="16"/>
          <w:color w:val="231F20"/>
        </w:rPr>
        <w:t xml:space="preserve">Bank of Hawaii’s substantial training and career advancement programs target professional development and personal growth, which include our Fostering Workplace Excellence and other employee development programs. In 2021, even during the </w:t>
      </w:r>
      <w:r>
        <w:rPr>
          <w:rFonts w:ascii="Arial" w:cs="Arial" w:eastAsia="Arial" w:hAnsi="Arial"/>
          <w:sz w:val="16"/>
          <w:szCs w:val="16"/>
          <w:color w:val="000000"/>
        </w:rPr>
        <w:t>COVID-19</w:t>
      </w:r>
      <w:r>
        <w:rPr>
          <w:rFonts w:ascii="Arial" w:cs="Arial" w:eastAsia="Arial" w:hAnsi="Arial"/>
          <w:sz w:val="16"/>
          <w:szCs w:val="16"/>
          <w:color w:val="231F20"/>
        </w:rPr>
        <w:t xml:space="preserve"> pandemic when a significant number of our employees were working remotely, the </w:t>
      </w:r>
      <w:r>
        <w:rPr>
          <w:rFonts w:ascii="Arial" w:cs="Arial" w:eastAsia="Arial" w:hAnsi="Arial"/>
          <w:sz w:val="16"/>
          <w:szCs w:val="16"/>
          <w:color w:val="000000"/>
        </w:rPr>
        <w:t>Company</w:t>
      </w:r>
      <w:r>
        <w:rPr>
          <w:rFonts w:ascii="Arial" w:cs="Arial" w:eastAsia="Arial" w:hAnsi="Arial"/>
          <w:sz w:val="16"/>
          <w:szCs w:val="16"/>
          <w:color w:val="231F20"/>
        </w:rPr>
        <w:t xml:space="preserve"> held over 24,000 training or career advancement program hours. Our commitment to our employees’ growth is integral to developing exceptional people.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Investing in Our People</w:t>
      </w:r>
    </w:p>
    <w:p>
      <w:pPr>
        <w:spacing w:after="0" w:line="235" w:lineRule="exact"/>
        <w:rPr>
          <w:sz w:val="20"/>
          <w:szCs w:val="20"/>
          <w:color w:val="auto"/>
        </w:rPr>
      </w:pPr>
    </w:p>
    <w:p>
      <w:pPr>
        <w:ind w:firstLine="546"/>
        <w:spacing w:after="0" w:line="285" w:lineRule="auto"/>
        <w:rPr>
          <w:sz w:val="20"/>
          <w:szCs w:val="20"/>
          <w:color w:val="auto"/>
        </w:rPr>
      </w:pPr>
      <w:r>
        <w:rPr>
          <w:rFonts w:ascii="Arial" w:cs="Arial" w:eastAsia="Arial" w:hAnsi="Arial"/>
          <w:sz w:val="15"/>
          <w:szCs w:val="15"/>
          <w:color w:val="auto"/>
        </w:rPr>
        <w:t>In 2016, Bank of Hawaii launched its College Assistance Program (“CAP”) to give employees striving to obtain their first four-year bachelor’s degree access to a college education and tuition reimbursement. CAP gives employees the convenience and flexibility to study where, when, and what they desire by allowing them to choose from a variety of select majors at Chaminade University of Honolulu. Their choice of majors need not relate to their current position. CAP also gives employees the option to pursue an accelerated online Associate of Arts degree through the University of Hawai‘i’s Community Colleges. When the program began in 2016, there were three participants. The program has been very successful and popular, now boasting five employees who have earned their associate’s degree, four employees who have earned their bachelor’s degree, and 67 unique participants with more than $355,000 reimbursed to employees for the cost of their education. The Company’s Tuition Assistance Program (“TAP”) is aimed at assisting employees in completing job-related courses at any accredited school. The TAP program had 23 participants and more than $66,000 reimbursed to student employees in 2021. Another educational assistance program offered is the Professional Certification Program.</w:t>
      </w:r>
    </w:p>
    <w:p>
      <w:pPr>
        <w:spacing w:after="0" w:line="180" w:lineRule="exact"/>
        <w:rPr>
          <w:sz w:val="20"/>
          <w:szCs w:val="20"/>
          <w:color w:val="auto"/>
        </w:rPr>
      </w:pPr>
    </w:p>
    <w:p>
      <w:pPr>
        <w:ind w:right="20" w:firstLine="546"/>
        <w:spacing w:after="0" w:line="275" w:lineRule="auto"/>
        <w:rPr>
          <w:sz w:val="20"/>
          <w:szCs w:val="20"/>
          <w:color w:val="auto"/>
        </w:rPr>
      </w:pPr>
      <w:r>
        <w:rPr>
          <w:rFonts w:ascii="Arial" w:cs="Arial" w:eastAsia="Arial" w:hAnsi="Arial"/>
          <w:sz w:val="16"/>
          <w:szCs w:val="16"/>
          <w:color w:val="auto"/>
        </w:rPr>
        <w:t>Bank of Hawaii also offers a Student Loan Assistance Program for employees. Student loan debt is a significant impediment to a key demographic sector of our national community. This program provides $100 per month, up to a lifetime maximum of $10,000, for an individual employee’s student debt. At year-end 2021, we had more than 150 employees enrolled in this program.</w:t>
      </w:r>
    </w:p>
    <w:p>
      <w:pPr>
        <w:spacing w:after="0" w:line="183" w:lineRule="exact"/>
        <w:rPr>
          <w:sz w:val="20"/>
          <w:szCs w:val="20"/>
          <w:color w:val="auto"/>
        </w:rPr>
      </w:pPr>
    </w:p>
    <w:p>
      <w:pPr>
        <w:ind w:right="20" w:firstLine="546"/>
        <w:spacing w:after="0" w:line="275" w:lineRule="auto"/>
        <w:rPr>
          <w:sz w:val="20"/>
          <w:szCs w:val="20"/>
          <w:color w:val="auto"/>
        </w:rPr>
      </w:pPr>
      <w:r>
        <w:rPr>
          <w:rFonts w:ascii="Arial" w:cs="Arial" w:eastAsia="Arial" w:hAnsi="Arial"/>
          <w:sz w:val="16"/>
          <w:szCs w:val="16"/>
          <w:color w:val="auto"/>
        </w:rPr>
        <w:t>Our employee savings product, known as the GROW Account encourages our employees to build an emergency savings nest egg. Through these special accounts, we offer a $50 bonus to our employees when they reach $500 in savings in their GROW Account. We offer an additional $100 bonus to those employees who save an additional $500.</w:t>
      </w:r>
    </w:p>
    <w:p>
      <w:pPr>
        <w:spacing w:after="0" w:line="183" w:lineRule="exact"/>
        <w:rPr>
          <w:sz w:val="20"/>
          <w:szCs w:val="20"/>
          <w:color w:val="auto"/>
        </w:rPr>
      </w:pPr>
    </w:p>
    <w:p>
      <w:pPr>
        <w:ind w:right="20" w:firstLine="546"/>
        <w:spacing w:after="0" w:line="289" w:lineRule="auto"/>
        <w:rPr>
          <w:sz w:val="20"/>
          <w:szCs w:val="20"/>
          <w:color w:val="auto"/>
        </w:rPr>
      </w:pPr>
      <w:r>
        <w:rPr>
          <w:rFonts w:ascii="Arial" w:cs="Arial" w:eastAsia="Arial" w:hAnsi="Arial"/>
          <w:sz w:val="16"/>
          <w:szCs w:val="16"/>
          <w:color w:val="auto"/>
        </w:rPr>
        <w:t>Our Employee Mortgage Program provides our employees with a discount of up to 1% off of prevailing market rates for their primary residences. This is an attractive retention tool for Bank of Hawaii given the high cost of housing on our islands.</w:t>
      </w:r>
    </w:p>
    <w:p>
      <w:pPr>
        <w:spacing w:after="0" w:line="172" w:lineRule="exact"/>
        <w:rPr>
          <w:sz w:val="20"/>
          <w:szCs w:val="20"/>
          <w:color w:val="auto"/>
        </w:rPr>
      </w:pPr>
    </w:p>
    <w:p>
      <w:pPr>
        <w:ind w:firstLine="546"/>
        <w:spacing w:after="0" w:line="266" w:lineRule="auto"/>
        <w:rPr>
          <w:sz w:val="20"/>
          <w:szCs w:val="20"/>
          <w:color w:val="auto"/>
        </w:rPr>
      </w:pPr>
      <w:r>
        <w:rPr>
          <w:rFonts w:ascii="Arial" w:cs="Arial" w:eastAsia="Arial" w:hAnsi="Arial"/>
          <w:sz w:val="16"/>
          <w:szCs w:val="16"/>
          <w:color w:val="auto"/>
        </w:rPr>
        <w:t>The Bankoh Meals-To-Go program, which launched in May 2020, took the idea of sharing meals to a new level by offering employees free family-style meals once a week. With our Café Blue cafeterias temporarily closed, we utilized those facilities to provide meals for 98 weeks, officially ending in June 2021. Employees not in need were encouraged to donate their meals to family members, kūpuna or those experiencing food insecurity. Any food not utilized was donated to Aloha Harvest. Our Café Blue cafeterias at the downtown Tower and Hale O Kapolei later reopened, serving contactless food-to-go, which employees can order online through their laptop or mobile device. The Bankoh Meals-To-Go program distributed 418,364 meals on Oahu and 116,424 meals on neighbor islands and the West Pacific region with the help of 51 Bank volunteers. In addition, 12,843 pounds of food were donated to Aloha Harvest and 113 neighbor island and West Pacific region restaurants received support through participation in the program.</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Investing in Our Future</w:t>
      </w:r>
    </w:p>
    <w:p>
      <w:pPr>
        <w:spacing w:after="0" w:line="235" w:lineRule="exact"/>
        <w:rPr>
          <w:sz w:val="20"/>
          <w:szCs w:val="20"/>
          <w:color w:val="auto"/>
        </w:rPr>
      </w:pPr>
    </w:p>
    <w:p>
      <w:pPr>
        <w:ind w:right="40" w:firstLine="546"/>
        <w:spacing w:after="0" w:line="270" w:lineRule="auto"/>
        <w:rPr>
          <w:sz w:val="20"/>
          <w:szCs w:val="20"/>
          <w:color w:val="auto"/>
        </w:rPr>
      </w:pPr>
      <w:r>
        <w:rPr>
          <w:rFonts w:ascii="Arial" w:cs="Arial" w:eastAsia="Arial" w:hAnsi="Arial"/>
          <w:sz w:val="16"/>
          <w:szCs w:val="16"/>
          <w:color w:val="auto"/>
        </w:rPr>
        <w:t>For the 2021 through 2022 academic year, the Foundation supported 26 college scholarships totaling $91,000 for children and grandchildren of Bank of Hawaii employees. Since 2014, the Foundation has provided $791,000 to fund 226 college scholarships. These scholarships reflect our commitment to help our employees and their families reduce the financial burdens of post-high school education. We believe this investment will enable a better future and the next generation of our world’s and Hawaii’s leaders.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Supporting the Military</w:t>
      </w:r>
    </w:p>
    <w:p>
      <w:pPr>
        <w:spacing w:after="0" w:line="235" w:lineRule="exact"/>
        <w:rPr>
          <w:sz w:val="20"/>
          <w:szCs w:val="20"/>
          <w:color w:val="auto"/>
        </w:rPr>
      </w:pPr>
    </w:p>
    <w:p>
      <w:pPr>
        <w:ind w:firstLine="546"/>
        <w:spacing w:after="0" w:line="289" w:lineRule="auto"/>
        <w:rPr>
          <w:sz w:val="20"/>
          <w:szCs w:val="20"/>
          <w:color w:val="auto"/>
        </w:rPr>
      </w:pPr>
      <w:r>
        <w:rPr>
          <w:rFonts w:ascii="Arial" w:cs="Arial" w:eastAsia="Arial" w:hAnsi="Arial"/>
          <w:sz w:val="16"/>
          <w:szCs w:val="16"/>
          <w:color w:val="231F20"/>
        </w:rPr>
        <w:t xml:space="preserve">Bank of Hawaii is proud of its longstanding commitment to supporting our military service members and their families. In April, the </w:t>
      </w:r>
      <w:r>
        <w:rPr>
          <w:rFonts w:ascii="Arial" w:cs="Arial" w:eastAsia="Arial" w:hAnsi="Arial"/>
          <w:sz w:val="16"/>
          <w:szCs w:val="16"/>
          <w:color w:val="000000"/>
        </w:rPr>
        <w:t>Company</w:t>
      </w:r>
      <w:r>
        <w:rPr>
          <w:rFonts w:ascii="Arial" w:cs="Arial" w:eastAsia="Arial" w:hAnsi="Arial"/>
          <w:sz w:val="16"/>
          <w:szCs w:val="16"/>
          <w:color w:val="231F20"/>
        </w:rPr>
        <w:t xml:space="preserve"> introduced its military resource group to recognize, honor and support our active duty military, our veterans and their families.</w:t>
      </w:r>
    </w:p>
    <w:p>
      <w:pPr>
        <w:spacing w:after="0" w:line="172" w:lineRule="exact"/>
        <w:rPr>
          <w:sz w:val="20"/>
          <w:szCs w:val="20"/>
          <w:color w:val="auto"/>
        </w:rPr>
      </w:pPr>
    </w:p>
    <w:p>
      <w:pPr>
        <w:ind w:right="40" w:firstLine="546"/>
        <w:spacing w:after="0" w:line="270" w:lineRule="auto"/>
        <w:rPr>
          <w:sz w:val="20"/>
          <w:szCs w:val="20"/>
          <w:color w:val="auto"/>
        </w:rPr>
      </w:pPr>
      <w:r>
        <w:rPr>
          <w:rFonts w:ascii="Arial" w:cs="Arial" w:eastAsia="Arial" w:hAnsi="Arial"/>
          <w:sz w:val="16"/>
          <w:szCs w:val="16"/>
          <w:color w:val="231F20"/>
        </w:rPr>
        <w:t>In honor of Veterans Day, our Military ERG, planned a special lunch for veterans at the Barber’s Point location of U.S. VETS, an organization dedicated to ending veteran homelessness. Our Military ERG provided more than 70 bentos and had the opportunity to talk story and thank veterans in a safe, socially distanced way. The Barber’s Point location of U.S. VETS offers on-site long-term and permanent housing to help veterans gain housing stability, increase their skill levels and income, and reach greater self-determination through employment.</w:t>
      </w:r>
    </w:p>
    <w:p>
      <w:pPr>
        <w:spacing w:after="0" w:line="188" w:lineRule="exact"/>
        <w:rPr>
          <w:sz w:val="20"/>
          <w:szCs w:val="20"/>
          <w:color w:val="auto"/>
        </w:rPr>
      </w:pPr>
    </w:p>
    <w:p>
      <w:pPr>
        <w:ind w:right="40" w:firstLine="546"/>
        <w:spacing w:after="0" w:line="275" w:lineRule="auto"/>
        <w:rPr>
          <w:sz w:val="20"/>
          <w:szCs w:val="20"/>
          <w:color w:val="auto"/>
        </w:rPr>
      </w:pPr>
      <w:r>
        <w:rPr>
          <w:rFonts w:ascii="Arial" w:cs="Arial" w:eastAsia="Arial" w:hAnsi="Arial"/>
          <w:sz w:val="16"/>
          <w:szCs w:val="16"/>
          <w:color w:val="231F20"/>
        </w:rPr>
        <w:t xml:space="preserve">Bank of Hawaii is also a founding and leading sponsor of Sounds of Freedom, a division of the Great Aloha Run for active-duty men and women in all branches of service who run in formation. In addition to our Bankoh Blue Crew volunteering each year at the community event, the </w:t>
      </w:r>
      <w:r>
        <w:rPr>
          <w:rFonts w:ascii="Arial" w:cs="Arial" w:eastAsia="Arial" w:hAnsi="Arial"/>
          <w:sz w:val="16"/>
          <w:szCs w:val="16"/>
          <w:color w:val="000000"/>
        </w:rPr>
        <w:t>Company</w:t>
      </w:r>
      <w:r>
        <w:rPr>
          <w:rFonts w:ascii="Arial" w:cs="Arial" w:eastAsia="Arial" w:hAnsi="Arial"/>
          <w:sz w:val="16"/>
          <w:szCs w:val="16"/>
          <w:color w:val="231F20"/>
        </w:rPr>
        <w:t xml:space="preserve"> also presents the Sound of Freedom awards at the conclusion of the race to the top male and female military race finishers.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Outreach to the Unbanked and Underbanked</w:t>
      </w:r>
    </w:p>
    <w:p>
      <w:pPr>
        <w:spacing w:after="0" w:line="235" w:lineRule="exact"/>
        <w:rPr>
          <w:sz w:val="20"/>
          <w:szCs w:val="20"/>
          <w:color w:val="auto"/>
        </w:rPr>
      </w:pPr>
    </w:p>
    <w:p>
      <w:pPr>
        <w:ind w:right="300" w:firstLine="546"/>
        <w:spacing w:after="0" w:line="289" w:lineRule="auto"/>
        <w:rPr>
          <w:sz w:val="20"/>
          <w:szCs w:val="20"/>
          <w:color w:val="auto"/>
        </w:rPr>
      </w:pPr>
      <w:r>
        <w:rPr>
          <w:rFonts w:ascii="Arial" w:cs="Arial" w:eastAsia="Arial" w:hAnsi="Arial"/>
          <w:sz w:val="16"/>
          <w:szCs w:val="16"/>
          <w:color w:val="231F20"/>
        </w:rPr>
        <w:t>Bank of Hawaii was the first local bank to offer an alternative to traditional checking accounts in the State of Hawaii, beginning in April 2015. EASE by Bank of Hawaii combines convenience and access, is FDIC-insured and is among the lowest-fee bank accounts in the U.S.</w:t>
      </w:r>
    </w:p>
    <w:p>
      <w:pPr>
        <w:spacing w:after="0" w:line="172" w:lineRule="exact"/>
        <w:rPr>
          <w:sz w:val="20"/>
          <w:szCs w:val="20"/>
          <w:color w:val="auto"/>
        </w:rPr>
      </w:pPr>
    </w:p>
    <w:p>
      <w:pPr>
        <w:ind w:right="40" w:firstLine="546"/>
        <w:spacing w:after="0" w:line="270" w:lineRule="auto"/>
        <w:rPr>
          <w:sz w:val="20"/>
          <w:szCs w:val="20"/>
          <w:color w:val="auto"/>
        </w:rPr>
      </w:pPr>
      <w:r>
        <w:rPr>
          <w:rFonts w:ascii="Arial" w:cs="Arial" w:eastAsia="Arial" w:hAnsi="Arial"/>
          <w:sz w:val="16"/>
          <w:szCs w:val="16"/>
          <w:color w:val="231F20"/>
        </w:rPr>
        <w:t xml:space="preserve">With no checks to return, customers do not incur overdraft fees. Customers are also given a free Visa debit card and free access to </w:t>
      </w:r>
      <w:r>
        <w:rPr>
          <w:rFonts w:ascii="Arial" w:cs="Arial" w:eastAsia="Arial" w:hAnsi="Arial"/>
          <w:sz w:val="16"/>
          <w:szCs w:val="16"/>
          <w:color w:val="000000"/>
        </w:rPr>
        <w:t>307 Bank of Hawaii ATMs</w:t>
      </w:r>
      <w:r>
        <w:rPr>
          <w:rFonts w:ascii="Arial" w:cs="Arial" w:eastAsia="Arial" w:hAnsi="Arial"/>
          <w:sz w:val="16"/>
          <w:szCs w:val="16"/>
          <w:color w:val="231F20"/>
        </w:rPr>
        <w:t>, do not have direct deposit requirements or monthly service fees if they elect to receive online statements, and are allowed to open an account with a deposit of just $25. They also receive free 24/7 Bankoh by Phone, mobile banking and e-Bankoh online banking services. We continue to see strong demand for our EASE product, and are pleased to meet the needs of the unbanked and underbanked in the communities we serve.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Empowering Youth</w:t>
      </w:r>
    </w:p>
    <w:p>
      <w:pPr>
        <w:spacing w:after="0" w:line="235" w:lineRule="exact"/>
        <w:rPr>
          <w:sz w:val="20"/>
          <w:szCs w:val="20"/>
          <w:color w:val="auto"/>
        </w:rPr>
      </w:pPr>
    </w:p>
    <w:p>
      <w:pPr>
        <w:ind w:right="40" w:firstLine="546"/>
        <w:spacing w:after="0" w:line="270" w:lineRule="auto"/>
        <w:rPr>
          <w:sz w:val="20"/>
          <w:szCs w:val="20"/>
          <w:color w:val="auto"/>
        </w:rPr>
      </w:pPr>
      <w:r>
        <w:rPr>
          <w:rFonts w:ascii="Arial" w:cs="Arial" w:eastAsia="Arial" w:hAnsi="Arial"/>
          <w:sz w:val="16"/>
          <w:szCs w:val="16"/>
          <w:color w:val="231F20"/>
        </w:rPr>
        <w:t xml:space="preserve">The Foundation continued its ongoing sponsorship of PBS Hawai‘i’s HIKI NŌ, the groundbreaking student news program and statewide digital media learning initiative to support its programming, which transformed its practices to meet social distancing guidelines. The Foundation’s </w:t>
      </w:r>
      <w:r>
        <w:rPr>
          <w:rFonts w:ascii="Arial" w:cs="Arial" w:eastAsia="Arial" w:hAnsi="Arial"/>
          <w:sz w:val="16"/>
          <w:szCs w:val="16"/>
          <w:color w:val="000000"/>
        </w:rPr>
        <w:t>investment dates back to the launch of HIKI NŌ</w:t>
      </w:r>
      <w:r>
        <w:rPr>
          <w:rFonts w:ascii="Arial" w:cs="Arial" w:eastAsia="Arial" w:hAnsi="Arial"/>
          <w:sz w:val="16"/>
          <w:szCs w:val="16"/>
          <w:color w:val="231F20"/>
        </w:rPr>
        <w:t xml:space="preserve"> </w:t>
      </w:r>
      <w:r>
        <w:rPr>
          <w:rFonts w:ascii="Arial" w:cs="Arial" w:eastAsia="Arial" w:hAnsi="Arial"/>
          <w:sz w:val="16"/>
          <w:szCs w:val="16"/>
          <w:color w:val="000000"/>
        </w:rPr>
        <w:t>in 2011. Since then, Hawaii’s HIKI NŌ schools have gained the reputation of being formidable competitors at rigorous national journalism contests, including the prestigious Student Television Network Convention in Seattle, Washington.</w:t>
      </w:r>
    </w:p>
    <w:p>
      <w:pPr>
        <w:spacing w:after="0" w:line="188" w:lineRule="exact"/>
        <w:rPr>
          <w:sz w:val="20"/>
          <w:szCs w:val="20"/>
          <w:color w:val="auto"/>
        </w:rPr>
      </w:pPr>
    </w:p>
    <w:p>
      <w:pPr>
        <w:ind w:right="40" w:firstLine="546"/>
        <w:spacing w:after="0" w:line="268" w:lineRule="auto"/>
        <w:rPr>
          <w:sz w:val="20"/>
          <w:szCs w:val="20"/>
          <w:color w:val="auto"/>
        </w:rPr>
      </w:pPr>
      <w:r>
        <w:rPr>
          <w:rFonts w:ascii="Arial" w:cs="Arial" w:eastAsia="Arial" w:hAnsi="Arial"/>
          <w:sz w:val="16"/>
          <w:szCs w:val="16"/>
          <w:color w:val="auto"/>
        </w:rPr>
        <w:t>As a partner with ClimbHI Hawaii, Bank of Hawaii is a member of the ClimbHI Bridge that seeks to provide Hawaii’s students with career exploration opportunities and connect them with companies and organizations to serve as resources and points of insight into those explorations, including financial education and career advice. In 2019, as part of the founding group of supporters, the Foundation helped fund the effort, which aided the organization’s launch in 2020 amidst the COVID-19 pandemic. Whether contributing financially, participating in virtual career fairs with local middle schools, mentoring high school students or assisting with business class projects, the Foundation is proud to support our students in their academic pursuits.</w:t>
      </w:r>
    </w:p>
    <w:p>
      <w:pPr>
        <w:spacing w:after="0" w:line="190" w:lineRule="exact"/>
        <w:rPr>
          <w:sz w:val="20"/>
          <w:szCs w:val="20"/>
          <w:color w:val="auto"/>
        </w:rPr>
      </w:pPr>
    </w:p>
    <w:p>
      <w:pPr>
        <w:ind w:right="40" w:firstLine="546"/>
        <w:spacing w:after="0" w:line="266" w:lineRule="auto"/>
        <w:rPr>
          <w:sz w:val="20"/>
          <w:szCs w:val="20"/>
          <w:color w:val="auto"/>
        </w:rPr>
      </w:pPr>
      <w:r>
        <w:rPr>
          <w:rFonts w:ascii="Arial" w:cs="Arial" w:eastAsia="Arial" w:hAnsi="Arial"/>
          <w:sz w:val="16"/>
          <w:szCs w:val="16"/>
          <w:color w:val="auto"/>
        </w:rPr>
        <w:t>For the past 11 years, Bank of Hawaii has been partnering with nonprofit EPIC ‘Ohana’s Hawaii Youth Opportunities Initiative to offer financial education and services to foster teens. Foster youth have a high propensity for pregnancy, incarceration, homelessness and low college graduation rates due primarily to a lack of social network. Through the Opportunity Passport Program, teens from foster families are able to open matched Individual Development Account (“IDA”) savings accounts, where every dollar saved is matched by donors up to $1,000 annually (up to a maximum of $3,000). The funds may be withdrawn between the ages of 14 to 26 and have enabled young people to help pay for college education, housing and transportation. Since 2010, under the Hi Hopes Program (f/k/a Opportunity Passport), Bank of Hawaii has opened 917 IDAs as well as EASE accounts. A donation of $1.4 million has enabled former foster youth to pay for necessary expenses such as housing or education on Oahu or transportation on the neighbor islands.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Housing for Our Community</w:t>
      </w:r>
    </w:p>
    <w:p>
      <w:pPr>
        <w:spacing w:after="0" w:line="235" w:lineRule="exact"/>
        <w:rPr>
          <w:sz w:val="20"/>
          <w:szCs w:val="20"/>
          <w:color w:val="auto"/>
        </w:rPr>
      </w:pPr>
    </w:p>
    <w:p>
      <w:pPr>
        <w:ind w:right="440" w:firstLine="546"/>
        <w:spacing w:after="0" w:line="289" w:lineRule="auto"/>
        <w:rPr>
          <w:sz w:val="20"/>
          <w:szCs w:val="20"/>
          <w:color w:val="auto"/>
        </w:rPr>
      </w:pPr>
      <w:r>
        <w:rPr>
          <w:rFonts w:ascii="Arial" w:cs="Arial" w:eastAsia="Arial" w:hAnsi="Arial"/>
          <w:sz w:val="16"/>
          <w:szCs w:val="16"/>
          <w:color w:val="auto"/>
        </w:rPr>
        <w:t>Honolulu continues to be one of the most expensive cities in the U.S., and with a shortage of affordable rental homes across Hawaii, the adverse impacts of the COVID-19 pandemic make the availability of affordable and workforce housing more important than ever.</w:t>
      </w:r>
    </w:p>
    <w:p>
      <w:pPr>
        <w:spacing w:after="0" w:line="172" w:lineRule="exact"/>
        <w:rPr>
          <w:sz w:val="20"/>
          <w:szCs w:val="20"/>
          <w:color w:val="auto"/>
        </w:rPr>
      </w:pPr>
    </w:p>
    <w:p>
      <w:pPr>
        <w:ind w:right="200" w:firstLine="546"/>
        <w:spacing w:after="0" w:line="289" w:lineRule="auto"/>
        <w:rPr>
          <w:sz w:val="20"/>
          <w:szCs w:val="20"/>
          <w:color w:val="auto"/>
        </w:rPr>
      </w:pPr>
      <w:r>
        <w:rPr>
          <w:rFonts w:ascii="Arial" w:cs="Arial" w:eastAsia="Arial" w:hAnsi="Arial"/>
          <w:sz w:val="16"/>
          <w:szCs w:val="16"/>
          <w:color w:val="auto"/>
        </w:rPr>
        <w:t>In 2021, almost 800 affordable housing units (490 on Oahu, 201 on Maui and 101 on Hawaii Island) started construction or rehabilitation thanks in part to Bank of Hawaii, and almost 800 more units are in the pipeline.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right="100" w:firstLine="546"/>
        <w:spacing w:after="0" w:line="270" w:lineRule="auto"/>
        <w:rPr>
          <w:sz w:val="20"/>
          <w:szCs w:val="20"/>
          <w:color w:val="auto"/>
        </w:rPr>
      </w:pPr>
      <w:r>
        <w:rPr>
          <w:rFonts w:ascii="Arial" w:cs="Arial" w:eastAsia="Arial" w:hAnsi="Arial"/>
          <w:sz w:val="16"/>
          <w:szCs w:val="16"/>
          <w:color w:val="auto"/>
        </w:rPr>
        <w:t>Additionally, Bank of Hawaii is leading the funding of the construction loan for Hale Kalele, as well as providing the permanent loan to support the project’s operations. As a new development in urban Honolulu, Hale Kalele is leased from the state and sponsored by the Kobayashi Group. The first two floors will serve as juvenile facility operated by the State Judiciary, and the other floors will include 200 low-income rental housing units for families with incomes between 30% and 60% of the area’s median income. Construction began in October 2020 and is scheduled for completion in 2022.</w:t>
      </w:r>
    </w:p>
    <w:p>
      <w:pPr>
        <w:spacing w:after="0" w:line="188" w:lineRule="exact"/>
        <w:rPr>
          <w:sz w:val="20"/>
          <w:szCs w:val="20"/>
          <w:color w:val="auto"/>
        </w:rPr>
      </w:pPr>
    </w:p>
    <w:p>
      <w:pPr>
        <w:ind w:right="740" w:firstLine="546"/>
        <w:spacing w:after="0" w:line="289" w:lineRule="auto"/>
        <w:rPr>
          <w:sz w:val="20"/>
          <w:szCs w:val="20"/>
          <w:color w:val="auto"/>
        </w:rPr>
      </w:pPr>
      <w:r>
        <w:rPr>
          <w:rFonts w:ascii="Arial" w:cs="Arial" w:eastAsia="Arial" w:hAnsi="Arial"/>
          <w:sz w:val="16"/>
          <w:szCs w:val="16"/>
          <w:color w:val="auto"/>
        </w:rPr>
        <w:t>Furthermore, the Company is committed to equity investment as an investor in Low-Income Housing Tax Credits projects across the state as well as in the Commonwealth of the Northern Mariana Islands/Saipan.</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231F20"/>
        </w:rPr>
        <w:t>BRINGING ENVIRONMENTAL CONSCIOUSNESS TO THE WAY WE DO BUSINESS</w:t>
      </w:r>
    </w:p>
    <w:p>
      <w:pPr>
        <w:spacing w:after="0" w:line="235" w:lineRule="exact"/>
        <w:rPr>
          <w:sz w:val="20"/>
          <w:szCs w:val="20"/>
          <w:color w:val="auto"/>
        </w:rPr>
      </w:pPr>
    </w:p>
    <w:p>
      <w:pPr>
        <w:ind w:right="160" w:firstLine="546"/>
        <w:spacing w:after="0" w:line="275" w:lineRule="auto"/>
        <w:rPr>
          <w:sz w:val="20"/>
          <w:szCs w:val="20"/>
          <w:color w:val="auto"/>
        </w:rPr>
      </w:pPr>
      <w:r>
        <w:rPr>
          <w:rFonts w:ascii="Arial" w:cs="Arial" w:eastAsia="Arial" w:hAnsi="Arial"/>
          <w:sz w:val="16"/>
          <w:szCs w:val="16"/>
          <w:color w:val="231F20"/>
        </w:rPr>
        <w:t>Bank of Hawaii seeks out projects that advance our overall environmental strategy, such as those that support renewable energy projects. Building sound environmentally minded investments into our portfolio reduces risk, increases our value to investors and allows us to pursue our own initiatives to reduce our impact on the environment through internal or employee initiatives.</w:t>
      </w:r>
    </w:p>
    <w:p>
      <w:pPr>
        <w:spacing w:after="0" w:line="183" w:lineRule="exact"/>
        <w:rPr>
          <w:sz w:val="20"/>
          <w:szCs w:val="20"/>
          <w:color w:val="auto"/>
        </w:rPr>
      </w:pPr>
    </w:p>
    <w:p>
      <w:pPr>
        <w:ind w:right="40" w:firstLine="546"/>
        <w:spacing w:after="0" w:line="270" w:lineRule="auto"/>
        <w:rPr>
          <w:sz w:val="20"/>
          <w:szCs w:val="20"/>
          <w:color w:val="auto"/>
        </w:rPr>
      </w:pPr>
      <w:r>
        <w:rPr>
          <w:rFonts w:ascii="Arial" w:cs="Arial" w:eastAsia="Arial" w:hAnsi="Arial"/>
          <w:sz w:val="16"/>
          <w:szCs w:val="16"/>
          <w:color w:val="231F20"/>
        </w:rPr>
        <w:t>Bank of Hawaii is constantly improving its operations to proactively find more efficient and effective ways to ensure both the long-term success of the Company and the continued vitality of the communities it serves. Through its modernization efforts, the Company is helping to do its part in offsetting the negative impacts of climate change. The impacts of climate change, such as extreme weather conditions, natural disasters and rising sea levels, are of significant concern to the Bank, its operations as well as those of its customers and third party vendors upon which it relies.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Financing the Future</w:t>
      </w:r>
    </w:p>
    <w:p>
      <w:pPr>
        <w:spacing w:after="0" w:line="235" w:lineRule="exact"/>
        <w:rPr>
          <w:sz w:val="20"/>
          <w:szCs w:val="20"/>
          <w:color w:val="auto"/>
        </w:rPr>
      </w:pPr>
    </w:p>
    <w:p>
      <w:pPr>
        <w:ind w:right="180" w:firstLine="546"/>
        <w:spacing w:after="0" w:line="324" w:lineRule="auto"/>
        <w:rPr>
          <w:sz w:val="20"/>
          <w:szCs w:val="20"/>
          <w:color w:val="auto"/>
        </w:rPr>
      </w:pPr>
      <w:r>
        <w:rPr>
          <w:rFonts w:ascii="Arial" w:cs="Arial" w:eastAsia="Arial" w:hAnsi="Arial"/>
          <w:sz w:val="15"/>
          <w:szCs w:val="15"/>
          <w:color w:val="231F20"/>
        </w:rPr>
        <w:t>The Company actively participates in the financing of photovoltaic projects. The Company currently is a lender in a variety of renewable energy projects with over $100 million committed to these initiatives. Bank of Hawaii continues to seek out other opportunities in this sector and is a leader in these financing initiatives.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Comprehensive Solutions</w:t>
      </w:r>
    </w:p>
    <w:p>
      <w:pPr>
        <w:spacing w:after="0" w:line="235" w:lineRule="exact"/>
        <w:rPr>
          <w:sz w:val="20"/>
          <w:szCs w:val="20"/>
          <w:color w:val="auto"/>
        </w:rPr>
      </w:pPr>
    </w:p>
    <w:p>
      <w:pPr>
        <w:ind w:firstLine="546"/>
        <w:spacing w:after="0" w:line="270" w:lineRule="auto"/>
        <w:rPr>
          <w:sz w:val="20"/>
          <w:szCs w:val="20"/>
          <w:color w:val="auto"/>
        </w:rPr>
      </w:pPr>
      <w:r>
        <w:rPr>
          <w:rFonts w:ascii="Arial" w:cs="Arial" w:eastAsia="Arial" w:hAnsi="Arial"/>
          <w:sz w:val="16"/>
          <w:szCs w:val="16"/>
          <w:color w:val="auto"/>
        </w:rPr>
        <w:t>As we continue renovations to our facilities and branches, Bank of Hawaii focuses its efforts on Building Management Systems (“BMS”) as part of scheduled infrastructure upgrades. Through these upgrades, we are able to implement customized solutions that maximize energy conservation. In 2021, we focused on BMS optimization at our corporate headquarters and new installations at our Kahala and Mililani Branches. Our energy initiatives to date have resulted in 71% of our building area, approximately 733,000 square feet, with management systems in place.</w:t>
      </w:r>
    </w:p>
    <w:p>
      <w:pPr>
        <w:spacing w:after="0" w:line="188" w:lineRule="exact"/>
        <w:rPr>
          <w:sz w:val="20"/>
          <w:szCs w:val="20"/>
          <w:color w:val="auto"/>
        </w:rPr>
      </w:pPr>
    </w:p>
    <w:p>
      <w:pPr>
        <w:ind w:right="140" w:firstLine="546"/>
        <w:spacing w:after="0" w:line="275" w:lineRule="auto"/>
        <w:rPr>
          <w:sz w:val="20"/>
          <w:szCs w:val="20"/>
          <w:color w:val="auto"/>
        </w:rPr>
      </w:pPr>
      <w:r>
        <w:rPr>
          <w:rFonts w:ascii="Arial" w:cs="Arial" w:eastAsia="Arial" w:hAnsi="Arial"/>
          <w:sz w:val="16"/>
          <w:szCs w:val="16"/>
          <w:color w:val="auto"/>
        </w:rPr>
        <w:t>Bank of Hawaii also participates in Hawaiian Electric Company’s Demand Response Program at our two largest facilities. Through this participation, the Company receives incentives to reduce its usage during periods of island-wide peak demand, helping to preserve the reliability of the electrical grid and reduce the need for more electrical generation equipment.</w:t>
      </w:r>
    </w:p>
    <w:p>
      <w:pPr>
        <w:spacing w:after="0" w:line="183" w:lineRule="exact"/>
        <w:rPr>
          <w:sz w:val="20"/>
          <w:szCs w:val="20"/>
          <w:color w:val="auto"/>
        </w:rPr>
      </w:pPr>
    </w:p>
    <w:p>
      <w:pPr>
        <w:ind w:right="100" w:firstLine="546"/>
        <w:spacing w:after="0" w:line="320" w:lineRule="auto"/>
        <w:rPr>
          <w:sz w:val="20"/>
          <w:szCs w:val="20"/>
          <w:color w:val="auto"/>
        </w:rPr>
      </w:pPr>
      <w:r>
        <w:rPr>
          <w:rFonts w:ascii="Arial" w:cs="Arial" w:eastAsia="Arial" w:hAnsi="Arial"/>
          <w:sz w:val="14"/>
          <w:szCs w:val="14"/>
          <w:color w:val="231F20"/>
        </w:rPr>
        <w:t>Reducing energy consumption remains one of our top priorities. Through conservation and energy efficiency efforts, such as BMS and infrastructure modernization, we have already cut our energy use in half since 2012. In recent years, we have completed many impactful conservation initiatives throughout the Bank of Hawaii network. As we strive to align with the Hawaii’s 2045 Energy Goals and create continued savings, we are enhancing our building design, modernizing our properties with data acquisition controls and planning future projects. We are committed to pursuing additional opportunities to achieve our ambitious sustainability goals.</w:t>
      </w:r>
    </w:p>
    <w:p>
      <w:pPr>
        <w:spacing w:after="0" w:line="158" w:lineRule="exact"/>
        <w:rPr>
          <w:sz w:val="20"/>
          <w:szCs w:val="20"/>
          <w:color w:val="auto"/>
        </w:rPr>
      </w:pPr>
    </w:p>
    <w:p>
      <w:pPr>
        <w:ind w:right="100" w:firstLine="546"/>
        <w:spacing w:after="0" w:line="289" w:lineRule="auto"/>
        <w:rPr>
          <w:sz w:val="20"/>
          <w:szCs w:val="20"/>
          <w:color w:val="auto"/>
        </w:rPr>
      </w:pPr>
      <w:r>
        <w:rPr>
          <w:rFonts w:ascii="Arial" w:cs="Arial" w:eastAsia="Arial" w:hAnsi="Arial"/>
          <w:sz w:val="16"/>
          <w:szCs w:val="16"/>
          <w:color w:val="231F20"/>
        </w:rPr>
        <w:t>In 2021, the Company completed renovations of the corporate headquarters, including high performance window tinting, LED lighting with occupancy and daylight sensing controls, and high efficiency air conditioning systems with direct digital controls.</w:t>
      </w:r>
    </w:p>
    <w:p>
      <w:pPr>
        <w:spacing w:after="0" w:line="172" w:lineRule="exact"/>
        <w:rPr>
          <w:sz w:val="20"/>
          <w:szCs w:val="20"/>
          <w:color w:val="auto"/>
        </w:rPr>
      </w:pPr>
    </w:p>
    <w:p>
      <w:pPr>
        <w:ind w:right="40" w:firstLine="546"/>
        <w:spacing w:after="0" w:line="268" w:lineRule="auto"/>
        <w:rPr>
          <w:sz w:val="20"/>
          <w:szCs w:val="20"/>
          <w:color w:val="auto"/>
        </w:rPr>
      </w:pPr>
      <w:r>
        <w:rPr>
          <w:rFonts w:ascii="Arial" w:cs="Arial" w:eastAsia="Arial" w:hAnsi="Arial"/>
          <w:sz w:val="16"/>
          <w:szCs w:val="16"/>
          <w:color w:val="231F20"/>
        </w:rPr>
        <w:t>Our “Branch of Tomorrow” design makes more efficient use of space, with increased customer support through innovative cash recycling machines at the tellers, portable computing platforms to allow the tellers to reach out directly with customers and reduce long waiting lines, and upgraded ATMs that allow direct deposit of cash and checks along with simplified transaction handling. Staff lunchrooms have been outfitted with point-of-use hot water dispensers to replace water heaters, microwave ovens to replace stoves and cook-tops, as well as large-screen LED monitors that allow for remote, online meetings and training sessions, which reduce energy usage, staff travel and downtime. These innovations allow us to work more efficiently and effectively every single day.</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Progressing Towards Environmental Sustainability</w:t>
      </w:r>
    </w:p>
    <w:p>
      <w:pPr>
        <w:spacing w:after="0" w:line="235" w:lineRule="exact"/>
        <w:rPr>
          <w:sz w:val="20"/>
          <w:szCs w:val="20"/>
          <w:color w:val="auto"/>
        </w:rPr>
      </w:pPr>
    </w:p>
    <w:p>
      <w:pPr>
        <w:ind w:right="20" w:firstLine="546"/>
        <w:spacing w:after="0" w:line="270" w:lineRule="auto"/>
        <w:rPr>
          <w:sz w:val="20"/>
          <w:szCs w:val="20"/>
          <w:color w:val="auto"/>
        </w:rPr>
      </w:pPr>
      <w:r>
        <w:rPr>
          <w:rFonts w:ascii="Arial" w:cs="Arial" w:eastAsia="Arial" w:hAnsi="Arial"/>
          <w:sz w:val="16"/>
          <w:szCs w:val="16"/>
          <w:color w:val="auto"/>
        </w:rPr>
        <w:t>Along with its conservation efforts, Bank of Hawaii is committed to renewable energy resources, and has made this an integral part of the modernization project at its branches and other facilities. An additional 58 Kilowatts of photovoltaic systems were installed in 2021. The Company now has photovoltaic installation on over 60% of owned branches and buildings. This includes three large photovoltaic systems (561kW, 350kW and 100kW) at its main facilities. Combined, our PV networks have the capacity to create 3.4 Megawatt hours of energy annually.</w:t>
      </w:r>
    </w:p>
    <w:p>
      <w:pPr>
        <w:spacing w:after="0" w:line="188" w:lineRule="exact"/>
        <w:rPr>
          <w:sz w:val="20"/>
          <w:szCs w:val="20"/>
          <w:color w:val="auto"/>
        </w:rPr>
      </w:pPr>
    </w:p>
    <w:p>
      <w:pPr>
        <w:jc w:val="both"/>
        <w:ind w:right="300" w:firstLine="546"/>
        <w:spacing w:after="0" w:line="275" w:lineRule="auto"/>
        <w:rPr>
          <w:sz w:val="20"/>
          <w:szCs w:val="20"/>
          <w:color w:val="auto"/>
        </w:rPr>
      </w:pPr>
      <w:r>
        <w:rPr>
          <w:rFonts w:ascii="Arial" w:cs="Arial" w:eastAsia="Arial" w:hAnsi="Arial"/>
          <w:sz w:val="16"/>
          <w:szCs w:val="16"/>
          <w:color w:val="auto"/>
        </w:rPr>
        <w:t>Bank of Hawaii greatly improved its ability to respond to in-area natural disasters by relocating our disaster recovery data center to the continental U.S., enabling greater data protection while reducing our carbon footprint. Our partner on the continent has been running on 100% renewable energy since January 2016, and is the only major data center provider to receive an ‘A’ grade by Greenpeace in all five of their data center grading categories.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Reducing Waste</w:t>
      </w:r>
    </w:p>
    <w:p>
      <w:pPr>
        <w:spacing w:after="0" w:line="235" w:lineRule="exact"/>
        <w:rPr>
          <w:sz w:val="20"/>
          <w:szCs w:val="20"/>
          <w:color w:val="auto"/>
        </w:rPr>
      </w:pPr>
    </w:p>
    <w:p>
      <w:pPr>
        <w:ind w:right="180" w:firstLine="546"/>
        <w:spacing w:after="0" w:line="268" w:lineRule="auto"/>
        <w:rPr>
          <w:sz w:val="20"/>
          <w:szCs w:val="20"/>
          <w:color w:val="auto"/>
        </w:rPr>
      </w:pPr>
      <w:r>
        <w:rPr>
          <w:rFonts w:ascii="Arial" w:cs="Arial" w:eastAsia="Arial" w:hAnsi="Arial"/>
          <w:sz w:val="16"/>
          <w:szCs w:val="16"/>
          <w:color w:val="231F20"/>
        </w:rPr>
        <w:t>Reducing the amount of paper used in the workplace is part of Bank of Hawaii’s office transformation initiative. The Company strives for optimum performance in our digital environment and we anticipate this sustainability effort will have environmental, efficiency and cost-reduction benefits. We are currently imaging old paper records, which reduces costly storage expenses, and we are moving toward contemporaneously imaging current records, reducing the amount of paper required. Bank of Hawaii has also implemented several enterprise-wide digital and cloud-based solutions to help facilitate this initiative. In addition, remote work has enabled less paper consumption, and in 2021, paper acquisition and destruction activity decreased by 10%.</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Encouraging Public Transportation and Bicycle Use</w:t>
      </w:r>
    </w:p>
    <w:p>
      <w:pPr>
        <w:spacing w:after="0" w:line="235" w:lineRule="exact"/>
        <w:rPr>
          <w:sz w:val="20"/>
          <w:szCs w:val="20"/>
          <w:color w:val="auto"/>
        </w:rPr>
      </w:pPr>
    </w:p>
    <w:p>
      <w:pPr>
        <w:ind w:right="60" w:firstLine="546"/>
        <w:spacing w:after="0" w:line="294" w:lineRule="auto"/>
        <w:rPr>
          <w:sz w:val="20"/>
          <w:szCs w:val="20"/>
          <w:color w:val="auto"/>
        </w:rPr>
      </w:pPr>
      <w:r>
        <w:rPr>
          <w:rFonts w:ascii="Arial" w:cs="Arial" w:eastAsia="Arial" w:hAnsi="Arial"/>
          <w:sz w:val="15"/>
          <w:szCs w:val="15"/>
          <w:color w:val="231F20"/>
        </w:rPr>
        <w:t>Bank of Hawaii offers a Bus Pass Benefit Program for its employees on Oahu, reducing the cost of a monthly bus pass from $70 to $30 (on a pre-tax basis) for participating employees 64 years and younger. Employees 65 and older receive $30 towards the purchase of a $35 senior annual Bus Pass. All active full-time and part-time employees who ride the bus as a primary source of transportation to and from work are eligible for the benefit. During 2021, m</w:t>
      </w:r>
      <w:r>
        <w:rPr>
          <w:rFonts w:ascii="Arial" w:cs="Arial" w:eastAsia="Arial" w:hAnsi="Arial"/>
          <w:sz w:val="15"/>
          <w:szCs w:val="15"/>
          <w:color w:val="000000"/>
        </w:rPr>
        <w:t>ore than 240 employees took advantage of this</w:t>
      </w:r>
      <w:r>
        <w:rPr>
          <w:rFonts w:ascii="Arial" w:cs="Arial" w:eastAsia="Arial" w:hAnsi="Arial"/>
          <w:sz w:val="15"/>
          <w:szCs w:val="15"/>
          <w:color w:val="231F20"/>
        </w:rPr>
        <w:t xml:space="preserve"> </w:t>
      </w:r>
      <w:r>
        <w:rPr>
          <w:rFonts w:ascii="Arial" w:cs="Arial" w:eastAsia="Arial" w:hAnsi="Arial"/>
          <w:sz w:val="15"/>
          <w:szCs w:val="15"/>
          <w:color w:val="000000"/>
        </w:rPr>
        <w:t>benefit, resulting in an annual commitment by the Company of close to $100,000 towards reducing greenhouse gas emissions.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4"/>
          <w:szCs w:val="14"/>
          <w:color w:val="231F20"/>
        </w:rPr>
        <w:t>Bank of Hawaii also offers employees up to $20 per month as reimbursement for reasonable expenses if an employee uses a bicycle regularly for commuting to work.</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231F20"/>
        </w:rPr>
        <w:t>Reasonable expenses include the purchase of a bicycle as well as continuing maintenance, repair and storage.</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BOARD COMMITTEES AND MEETINGS</w:t>
      </w:r>
    </w:p>
    <w:p>
      <w:pPr>
        <w:spacing w:after="0" w:line="235" w:lineRule="exact"/>
        <w:rPr>
          <w:sz w:val="20"/>
          <w:szCs w:val="20"/>
          <w:color w:val="auto"/>
        </w:rPr>
      </w:pPr>
    </w:p>
    <w:p>
      <w:pPr>
        <w:ind w:right="140" w:firstLine="546"/>
        <w:spacing w:after="0" w:line="301" w:lineRule="auto"/>
        <w:rPr>
          <w:sz w:val="20"/>
          <w:szCs w:val="20"/>
          <w:color w:val="auto"/>
        </w:rPr>
      </w:pPr>
      <w:r>
        <w:rPr>
          <w:rFonts w:ascii="Arial" w:cs="Arial" w:eastAsia="Arial" w:hAnsi="Arial"/>
          <w:sz w:val="15"/>
          <w:szCs w:val="15"/>
          <w:color w:val="auto"/>
        </w:rPr>
        <w:t>The Board met 11 times during 2021. The Board’s policy is that directors should make every effort to regularly attend meetings of the Board and committees on which they serve and the Company’s Annual Meeting of Shareholders. Each director attended at least 75% of the meetings of the Board and 75% of the committee meetings on which he or she served in 2021. All of the Company’s then sitting directors attended the 2021 Annual Meeting of Shareholders.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35" w:lineRule="exact"/>
        <w:rPr>
          <w:sz w:val="20"/>
          <w:szCs w:val="20"/>
          <w:color w:val="auto"/>
        </w:rPr>
      </w:pPr>
    </w:p>
    <w:p>
      <w:pPr>
        <w:ind w:right="540" w:firstLine="546"/>
        <w:spacing w:after="0" w:line="364" w:lineRule="auto"/>
        <w:rPr>
          <w:sz w:val="20"/>
          <w:szCs w:val="20"/>
          <w:color w:val="auto"/>
        </w:rPr>
      </w:pPr>
      <w:r>
        <w:rPr>
          <w:rFonts w:ascii="Arial" w:cs="Arial" w:eastAsia="Arial" w:hAnsi="Arial"/>
          <w:sz w:val="14"/>
          <w:szCs w:val="14"/>
          <w:color w:val="auto"/>
        </w:rPr>
        <w:t>The Board has three standing committees: the Audit &amp; Risk Committee, the Human Resources &amp; Compensation Committee, and the Nominating &amp; Corporate Governance Committee. The charters for the respective Board committees are posted in the Investor Relations page of the Company’s website at www.boh.com.</w:t>
      </w:r>
    </w:p>
    <w:p>
      <w:pPr>
        <w:spacing w:after="0" w:line="127" w:lineRule="exact"/>
        <w:rPr>
          <w:sz w:val="20"/>
          <w:szCs w:val="20"/>
          <w:color w:val="auto"/>
        </w:rPr>
      </w:pPr>
    </w:p>
    <w:p>
      <w:pPr>
        <w:ind w:right="140" w:firstLine="546"/>
        <w:spacing w:after="0" w:line="320" w:lineRule="auto"/>
        <w:rPr>
          <w:sz w:val="20"/>
          <w:szCs w:val="20"/>
          <w:color w:val="auto"/>
        </w:rPr>
      </w:pPr>
      <w:r>
        <w:rPr>
          <w:rFonts w:ascii="Arial" w:cs="Arial" w:eastAsia="Arial" w:hAnsi="Arial"/>
          <w:sz w:val="14"/>
          <w:szCs w:val="14"/>
          <w:color w:val="auto"/>
        </w:rPr>
        <w:t>The Board has affirmatively determined that all of the members of the Audit &amp; Risk, Human Resources &amp; Compensation, and Nominating &amp; Corporate Governance Committees (collectively the “Board Committees”) meet the independence standards of the NYSE and the Company’s Governance Guidelines. The Board Committees’ charters require that each committee perform an annual evaluation of its performance and assess the adequacy of its charter. Each committee has the authority to retain consultants and advisors to assist it in its duties, including the sole authority for the retention, termination and negotiation of the terms and conditions of the engagement.</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Below are the members of each current standing committee.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80" w:type="dxa"/>
            <w:vAlign w:val="bottom"/>
            <w:tcBorders>
              <w:right w:val="single" w:sz="8" w:color="auto"/>
            </w:tcBorders>
          </w:tcPr>
          <w:p>
            <w:pPr>
              <w:spacing w:after="0"/>
              <w:rPr>
                <w:sz w:val="17"/>
                <w:szCs w:val="17"/>
                <w:color w:val="auto"/>
              </w:rPr>
            </w:pPr>
          </w:p>
        </w:tc>
        <w:tc>
          <w:tcPr>
            <w:tcW w:w="2720" w:type="dxa"/>
            <w:vAlign w:val="bottom"/>
            <w:tcBorders>
              <w:top w:val="single" w:sz="8" w:color="auto"/>
            </w:tcBorders>
            <w:shd w:val="clear" w:color="auto" w:fill="086FB8"/>
          </w:tcPr>
          <w:p>
            <w:pPr>
              <w:spacing w:after="0"/>
              <w:rPr>
                <w:sz w:val="17"/>
                <w:szCs w:val="17"/>
                <w:color w:val="auto"/>
              </w:rPr>
            </w:pPr>
          </w:p>
        </w:tc>
        <w:tc>
          <w:tcPr>
            <w:tcW w:w="2240" w:type="dxa"/>
            <w:vAlign w:val="bottom"/>
            <w:tcBorders>
              <w:top w:val="single" w:sz="8" w:color="auto"/>
            </w:tcBorders>
            <w:shd w:val="clear" w:color="auto" w:fill="086FB8"/>
          </w:tcPr>
          <w:p>
            <w:pPr>
              <w:spacing w:after="0"/>
              <w:rPr>
                <w:sz w:val="17"/>
                <w:szCs w:val="17"/>
                <w:color w:val="auto"/>
              </w:rPr>
            </w:pPr>
          </w:p>
        </w:tc>
        <w:tc>
          <w:tcPr>
            <w:tcW w:w="3000" w:type="dxa"/>
            <w:vAlign w:val="bottom"/>
            <w:tcBorders>
              <w:top w:val="single" w:sz="8" w:color="auto"/>
            </w:tcBorders>
            <w:shd w:val="clear" w:color="auto" w:fill="086FB8"/>
          </w:tcPr>
          <w:p>
            <w:pPr>
              <w:spacing w:after="0"/>
              <w:rPr>
                <w:sz w:val="17"/>
                <w:szCs w:val="17"/>
                <w:color w:val="auto"/>
              </w:rPr>
            </w:pPr>
          </w:p>
        </w:tc>
        <w:tc>
          <w:tcPr>
            <w:tcW w:w="2140" w:type="dxa"/>
            <w:vAlign w:val="bottom"/>
            <w:tcBorders>
              <w:top w:val="single" w:sz="8" w:color="auto"/>
              <w:right w:val="single" w:sz="8" w:color="auto"/>
            </w:tcBorders>
            <w:shd w:val="clear" w:color="auto" w:fill="086FB8"/>
          </w:tcPr>
          <w:p>
            <w:pPr>
              <w:jc w:val="center"/>
              <w:ind w:right="40"/>
              <w:spacing w:after="0"/>
              <w:rPr>
                <w:sz w:val="20"/>
                <w:szCs w:val="20"/>
                <w:color w:val="auto"/>
              </w:rPr>
            </w:pPr>
            <w:r>
              <w:rPr>
                <w:rFonts w:ascii="Arial" w:cs="Arial" w:eastAsia="Arial" w:hAnsi="Arial"/>
                <w:sz w:val="16"/>
                <w:szCs w:val="16"/>
                <w:b w:val="1"/>
                <w:bCs w:val="1"/>
                <w:color w:val="FFFFFF"/>
                <w:w w:val="94"/>
              </w:rPr>
              <w:t>Nominating &amp;</w:t>
            </w:r>
          </w:p>
        </w:tc>
        <w:tc>
          <w:tcPr>
            <w:tcW w:w="580" w:type="dxa"/>
            <w:vAlign w:val="bottom"/>
          </w:tcPr>
          <w:p>
            <w:pPr>
              <w:spacing w:after="0"/>
              <w:rPr>
                <w:sz w:val="17"/>
                <w:szCs w:val="17"/>
                <w:color w:val="auto"/>
              </w:rPr>
            </w:pPr>
          </w:p>
        </w:tc>
      </w:tr>
      <w:tr>
        <w:trPr>
          <w:trHeight w:val="201"/>
        </w:trPr>
        <w:tc>
          <w:tcPr>
            <w:tcW w:w="580" w:type="dxa"/>
            <w:vAlign w:val="bottom"/>
            <w:tcBorders>
              <w:right w:val="single" w:sz="8" w:color="auto"/>
            </w:tcBorders>
          </w:tcPr>
          <w:p>
            <w:pPr>
              <w:spacing w:after="0"/>
              <w:rPr>
                <w:sz w:val="17"/>
                <w:szCs w:val="17"/>
                <w:color w:val="auto"/>
              </w:rPr>
            </w:pPr>
          </w:p>
        </w:tc>
        <w:tc>
          <w:tcPr>
            <w:tcW w:w="2720" w:type="dxa"/>
            <w:vAlign w:val="bottom"/>
            <w:shd w:val="clear" w:color="auto" w:fill="086FB8"/>
          </w:tcPr>
          <w:p>
            <w:pPr>
              <w:spacing w:after="0"/>
              <w:rPr>
                <w:sz w:val="17"/>
                <w:szCs w:val="17"/>
                <w:color w:val="auto"/>
              </w:rPr>
            </w:pPr>
          </w:p>
        </w:tc>
        <w:tc>
          <w:tcPr>
            <w:tcW w:w="2240" w:type="dxa"/>
            <w:vAlign w:val="bottom"/>
            <w:shd w:val="clear" w:color="auto" w:fill="086FB8"/>
          </w:tcPr>
          <w:p>
            <w:pPr>
              <w:spacing w:after="0"/>
              <w:rPr>
                <w:sz w:val="17"/>
                <w:szCs w:val="17"/>
                <w:color w:val="auto"/>
              </w:rPr>
            </w:pPr>
          </w:p>
        </w:tc>
        <w:tc>
          <w:tcPr>
            <w:tcW w:w="3000" w:type="dxa"/>
            <w:vAlign w:val="bottom"/>
            <w:shd w:val="clear" w:color="auto" w:fill="086FB8"/>
          </w:tcPr>
          <w:p>
            <w:pPr>
              <w:jc w:val="center"/>
              <w:ind w:left="460"/>
              <w:spacing w:after="0"/>
              <w:rPr>
                <w:sz w:val="20"/>
                <w:szCs w:val="20"/>
                <w:color w:val="auto"/>
              </w:rPr>
            </w:pPr>
            <w:r>
              <w:rPr>
                <w:rFonts w:ascii="Arial" w:cs="Arial" w:eastAsia="Arial" w:hAnsi="Arial"/>
                <w:sz w:val="16"/>
                <w:szCs w:val="16"/>
                <w:b w:val="1"/>
                <w:bCs w:val="1"/>
                <w:color w:val="FFFFFF"/>
                <w:w w:val="90"/>
              </w:rPr>
              <w:t>Human Resources &amp;</w:t>
            </w:r>
          </w:p>
        </w:tc>
        <w:tc>
          <w:tcPr>
            <w:tcW w:w="2140" w:type="dxa"/>
            <w:vAlign w:val="bottom"/>
            <w:tcBorders>
              <w:right w:val="single" w:sz="8" w:color="auto"/>
            </w:tcBorders>
            <w:shd w:val="clear" w:color="auto" w:fill="086FB8"/>
          </w:tcPr>
          <w:p>
            <w:pPr>
              <w:jc w:val="center"/>
              <w:ind w:right="40"/>
              <w:spacing w:after="0"/>
              <w:rPr>
                <w:sz w:val="20"/>
                <w:szCs w:val="20"/>
                <w:color w:val="auto"/>
              </w:rPr>
            </w:pPr>
            <w:r>
              <w:rPr>
                <w:rFonts w:ascii="Arial" w:cs="Arial" w:eastAsia="Arial" w:hAnsi="Arial"/>
                <w:sz w:val="16"/>
                <w:szCs w:val="16"/>
                <w:b w:val="1"/>
                <w:bCs w:val="1"/>
                <w:color w:val="FFFFFF"/>
                <w:w w:val="91"/>
              </w:rPr>
              <w:t>Corporate</w:t>
            </w:r>
          </w:p>
        </w:tc>
        <w:tc>
          <w:tcPr>
            <w:tcW w:w="580" w:type="dxa"/>
            <w:vAlign w:val="bottom"/>
          </w:tcPr>
          <w:p>
            <w:pPr>
              <w:spacing w:after="0"/>
              <w:rPr>
                <w:sz w:val="17"/>
                <w:szCs w:val="17"/>
                <w:color w:val="auto"/>
              </w:rPr>
            </w:pPr>
          </w:p>
        </w:tc>
      </w:tr>
      <w:tr>
        <w:trPr>
          <w:trHeight w:val="221"/>
        </w:trPr>
        <w:tc>
          <w:tcPr>
            <w:tcW w:w="580" w:type="dxa"/>
            <w:vAlign w:val="bottom"/>
            <w:tcBorders>
              <w:right w:val="single" w:sz="8" w:color="auto"/>
            </w:tcBorders>
          </w:tcPr>
          <w:p>
            <w:pPr>
              <w:spacing w:after="0"/>
              <w:rPr>
                <w:sz w:val="19"/>
                <w:szCs w:val="19"/>
                <w:color w:val="auto"/>
              </w:rPr>
            </w:pPr>
          </w:p>
        </w:tc>
        <w:tc>
          <w:tcPr>
            <w:tcW w:w="2720" w:type="dxa"/>
            <w:vAlign w:val="bottom"/>
            <w:tcBorders>
              <w:bottom w:val="single" w:sz="8" w:color="auto"/>
            </w:tcBorders>
            <w:shd w:val="clear" w:color="auto" w:fill="086FB8"/>
          </w:tcPr>
          <w:p>
            <w:pPr>
              <w:spacing w:after="0"/>
              <w:rPr>
                <w:sz w:val="19"/>
                <w:szCs w:val="19"/>
                <w:color w:val="auto"/>
              </w:rPr>
            </w:pPr>
          </w:p>
        </w:tc>
        <w:tc>
          <w:tcPr>
            <w:tcW w:w="2240" w:type="dxa"/>
            <w:vAlign w:val="bottom"/>
            <w:tcBorders>
              <w:bottom w:val="single" w:sz="8" w:color="auto"/>
            </w:tcBorders>
            <w:shd w:val="clear" w:color="auto" w:fill="086FB8"/>
          </w:tcPr>
          <w:p>
            <w:pPr>
              <w:jc w:val="center"/>
              <w:ind w:left="1200"/>
              <w:spacing w:after="0"/>
              <w:rPr>
                <w:sz w:val="20"/>
                <w:szCs w:val="20"/>
                <w:color w:val="auto"/>
              </w:rPr>
            </w:pPr>
            <w:r>
              <w:rPr>
                <w:rFonts w:ascii="Arial" w:cs="Arial" w:eastAsia="Arial" w:hAnsi="Arial"/>
                <w:sz w:val="16"/>
                <w:szCs w:val="16"/>
                <w:b w:val="1"/>
                <w:bCs w:val="1"/>
                <w:color w:val="FFFFFF"/>
                <w:w w:val="96"/>
              </w:rPr>
              <w:t>Audit &amp; Risk</w:t>
            </w:r>
          </w:p>
        </w:tc>
        <w:tc>
          <w:tcPr>
            <w:tcW w:w="3000" w:type="dxa"/>
            <w:vAlign w:val="bottom"/>
            <w:tcBorders>
              <w:bottom w:val="single" w:sz="8" w:color="auto"/>
            </w:tcBorders>
            <w:shd w:val="clear" w:color="auto" w:fill="086FB8"/>
          </w:tcPr>
          <w:p>
            <w:pPr>
              <w:jc w:val="center"/>
              <w:ind w:left="460"/>
              <w:spacing w:after="0"/>
              <w:rPr>
                <w:sz w:val="20"/>
                <w:szCs w:val="20"/>
                <w:color w:val="auto"/>
              </w:rPr>
            </w:pPr>
            <w:r>
              <w:rPr>
                <w:rFonts w:ascii="Arial" w:cs="Arial" w:eastAsia="Arial" w:hAnsi="Arial"/>
                <w:sz w:val="16"/>
                <w:szCs w:val="16"/>
                <w:b w:val="1"/>
                <w:bCs w:val="1"/>
                <w:color w:val="FFFFFF"/>
                <w:w w:val="88"/>
              </w:rPr>
              <w:t>Compensation</w:t>
            </w:r>
          </w:p>
        </w:tc>
        <w:tc>
          <w:tcPr>
            <w:tcW w:w="2140" w:type="dxa"/>
            <w:vAlign w:val="bottom"/>
            <w:tcBorders>
              <w:bottom w:val="single" w:sz="8" w:color="auto"/>
              <w:right w:val="single" w:sz="8" w:color="auto"/>
            </w:tcBorders>
            <w:shd w:val="clear" w:color="auto" w:fill="086FB8"/>
          </w:tcPr>
          <w:p>
            <w:pPr>
              <w:jc w:val="center"/>
              <w:ind w:right="40"/>
              <w:spacing w:after="0"/>
              <w:rPr>
                <w:sz w:val="20"/>
                <w:szCs w:val="20"/>
                <w:color w:val="auto"/>
              </w:rPr>
            </w:pPr>
            <w:r>
              <w:rPr>
                <w:rFonts w:ascii="Arial" w:cs="Arial" w:eastAsia="Arial" w:hAnsi="Arial"/>
                <w:sz w:val="16"/>
                <w:szCs w:val="16"/>
                <w:b w:val="1"/>
                <w:bCs w:val="1"/>
                <w:color w:val="FFFFFF"/>
                <w:w w:val="88"/>
              </w:rPr>
              <w:t>Governance</w:t>
            </w:r>
          </w:p>
        </w:tc>
        <w:tc>
          <w:tcPr>
            <w:tcW w:w="580" w:type="dxa"/>
            <w:vAlign w:val="bottom"/>
          </w:tcPr>
          <w:p>
            <w:pPr>
              <w:spacing w:after="0"/>
              <w:rPr>
                <w:sz w:val="19"/>
                <w:szCs w:val="19"/>
                <w:color w:val="auto"/>
              </w:rPr>
            </w:pPr>
          </w:p>
        </w:tc>
      </w:tr>
      <w:tr>
        <w:trPr>
          <w:trHeight w:val="261"/>
        </w:trPr>
        <w:tc>
          <w:tcPr>
            <w:tcW w:w="580" w:type="dxa"/>
            <w:vAlign w:val="bottom"/>
            <w:tcBorders>
              <w:right w:val="single" w:sz="8" w:color="auto"/>
            </w:tcBorders>
          </w:tcPr>
          <w:p>
            <w:pPr>
              <w:spacing w:after="0"/>
              <w:rPr>
                <w:sz w:val="22"/>
                <w:szCs w:val="22"/>
                <w:color w:val="auto"/>
              </w:rPr>
            </w:pPr>
          </w:p>
        </w:tc>
        <w:tc>
          <w:tcPr>
            <w:tcW w:w="27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 Haunani Apoliona</w:t>
            </w:r>
          </w:p>
        </w:tc>
        <w:tc>
          <w:tcPr>
            <w:tcW w:w="224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tcPr>
          <w:p>
            <w:pPr>
              <w:spacing w:after="0"/>
              <w:rPr>
                <w:sz w:val="22"/>
                <w:szCs w:val="22"/>
                <w:color w:val="auto"/>
              </w:rPr>
            </w:pPr>
          </w:p>
        </w:tc>
        <w:tc>
          <w:tcPr>
            <w:tcW w:w="2140" w:type="dxa"/>
            <w:vAlign w:val="bottom"/>
            <w:tcBorders>
              <w:bottom w:val="single" w:sz="8" w:color="auto"/>
              <w:right w:val="single" w:sz="8" w:color="auto"/>
            </w:tcBorders>
          </w:tcPr>
          <w:p>
            <w:pPr>
              <w:jc w:val="center"/>
              <w:ind w:right="40"/>
              <w:spacing w:after="0" w:line="161" w:lineRule="exact"/>
              <w:rPr>
                <w:sz w:val="20"/>
                <w:szCs w:val="20"/>
                <w:color w:val="auto"/>
              </w:rPr>
            </w:pPr>
            <w:r>
              <w:rPr>
                <w:rFonts w:ascii="MS PGothic" w:cs="MS PGothic" w:eastAsia="MS PGothic" w:hAnsi="MS PGothic"/>
                <w:sz w:val="16"/>
                <w:szCs w:val="16"/>
                <w:color w:val="auto"/>
                <w:w w:val="87"/>
              </w:rPr>
              <w:t>✓</w:t>
            </w:r>
          </w:p>
        </w:tc>
        <w:tc>
          <w:tcPr>
            <w:tcW w:w="580" w:type="dxa"/>
            <w:vAlign w:val="bottom"/>
          </w:tcPr>
          <w:p>
            <w:pPr>
              <w:spacing w:after="0"/>
              <w:rPr>
                <w:sz w:val="22"/>
                <w:szCs w:val="22"/>
                <w:color w:val="auto"/>
              </w:rPr>
            </w:pPr>
          </w:p>
        </w:tc>
      </w:tr>
      <w:tr>
        <w:trPr>
          <w:trHeight w:val="261"/>
        </w:trPr>
        <w:tc>
          <w:tcPr>
            <w:tcW w:w="580" w:type="dxa"/>
            <w:vAlign w:val="bottom"/>
            <w:tcBorders>
              <w:right w:val="single" w:sz="8" w:color="auto"/>
            </w:tcBorders>
          </w:tcPr>
          <w:p>
            <w:pPr>
              <w:spacing w:after="0"/>
              <w:rPr>
                <w:sz w:val="22"/>
                <w:szCs w:val="22"/>
                <w:color w:val="auto"/>
              </w:rPr>
            </w:pPr>
          </w:p>
        </w:tc>
        <w:tc>
          <w:tcPr>
            <w:tcW w:w="27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Mark A. Burak</w:t>
            </w:r>
          </w:p>
        </w:tc>
        <w:tc>
          <w:tcPr>
            <w:tcW w:w="2240" w:type="dxa"/>
            <w:vAlign w:val="bottom"/>
            <w:tcBorders>
              <w:bottom w:val="single" w:sz="8" w:color="auto"/>
            </w:tcBorders>
          </w:tcPr>
          <w:p>
            <w:pPr>
              <w:jc w:val="center"/>
              <w:ind w:left="1200"/>
              <w:spacing w:after="0"/>
              <w:rPr>
                <w:sz w:val="20"/>
                <w:szCs w:val="20"/>
                <w:color w:val="auto"/>
              </w:rPr>
            </w:pPr>
            <w:r>
              <w:rPr>
                <w:rFonts w:ascii="Arial" w:cs="Arial" w:eastAsia="Arial" w:hAnsi="Arial"/>
                <w:sz w:val="16"/>
                <w:szCs w:val="16"/>
                <w:color w:val="auto"/>
                <w:w w:val="94"/>
              </w:rPr>
              <w:t>Chair</w:t>
            </w:r>
          </w:p>
        </w:tc>
        <w:tc>
          <w:tcPr>
            <w:tcW w:w="3000" w:type="dxa"/>
            <w:vAlign w:val="bottom"/>
            <w:tcBorders>
              <w:bottom w:val="single" w:sz="8" w:color="auto"/>
            </w:tcBorders>
          </w:tcPr>
          <w:p>
            <w:pPr>
              <w:spacing w:after="0"/>
              <w:rPr>
                <w:sz w:val="22"/>
                <w:szCs w:val="22"/>
                <w:color w:val="auto"/>
              </w:rPr>
            </w:pPr>
          </w:p>
        </w:tc>
        <w:tc>
          <w:tcPr>
            <w:tcW w:w="2140" w:type="dxa"/>
            <w:vAlign w:val="bottom"/>
            <w:tcBorders>
              <w:bottom w:val="single" w:sz="8" w:color="auto"/>
              <w:right w:val="single" w:sz="8" w:color="auto"/>
            </w:tcBorders>
          </w:tcPr>
          <w:p>
            <w:pPr>
              <w:jc w:val="center"/>
              <w:ind w:right="40"/>
              <w:spacing w:after="0" w:line="161" w:lineRule="exact"/>
              <w:rPr>
                <w:sz w:val="20"/>
                <w:szCs w:val="20"/>
                <w:color w:val="auto"/>
              </w:rPr>
            </w:pPr>
            <w:r>
              <w:rPr>
                <w:rFonts w:ascii="MS PGothic" w:cs="MS PGothic" w:eastAsia="MS PGothic" w:hAnsi="MS PGothic"/>
                <w:sz w:val="16"/>
                <w:szCs w:val="16"/>
                <w:color w:val="auto"/>
                <w:w w:val="87"/>
              </w:rPr>
              <w:t>✓</w:t>
            </w:r>
          </w:p>
        </w:tc>
        <w:tc>
          <w:tcPr>
            <w:tcW w:w="580" w:type="dxa"/>
            <w:vAlign w:val="bottom"/>
          </w:tcPr>
          <w:p>
            <w:pPr>
              <w:spacing w:after="0"/>
              <w:rPr>
                <w:sz w:val="22"/>
                <w:szCs w:val="22"/>
                <w:color w:val="auto"/>
              </w:rPr>
            </w:pPr>
          </w:p>
        </w:tc>
      </w:tr>
      <w:tr>
        <w:trPr>
          <w:trHeight w:val="261"/>
        </w:trPr>
        <w:tc>
          <w:tcPr>
            <w:tcW w:w="580" w:type="dxa"/>
            <w:vAlign w:val="bottom"/>
            <w:tcBorders>
              <w:right w:val="single" w:sz="8" w:color="auto"/>
            </w:tcBorders>
          </w:tcPr>
          <w:p>
            <w:pPr>
              <w:spacing w:after="0"/>
              <w:rPr>
                <w:sz w:val="22"/>
                <w:szCs w:val="22"/>
                <w:color w:val="auto"/>
              </w:rPr>
            </w:pPr>
          </w:p>
        </w:tc>
        <w:tc>
          <w:tcPr>
            <w:tcW w:w="27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John C. Erickson</w:t>
            </w:r>
          </w:p>
        </w:tc>
        <w:tc>
          <w:tcPr>
            <w:tcW w:w="2240" w:type="dxa"/>
            <w:vAlign w:val="bottom"/>
            <w:tcBorders>
              <w:bottom w:val="single" w:sz="8" w:color="auto"/>
            </w:tcBorders>
          </w:tcPr>
          <w:p>
            <w:pPr>
              <w:jc w:val="center"/>
              <w:ind w:left="1200"/>
              <w:spacing w:after="0"/>
              <w:rPr>
                <w:sz w:val="20"/>
                <w:szCs w:val="20"/>
                <w:color w:val="auto"/>
              </w:rPr>
            </w:pPr>
            <w:r>
              <w:rPr>
                <w:rFonts w:ascii="Arial" w:cs="Arial" w:eastAsia="Arial" w:hAnsi="Arial"/>
                <w:sz w:val="16"/>
                <w:szCs w:val="16"/>
                <w:color w:val="auto"/>
                <w:w w:val="92"/>
              </w:rPr>
              <w:t>Vice Chair</w:t>
            </w:r>
          </w:p>
        </w:tc>
        <w:tc>
          <w:tcPr>
            <w:tcW w:w="3000" w:type="dxa"/>
            <w:vAlign w:val="bottom"/>
            <w:tcBorders>
              <w:bottom w:val="single" w:sz="8" w:color="auto"/>
            </w:tcBorders>
          </w:tcPr>
          <w:p>
            <w:pPr>
              <w:spacing w:after="0"/>
              <w:rPr>
                <w:sz w:val="22"/>
                <w:szCs w:val="22"/>
                <w:color w:val="auto"/>
              </w:rPr>
            </w:pPr>
          </w:p>
        </w:tc>
        <w:tc>
          <w:tcPr>
            <w:tcW w:w="2140" w:type="dxa"/>
            <w:vAlign w:val="bottom"/>
            <w:tcBorders>
              <w:bottom w:val="single" w:sz="8" w:color="auto"/>
              <w:right w:val="single" w:sz="8" w:color="auto"/>
            </w:tcBorders>
          </w:tcPr>
          <w:p>
            <w:pPr>
              <w:jc w:val="center"/>
              <w:ind w:right="40"/>
              <w:spacing w:after="0" w:line="161" w:lineRule="exact"/>
              <w:rPr>
                <w:sz w:val="20"/>
                <w:szCs w:val="20"/>
                <w:color w:val="auto"/>
              </w:rPr>
            </w:pPr>
            <w:r>
              <w:rPr>
                <w:rFonts w:ascii="MS PGothic" w:cs="MS PGothic" w:eastAsia="MS PGothic" w:hAnsi="MS PGothic"/>
                <w:sz w:val="16"/>
                <w:szCs w:val="16"/>
                <w:color w:val="auto"/>
                <w:w w:val="87"/>
              </w:rPr>
              <w:t>✓</w:t>
            </w:r>
          </w:p>
        </w:tc>
        <w:tc>
          <w:tcPr>
            <w:tcW w:w="580" w:type="dxa"/>
            <w:vAlign w:val="bottom"/>
          </w:tcPr>
          <w:p>
            <w:pPr>
              <w:spacing w:after="0"/>
              <w:rPr>
                <w:sz w:val="22"/>
                <w:szCs w:val="22"/>
                <w:color w:val="auto"/>
              </w:rPr>
            </w:pPr>
          </w:p>
        </w:tc>
      </w:tr>
      <w:tr>
        <w:trPr>
          <w:trHeight w:val="261"/>
        </w:trPr>
        <w:tc>
          <w:tcPr>
            <w:tcW w:w="580" w:type="dxa"/>
            <w:vAlign w:val="bottom"/>
            <w:tcBorders>
              <w:right w:val="single" w:sz="8" w:color="auto"/>
            </w:tcBorders>
          </w:tcPr>
          <w:p>
            <w:pPr>
              <w:spacing w:after="0"/>
              <w:rPr>
                <w:sz w:val="22"/>
                <w:szCs w:val="22"/>
                <w:color w:val="auto"/>
              </w:rPr>
            </w:pPr>
          </w:p>
        </w:tc>
        <w:tc>
          <w:tcPr>
            <w:tcW w:w="27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Joshua D. Feldman</w:t>
            </w:r>
          </w:p>
        </w:tc>
        <w:tc>
          <w:tcPr>
            <w:tcW w:w="224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tcPr>
          <w:p>
            <w:pPr>
              <w:jc w:val="center"/>
              <w:ind w:left="460"/>
              <w:spacing w:after="0" w:line="161" w:lineRule="exact"/>
              <w:rPr>
                <w:sz w:val="20"/>
                <w:szCs w:val="20"/>
                <w:color w:val="auto"/>
              </w:rPr>
            </w:pPr>
            <w:r>
              <w:rPr>
                <w:rFonts w:ascii="MS PGothic" w:cs="MS PGothic" w:eastAsia="MS PGothic" w:hAnsi="MS PGothic"/>
                <w:sz w:val="16"/>
                <w:szCs w:val="16"/>
                <w:color w:val="auto"/>
                <w:w w:val="87"/>
              </w:rPr>
              <w:t>✓</w:t>
            </w:r>
          </w:p>
        </w:tc>
        <w:tc>
          <w:tcPr>
            <w:tcW w:w="2140" w:type="dxa"/>
            <w:vAlign w:val="bottom"/>
            <w:tcBorders>
              <w:bottom w:val="single" w:sz="8" w:color="auto"/>
              <w:right w:val="single" w:sz="8" w:color="auto"/>
            </w:tcBorders>
          </w:tcPr>
          <w:p>
            <w:pPr>
              <w:jc w:val="center"/>
              <w:ind w:right="40"/>
              <w:spacing w:after="0" w:line="161" w:lineRule="exact"/>
              <w:rPr>
                <w:sz w:val="20"/>
                <w:szCs w:val="20"/>
                <w:color w:val="auto"/>
              </w:rPr>
            </w:pPr>
            <w:r>
              <w:rPr>
                <w:rFonts w:ascii="MS PGothic" w:cs="MS PGothic" w:eastAsia="MS PGothic" w:hAnsi="MS PGothic"/>
                <w:sz w:val="16"/>
                <w:szCs w:val="16"/>
                <w:color w:val="auto"/>
                <w:w w:val="87"/>
              </w:rPr>
              <w:t>✓</w:t>
            </w:r>
          </w:p>
        </w:tc>
        <w:tc>
          <w:tcPr>
            <w:tcW w:w="580" w:type="dxa"/>
            <w:vAlign w:val="bottom"/>
          </w:tcPr>
          <w:p>
            <w:pPr>
              <w:spacing w:after="0"/>
              <w:rPr>
                <w:sz w:val="22"/>
                <w:szCs w:val="22"/>
                <w:color w:val="auto"/>
              </w:rPr>
            </w:pPr>
          </w:p>
        </w:tc>
      </w:tr>
      <w:tr>
        <w:trPr>
          <w:trHeight w:val="261"/>
        </w:trPr>
        <w:tc>
          <w:tcPr>
            <w:tcW w:w="580" w:type="dxa"/>
            <w:vAlign w:val="bottom"/>
            <w:tcBorders>
              <w:right w:val="single" w:sz="8" w:color="auto"/>
            </w:tcBorders>
          </w:tcPr>
          <w:p>
            <w:pPr>
              <w:spacing w:after="0"/>
              <w:rPr>
                <w:sz w:val="22"/>
                <w:szCs w:val="22"/>
                <w:color w:val="auto"/>
              </w:rPr>
            </w:pPr>
          </w:p>
        </w:tc>
        <w:tc>
          <w:tcPr>
            <w:tcW w:w="27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Michelle E. Hulst</w:t>
            </w:r>
          </w:p>
        </w:tc>
        <w:tc>
          <w:tcPr>
            <w:tcW w:w="224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tcPr>
          <w:p>
            <w:pPr>
              <w:jc w:val="center"/>
              <w:ind w:left="460"/>
              <w:spacing w:after="0" w:line="161" w:lineRule="exact"/>
              <w:rPr>
                <w:sz w:val="20"/>
                <w:szCs w:val="20"/>
                <w:color w:val="auto"/>
              </w:rPr>
            </w:pPr>
            <w:r>
              <w:rPr>
                <w:rFonts w:ascii="MS PGothic" w:cs="MS PGothic" w:eastAsia="MS PGothic" w:hAnsi="MS PGothic"/>
                <w:sz w:val="16"/>
                <w:szCs w:val="16"/>
                <w:color w:val="auto"/>
                <w:w w:val="87"/>
              </w:rPr>
              <w:t>✓</w:t>
            </w:r>
          </w:p>
        </w:tc>
        <w:tc>
          <w:tcPr>
            <w:tcW w:w="2140" w:type="dxa"/>
            <w:vAlign w:val="bottom"/>
            <w:tcBorders>
              <w:bottom w:val="single" w:sz="8" w:color="auto"/>
              <w:right w:val="single" w:sz="8" w:color="auto"/>
            </w:tcBorders>
          </w:tcPr>
          <w:p>
            <w:pPr>
              <w:jc w:val="center"/>
              <w:ind w:right="40"/>
              <w:spacing w:after="0" w:line="161" w:lineRule="exact"/>
              <w:rPr>
                <w:sz w:val="20"/>
                <w:szCs w:val="20"/>
                <w:color w:val="auto"/>
              </w:rPr>
            </w:pPr>
            <w:r>
              <w:rPr>
                <w:rFonts w:ascii="MS PGothic" w:cs="MS PGothic" w:eastAsia="MS PGothic" w:hAnsi="MS PGothic"/>
                <w:sz w:val="16"/>
                <w:szCs w:val="16"/>
                <w:color w:val="auto"/>
                <w:w w:val="87"/>
              </w:rPr>
              <w:t>✓</w:t>
            </w:r>
          </w:p>
        </w:tc>
        <w:tc>
          <w:tcPr>
            <w:tcW w:w="580" w:type="dxa"/>
            <w:vAlign w:val="bottom"/>
          </w:tcPr>
          <w:p>
            <w:pPr>
              <w:spacing w:after="0"/>
              <w:rPr>
                <w:sz w:val="22"/>
                <w:szCs w:val="22"/>
                <w:color w:val="auto"/>
              </w:rPr>
            </w:pPr>
          </w:p>
        </w:tc>
      </w:tr>
      <w:tr>
        <w:trPr>
          <w:trHeight w:val="241"/>
        </w:trPr>
        <w:tc>
          <w:tcPr>
            <w:tcW w:w="580" w:type="dxa"/>
            <w:vAlign w:val="bottom"/>
            <w:tcBorders>
              <w:right w:val="single" w:sz="8" w:color="auto"/>
            </w:tcBorders>
          </w:tcPr>
          <w:p>
            <w:pPr>
              <w:spacing w:after="0"/>
              <w:rPr>
                <w:sz w:val="20"/>
                <w:szCs w:val="20"/>
                <w:color w:val="auto"/>
              </w:rPr>
            </w:pPr>
          </w:p>
        </w:tc>
        <w:tc>
          <w:tcPr>
            <w:tcW w:w="27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Elliot K. Mills</w:t>
            </w:r>
          </w:p>
        </w:tc>
        <w:tc>
          <w:tcPr>
            <w:tcW w:w="2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jc w:val="center"/>
              <w:ind w:left="460"/>
              <w:spacing w:after="0" w:line="161" w:lineRule="exact"/>
              <w:rPr>
                <w:sz w:val="20"/>
                <w:szCs w:val="20"/>
                <w:color w:val="auto"/>
              </w:rPr>
            </w:pPr>
            <w:r>
              <w:rPr>
                <w:rFonts w:ascii="MS PGothic" w:cs="MS PGothic" w:eastAsia="MS PGothic" w:hAnsi="MS PGothic"/>
                <w:sz w:val="16"/>
                <w:szCs w:val="16"/>
                <w:color w:val="auto"/>
                <w:w w:val="87"/>
              </w:rPr>
              <w:t>✓</w:t>
            </w:r>
          </w:p>
        </w:tc>
        <w:tc>
          <w:tcPr>
            <w:tcW w:w="2140" w:type="dxa"/>
            <w:vAlign w:val="bottom"/>
            <w:tcBorders>
              <w:bottom w:val="single" w:sz="8" w:color="auto"/>
              <w:right w:val="single" w:sz="8" w:color="auto"/>
            </w:tcBorders>
          </w:tcPr>
          <w:p>
            <w:pPr>
              <w:jc w:val="center"/>
              <w:ind w:right="40"/>
              <w:spacing w:after="0" w:line="161" w:lineRule="exact"/>
              <w:rPr>
                <w:sz w:val="20"/>
                <w:szCs w:val="20"/>
                <w:color w:val="auto"/>
              </w:rPr>
            </w:pPr>
            <w:r>
              <w:rPr>
                <w:rFonts w:ascii="MS PGothic" w:cs="MS PGothic" w:eastAsia="MS PGothic" w:hAnsi="MS PGothic"/>
                <w:sz w:val="16"/>
                <w:szCs w:val="16"/>
                <w:color w:val="auto"/>
                <w:w w:val="87"/>
              </w:rPr>
              <w:t>✓</w:t>
            </w:r>
          </w:p>
        </w:tc>
        <w:tc>
          <w:tcPr>
            <w:tcW w:w="580" w:type="dxa"/>
            <w:vAlign w:val="bottom"/>
          </w:tcPr>
          <w:p>
            <w:pPr>
              <w:spacing w:after="0"/>
              <w:rPr>
                <w:sz w:val="20"/>
                <w:szCs w:val="20"/>
                <w:color w:val="auto"/>
              </w:rPr>
            </w:pPr>
          </w:p>
        </w:tc>
      </w:tr>
      <w:tr>
        <w:trPr>
          <w:trHeight w:val="254"/>
        </w:trPr>
        <w:tc>
          <w:tcPr>
            <w:tcW w:w="580" w:type="dxa"/>
            <w:vAlign w:val="bottom"/>
            <w:tcBorders>
              <w:right w:val="single" w:sz="8" w:color="auto"/>
            </w:tcBorders>
          </w:tcPr>
          <w:p>
            <w:pPr>
              <w:spacing w:after="0"/>
              <w:rPr>
                <w:sz w:val="22"/>
                <w:szCs w:val="22"/>
                <w:color w:val="auto"/>
              </w:rPr>
            </w:pPr>
          </w:p>
        </w:tc>
        <w:tc>
          <w:tcPr>
            <w:tcW w:w="27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Alicia E. Moy</w:t>
            </w:r>
          </w:p>
        </w:tc>
        <w:tc>
          <w:tcPr>
            <w:tcW w:w="2240" w:type="dxa"/>
            <w:vAlign w:val="bottom"/>
            <w:tcBorders>
              <w:bottom w:val="single" w:sz="8" w:color="auto"/>
            </w:tcBorders>
          </w:tcPr>
          <w:p>
            <w:pPr>
              <w:jc w:val="center"/>
              <w:ind w:left="1220"/>
              <w:spacing w:after="0" w:line="161" w:lineRule="exact"/>
              <w:rPr>
                <w:sz w:val="20"/>
                <w:szCs w:val="20"/>
                <w:color w:val="auto"/>
              </w:rPr>
            </w:pPr>
            <w:r>
              <w:rPr>
                <w:rFonts w:ascii="MS PGothic" w:cs="MS PGothic" w:eastAsia="MS PGothic" w:hAnsi="MS PGothic"/>
                <w:sz w:val="16"/>
                <w:szCs w:val="16"/>
                <w:color w:val="auto"/>
                <w:w w:val="87"/>
              </w:rPr>
              <w:t>✓</w:t>
            </w:r>
          </w:p>
        </w:tc>
        <w:tc>
          <w:tcPr>
            <w:tcW w:w="3000" w:type="dxa"/>
            <w:vAlign w:val="bottom"/>
            <w:tcBorders>
              <w:bottom w:val="single" w:sz="8" w:color="auto"/>
            </w:tcBorders>
          </w:tcPr>
          <w:p>
            <w:pPr>
              <w:spacing w:after="0"/>
              <w:rPr>
                <w:sz w:val="22"/>
                <w:szCs w:val="22"/>
                <w:color w:val="auto"/>
              </w:rPr>
            </w:pPr>
          </w:p>
        </w:tc>
        <w:tc>
          <w:tcPr>
            <w:tcW w:w="2140" w:type="dxa"/>
            <w:vAlign w:val="bottom"/>
            <w:tcBorders>
              <w:bottom w:val="single" w:sz="8" w:color="auto"/>
              <w:right w:val="single" w:sz="8" w:color="auto"/>
            </w:tcBorders>
          </w:tcPr>
          <w:p>
            <w:pPr>
              <w:jc w:val="center"/>
              <w:ind w:right="40"/>
              <w:spacing w:after="0" w:line="161" w:lineRule="exact"/>
              <w:rPr>
                <w:sz w:val="20"/>
                <w:szCs w:val="20"/>
                <w:color w:val="auto"/>
              </w:rPr>
            </w:pPr>
            <w:r>
              <w:rPr>
                <w:rFonts w:ascii="MS PGothic" w:cs="MS PGothic" w:eastAsia="MS PGothic" w:hAnsi="MS PGothic"/>
                <w:sz w:val="16"/>
                <w:szCs w:val="16"/>
                <w:color w:val="auto"/>
                <w:w w:val="87"/>
              </w:rPr>
              <w:t>✓</w:t>
            </w:r>
          </w:p>
        </w:tc>
        <w:tc>
          <w:tcPr>
            <w:tcW w:w="580" w:type="dxa"/>
            <w:vAlign w:val="bottom"/>
          </w:tcPr>
          <w:p>
            <w:pPr>
              <w:spacing w:after="0"/>
              <w:rPr>
                <w:sz w:val="22"/>
                <w:szCs w:val="22"/>
                <w:color w:val="auto"/>
              </w:rPr>
            </w:pPr>
          </w:p>
        </w:tc>
      </w:tr>
      <w:tr>
        <w:trPr>
          <w:trHeight w:val="261"/>
        </w:trPr>
        <w:tc>
          <w:tcPr>
            <w:tcW w:w="580" w:type="dxa"/>
            <w:vAlign w:val="bottom"/>
            <w:tcBorders>
              <w:right w:val="single" w:sz="8" w:color="auto"/>
            </w:tcBorders>
          </w:tcPr>
          <w:p>
            <w:pPr>
              <w:spacing w:after="0"/>
              <w:rPr>
                <w:sz w:val="22"/>
                <w:szCs w:val="22"/>
                <w:color w:val="auto"/>
              </w:rPr>
            </w:pPr>
          </w:p>
        </w:tc>
        <w:tc>
          <w:tcPr>
            <w:tcW w:w="27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Victor K. Nichols</w:t>
            </w:r>
          </w:p>
        </w:tc>
        <w:tc>
          <w:tcPr>
            <w:tcW w:w="2240" w:type="dxa"/>
            <w:vAlign w:val="bottom"/>
            <w:tcBorders>
              <w:bottom w:val="single" w:sz="8" w:color="auto"/>
            </w:tcBorders>
          </w:tcPr>
          <w:p>
            <w:pPr>
              <w:jc w:val="center"/>
              <w:ind w:left="1220"/>
              <w:spacing w:after="0" w:line="161" w:lineRule="exact"/>
              <w:rPr>
                <w:sz w:val="20"/>
                <w:szCs w:val="20"/>
                <w:color w:val="auto"/>
              </w:rPr>
            </w:pPr>
            <w:r>
              <w:rPr>
                <w:rFonts w:ascii="MS PGothic" w:cs="MS PGothic" w:eastAsia="MS PGothic" w:hAnsi="MS PGothic"/>
                <w:sz w:val="16"/>
                <w:szCs w:val="16"/>
                <w:color w:val="auto"/>
                <w:w w:val="87"/>
              </w:rPr>
              <w:t>✓</w:t>
            </w:r>
          </w:p>
        </w:tc>
        <w:tc>
          <w:tcPr>
            <w:tcW w:w="3000" w:type="dxa"/>
            <w:vAlign w:val="bottom"/>
            <w:tcBorders>
              <w:bottom w:val="single" w:sz="8" w:color="auto"/>
            </w:tcBorders>
          </w:tcPr>
          <w:p>
            <w:pPr>
              <w:spacing w:after="0"/>
              <w:rPr>
                <w:sz w:val="22"/>
                <w:szCs w:val="22"/>
                <w:color w:val="auto"/>
              </w:rPr>
            </w:pPr>
          </w:p>
        </w:tc>
        <w:tc>
          <w:tcPr>
            <w:tcW w:w="2140" w:type="dxa"/>
            <w:vAlign w:val="bottom"/>
            <w:tcBorders>
              <w:bottom w:val="single" w:sz="8" w:color="auto"/>
              <w:right w:val="single" w:sz="8" w:color="auto"/>
            </w:tcBorders>
          </w:tcPr>
          <w:p>
            <w:pPr>
              <w:jc w:val="center"/>
              <w:ind w:right="40"/>
              <w:spacing w:after="0" w:line="161" w:lineRule="exact"/>
              <w:rPr>
                <w:sz w:val="20"/>
                <w:szCs w:val="20"/>
                <w:color w:val="auto"/>
              </w:rPr>
            </w:pPr>
            <w:r>
              <w:rPr>
                <w:rFonts w:ascii="MS PGothic" w:cs="MS PGothic" w:eastAsia="MS PGothic" w:hAnsi="MS PGothic"/>
                <w:sz w:val="16"/>
                <w:szCs w:val="16"/>
                <w:color w:val="auto"/>
                <w:w w:val="87"/>
              </w:rPr>
              <w:t>✓</w:t>
            </w:r>
          </w:p>
        </w:tc>
        <w:tc>
          <w:tcPr>
            <w:tcW w:w="580" w:type="dxa"/>
            <w:vAlign w:val="bottom"/>
          </w:tcPr>
          <w:p>
            <w:pPr>
              <w:spacing w:after="0"/>
              <w:rPr>
                <w:sz w:val="22"/>
                <w:szCs w:val="22"/>
                <w:color w:val="auto"/>
              </w:rPr>
            </w:pPr>
          </w:p>
        </w:tc>
      </w:tr>
      <w:tr>
        <w:trPr>
          <w:trHeight w:val="241"/>
        </w:trPr>
        <w:tc>
          <w:tcPr>
            <w:tcW w:w="580" w:type="dxa"/>
            <w:vAlign w:val="bottom"/>
            <w:tcBorders>
              <w:right w:val="single" w:sz="8" w:color="auto"/>
            </w:tcBorders>
          </w:tcPr>
          <w:p>
            <w:pPr>
              <w:spacing w:after="0"/>
              <w:rPr>
                <w:sz w:val="20"/>
                <w:szCs w:val="20"/>
                <w:color w:val="auto"/>
              </w:rPr>
            </w:pPr>
          </w:p>
        </w:tc>
        <w:tc>
          <w:tcPr>
            <w:tcW w:w="27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Barbara J. Tanabe</w:t>
            </w:r>
          </w:p>
        </w:tc>
        <w:tc>
          <w:tcPr>
            <w:tcW w:w="2240" w:type="dxa"/>
            <w:vAlign w:val="bottom"/>
            <w:tcBorders>
              <w:bottom w:val="single" w:sz="8" w:color="auto"/>
            </w:tcBorders>
          </w:tcPr>
          <w:p>
            <w:pPr>
              <w:jc w:val="center"/>
              <w:ind w:left="1220"/>
              <w:spacing w:after="0" w:line="161" w:lineRule="exact"/>
              <w:rPr>
                <w:sz w:val="20"/>
                <w:szCs w:val="20"/>
                <w:color w:val="auto"/>
              </w:rPr>
            </w:pPr>
            <w:r>
              <w:rPr>
                <w:rFonts w:ascii="MS PGothic" w:cs="MS PGothic" w:eastAsia="MS PGothic" w:hAnsi="MS PGothic"/>
                <w:sz w:val="16"/>
                <w:szCs w:val="16"/>
                <w:color w:val="auto"/>
                <w:w w:val="87"/>
              </w:rPr>
              <w:t>✓</w:t>
            </w:r>
          </w:p>
        </w:tc>
        <w:tc>
          <w:tcPr>
            <w:tcW w:w="3000" w:type="dxa"/>
            <w:vAlign w:val="bottom"/>
            <w:tcBorders>
              <w:bottom w:val="single" w:sz="8" w:color="auto"/>
            </w:tcBorders>
          </w:tcPr>
          <w:p>
            <w:pPr>
              <w:jc w:val="center"/>
              <w:ind w:left="460"/>
              <w:spacing w:after="0" w:line="161" w:lineRule="exact"/>
              <w:rPr>
                <w:sz w:val="20"/>
                <w:szCs w:val="20"/>
                <w:color w:val="auto"/>
              </w:rPr>
            </w:pPr>
            <w:r>
              <w:rPr>
                <w:rFonts w:ascii="MS PGothic" w:cs="MS PGothic" w:eastAsia="MS PGothic" w:hAnsi="MS PGothic"/>
                <w:sz w:val="16"/>
                <w:szCs w:val="16"/>
                <w:color w:val="auto"/>
                <w:w w:val="87"/>
              </w:rPr>
              <w:t>✓</w:t>
            </w:r>
          </w:p>
        </w:tc>
        <w:tc>
          <w:tcPr>
            <w:tcW w:w="2140" w:type="dxa"/>
            <w:vAlign w:val="bottom"/>
            <w:tcBorders>
              <w:bottom w:val="single" w:sz="8" w:color="auto"/>
              <w:right w:val="single" w:sz="8" w:color="auto"/>
            </w:tcBorders>
          </w:tcPr>
          <w:p>
            <w:pPr>
              <w:jc w:val="center"/>
              <w:ind w:right="40"/>
              <w:spacing w:after="0" w:line="161" w:lineRule="exact"/>
              <w:rPr>
                <w:sz w:val="20"/>
                <w:szCs w:val="20"/>
                <w:color w:val="auto"/>
              </w:rPr>
            </w:pPr>
            <w:r>
              <w:rPr>
                <w:rFonts w:ascii="MS PGothic" w:cs="MS PGothic" w:eastAsia="MS PGothic" w:hAnsi="MS PGothic"/>
                <w:sz w:val="16"/>
                <w:szCs w:val="16"/>
                <w:color w:val="auto"/>
                <w:w w:val="87"/>
              </w:rPr>
              <w:t>✓</w:t>
            </w:r>
          </w:p>
        </w:tc>
        <w:tc>
          <w:tcPr>
            <w:tcW w:w="580" w:type="dxa"/>
            <w:vAlign w:val="bottom"/>
          </w:tcPr>
          <w:p>
            <w:pPr>
              <w:spacing w:after="0"/>
              <w:rPr>
                <w:sz w:val="20"/>
                <w:szCs w:val="20"/>
                <w:color w:val="auto"/>
              </w:rPr>
            </w:pPr>
          </w:p>
        </w:tc>
      </w:tr>
      <w:tr>
        <w:trPr>
          <w:trHeight w:val="234"/>
        </w:trPr>
        <w:tc>
          <w:tcPr>
            <w:tcW w:w="580" w:type="dxa"/>
            <w:vAlign w:val="bottom"/>
            <w:tcBorders>
              <w:right w:val="single" w:sz="8" w:color="auto"/>
            </w:tcBorders>
          </w:tcPr>
          <w:p>
            <w:pPr>
              <w:spacing w:after="0"/>
              <w:rPr>
                <w:sz w:val="20"/>
                <w:szCs w:val="20"/>
                <w:color w:val="auto"/>
              </w:rPr>
            </w:pPr>
          </w:p>
        </w:tc>
        <w:tc>
          <w:tcPr>
            <w:tcW w:w="27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Raymond P. Vara, Jr.</w:t>
            </w:r>
          </w:p>
        </w:tc>
        <w:tc>
          <w:tcPr>
            <w:tcW w:w="2240" w:type="dxa"/>
            <w:vAlign w:val="bottom"/>
            <w:tcBorders>
              <w:bottom w:val="single" w:sz="8" w:color="auto"/>
            </w:tcBorders>
          </w:tcPr>
          <w:p>
            <w:pPr>
              <w:jc w:val="center"/>
              <w:ind w:left="1220"/>
              <w:spacing w:after="0" w:line="161" w:lineRule="exact"/>
              <w:rPr>
                <w:sz w:val="20"/>
                <w:szCs w:val="20"/>
                <w:color w:val="auto"/>
              </w:rPr>
            </w:pPr>
            <w:r>
              <w:rPr>
                <w:rFonts w:ascii="MS PGothic" w:cs="MS PGothic" w:eastAsia="MS PGothic" w:hAnsi="MS PGothic"/>
                <w:sz w:val="16"/>
                <w:szCs w:val="16"/>
                <w:color w:val="auto"/>
                <w:w w:val="87"/>
              </w:rPr>
              <w:t>✓</w:t>
            </w:r>
          </w:p>
        </w:tc>
        <w:tc>
          <w:tcPr>
            <w:tcW w:w="3000" w:type="dxa"/>
            <w:vAlign w:val="bottom"/>
            <w:tcBorders>
              <w:bottom w:val="single" w:sz="8" w:color="auto"/>
            </w:tcBorders>
          </w:tcPr>
          <w:p>
            <w:pPr>
              <w:jc w:val="center"/>
              <w:ind w:left="460"/>
              <w:spacing w:after="0" w:line="161" w:lineRule="exact"/>
              <w:rPr>
                <w:sz w:val="20"/>
                <w:szCs w:val="20"/>
                <w:color w:val="auto"/>
              </w:rPr>
            </w:pPr>
            <w:r>
              <w:rPr>
                <w:rFonts w:ascii="MS PGothic" w:cs="MS PGothic" w:eastAsia="MS PGothic" w:hAnsi="MS PGothic"/>
                <w:sz w:val="16"/>
                <w:szCs w:val="16"/>
                <w:color w:val="auto"/>
                <w:w w:val="87"/>
              </w:rPr>
              <w:t>✓</w:t>
            </w:r>
          </w:p>
        </w:tc>
        <w:tc>
          <w:tcPr>
            <w:tcW w:w="2140" w:type="dxa"/>
            <w:vAlign w:val="bottom"/>
            <w:tcBorders>
              <w:bottom w:val="single" w:sz="8" w:color="auto"/>
              <w:right w:val="single" w:sz="8" w:color="auto"/>
            </w:tcBorders>
          </w:tcPr>
          <w:p>
            <w:pPr>
              <w:jc w:val="center"/>
              <w:ind w:right="40"/>
              <w:spacing w:after="0"/>
              <w:rPr>
                <w:sz w:val="20"/>
                <w:szCs w:val="20"/>
                <w:color w:val="auto"/>
              </w:rPr>
            </w:pPr>
            <w:r>
              <w:rPr>
                <w:rFonts w:ascii="Arial" w:cs="Arial" w:eastAsia="Arial" w:hAnsi="Arial"/>
                <w:sz w:val="16"/>
                <w:szCs w:val="16"/>
                <w:color w:val="auto"/>
                <w:w w:val="88"/>
              </w:rPr>
              <w:t>Chair</w:t>
            </w:r>
          </w:p>
        </w:tc>
        <w:tc>
          <w:tcPr>
            <w:tcW w:w="580" w:type="dxa"/>
            <w:vAlign w:val="bottom"/>
          </w:tcPr>
          <w:p>
            <w:pPr>
              <w:spacing w:after="0"/>
              <w:rPr>
                <w:sz w:val="20"/>
                <w:szCs w:val="20"/>
                <w:color w:val="auto"/>
              </w:rPr>
            </w:pPr>
          </w:p>
        </w:tc>
      </w:tr>
      <w:tr>
        <w:trPr>
          <w:trHeight w:val="254"/>
        </w:trPr>
        <w:tc>
          <w:tcPr>
            <w:tcW w:w="580" w:type="dxa"/>
            <w:vAlign w:val="bottom"/>
            <w:tcBorders>
              <w:right w:val="single" w:sz="8" w:color="auto"/>
            </w:tcBorders>
          </w:tcPr>
          <w:p>
            <w:pPr>
              <w:spacing w:after="0"/>
              <w:rPr>
                <w:sz w:val="22"/>
                <w:szCs w:val="22"/>
                <w:color w:val="auto"/>
              </w:rPr>
            </w:pPr>
          </w:p>
        </w:tc>
        <w:tc>
          <w:tcPr>
            <w:tcW w:w="27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Robert W. Wo</w:t>
            </w:r>
          </w:p>
        </w:tc>
        <w:tc>
          <w:tcPr>
            <w:tcW w:w="224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tcPr>
          <w:p>
            <w:pPr>
              <w:jc w:val="center"/>
              <w:ind w:left="460"/>
              <w:spacing w:after="0"/>
              <w:rPr>
                <w:sz w:val="20"/>
                <w:szCs w:val="20"/>
                <w:color w:val="auto"/>
              </w:rPr>
            </w:pPr>
            <w:r>
              <w:rPr>
                <w:rFonts w:ascii="Arial" w:cs="Arial" w:eastAsia="Arial" w:hAnsi="Arial"/>
                <w:sz w:val="16"/>
                <w:szCs w:val="16"/>
                <w:color w:val="auto"/>
                <w:w w:val="88"/>
              </w:rPr>
              <w:t>Chair</w:t>
            </w:r>
          </w:p>
        </w:tc>
        <w:tc>
          <w:tcPr>
            <w:tcW w:w="2140" w:type="dxa"/>
            <w:vAlign w:val="bottom"/>
            <w:tcBorders>
              <w:bottom w:val="single" w:sz="8" w:color="auto"/>
              <w:right w:val="single" w:sz="8" w:color="auto"/>
            </w:tcBorders>
          </w:tcPr>
          <w:p>
            <w:pPr>
              <w:jc w:val="center"/>
              <w:ind w:right="40"/>
              <w:spacing w:after="0" w:line="161" w:lineRule="exact"/>
              <w:rPr>
                <w:sz w:val="20"/>
                <w:szCs w:val="20"/>
                <w:color w:val="auto"/>
              </w:rPr>
            </w:pPr>
            <w:r>
              <w:rPr>
                <w:rFonts w:ascii="MS PGothic" w:cs="MS PGothic" w:eastAsia="MS PGothic" w:hAnsi="MS PGothic"/>
                <w:sz w:val="16"/>
                <w:szCs w:val="16"/>
                <w:color w:val="auto"/>
                <w:w w:val="87"/>
              </w:rPr>
              <w:t>✓</w:t>
            </w:r>
          </w:p>
        </w:tc>
        <w:tc>
          <w:tcPr>
            <w:tcW w:w="580" w:type="dxa"/>
            <w:vAlign w:val="bottom"/>
          </w:tcPr>
          <w:p>
            <w:pPr>
              <w:spacing w:after="0"/>
              <w:rPr>
                <w:sz w:val="22"/>
                <w:szCs w:val="22"/>
                <w:color w:val="auto"/>
              </w:rPr>
            </w:pPr>
          </w:p>
        </w:tc>
      </w:tr>
      <w:tr>
        <w:trPr>
          <w:trHeight w:val="409"/>
        </w:trPr>
        <w:tc>
          <w:tcPr>
            <w:tcW w:w="5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00" w:type="dxa"/>
            <w:vAlign w:val="bottom"/>
          </w:tcPr>
          <w:p>
            <w:pPr>
              <w:jc w:val="right"/>
              <w:ind w:right="2760"/>
              <w:spacing w:after="0"/>
              <w:rPr>
                <w:sz w:val="20"/>
                <w:szCs w:val="20"/>
                <w:color w:val="auto"/>
              </w:rPr>
            </w:pPr>
            <w:r>
              <w:rPr>
                <w:rFonts w:ascii="Arial" w:cs="Arial" w:eastAsia="Arial" w:hAnsi="Arial"/>
                <w:sz w:val="16"/>
                <w:szCs w:val="16"/>
                <w:color w:val="auto"/>
                <w:w w:val="78"/>
              </w:rPr>
              <w:t>30</w:t>
            </w:r>
          </w:p>
        </w:tc>
        <w:tc>
          <w:tcPr>
            <w:tcW w:w="2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9"/>
        </w:trPr>
        <w:tc>
          <w:tcPr>
            <w:tcW w:w="58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&amp; Risk Committee: 14 Meetings in 2021</w:t>
      </w:r>
    </w:p>
    <w:p>
      <w:pPr>
        <w:spacing w:after="0" w:line="235" w:lineRule="exact"/>
        <w:rPr>
          <w:sz w:val="20"/>
          <w:szCs w:val="20"/>
          <w:color w:val="auto"/>
        </w:rPr>
      </w:pPr>
    </w:p>
    <w:p>
      <w:pPr>
        <w:ind w:firstLine="546"/>
        <w:spacing w:after="0" w:line="265" w:lineRule="auto"/>
        <w:rPr>
          <w:sz w:val="20"/>
          <w:szCs w:val="20"/>
          <w:color w:val="auto"/>
        </w:rPr>
      </w:pPr>
      <w:r>
        <w:rPr>
          <w:rFonts w:ascii="Arial" w:cs="Arial" w:eastAsia="Arial" w:hAnsi="Arial"/>
          <w:sz w:val="16"/>
          <w:szCs w:val="16"/>
          <w:color w:val="auto"/>
        </w:rPr>
        <w:t>The Audit &amp; Risk Committee operates under and annually reviews a charter that has been adopted by the Board. The Audit &amp; Risk Committee’s duties include assisting the Board in its oversight of the following areas of the Company: regulatory and financial accounting, reporting and credit risk management; compliance with legal and regulatory requirements; the independent registered public accounting firm’s qualifications and independence; and the performance of the Company’s internal audit and credit review functions and independent registered public accounting firm. The Audit &amp; Risk Committee also provides oversight of management’s activities with respect to capital management and liquidity planning, including dividends and share repurchases, and overall interest rate risk management. In addition, the Audit &amp; Risk Committee meets in private session at the conclusion of every regularly scheduled meeting to provide a confidential forum for identification and discussion of issues of importance to the Company. The Audit &amp; Risk Committee also meets with non-member directors on a regularly scheduled basis to brief them on the content and issues discussed at the previous meeting.</w:t>
      </w:r>
    </w:p>
    <w:p>
      <w:pPr>
        <w:spacing w:after="0" w:line="194" w:lineRule="exact"/>
        <w:rPr>
          <w:sz w:val="20"/>
          <w:szCs w:val="20"/>
          <w:color w:val="auto"/>
        </w:rPr>
      </w:pPr>
    </w:p>
    <w:p>
      <w:pPr>
        <w:ind w:right="80" w:firstLine="546"/>
        <w:spacing w:after="0" w:line="268" w:lineRule="auto"/>
        <w:rPr>
          <w:sz w:val="20"/>
          <w:szCs w:val="20"/>
          <w:color w:val="auto"/>
        </w:rPr>
      </w:pPr>
      <w:r>
        <w:rPr>
          <w:rFonts w:ascii="Arial" w:cs="Arial" w:eastAsia="Arial" w:hAnsi="Arial"/>
          <w:sz w:val="16"/>
          <w:szCs w:val="16"/>
          <w:color w:val="auto"/>
        </w:rPr>
        <w:t>The Board has determined that Messrs. Burak, Erickson, Nichols, Vara, and Ms. Moy meet the definition of “financial expert” within the meaning of the SEC regulations adopted under the Sarbanes-Oxley Act of 2002. The Board has determined that all Audit &amp; Risk Committee members meet the NYSE standard of financial literacy and have accounting or related financial management expertise. In addition, the Board has determined that Messrs. Burak, Erickson, and Nichols meet the definition of “risk expert” under the Federal Reserve Bank rules implementing Section 16 of the Dodd-Frank Wall Street Reform and Consumer Protection Act (the “Dodd-Frank Act”) and 12 CFR 252.22(d)(1).</w:t>
      </w:r>
    </w:p>
    <w:p>
      <w:pPr>
        <w:spacing w:after="0" w:line="190" w:lineRule="exact"/>
        <w:rPr>
          <w:sz w:val="20"/>
          <w:szCs w:val="20"/>
          <w:color w:val="auto"/>
        </w:rPr>
      </w:pPr>
    </w:p>
    <w:p>
      <w:pPr>
        <w:ind w:right="60" w:firstLine="546"/>
        <w:spacing w:after="0" w:line="320" w:lineRule="auto"/>
        <w:rPr>
          <w:sz w:val="20"/>
          <w:szCs w:val="20"/>
          <w:color w:val="auto"/>
        </w:rPr>
      </w:pPr>
      <w:r>
        <w:rPr>
          <w:rFonts w:ascii="Arial" w:cs="Arial" w:eastAsia="Arial" w:hAnsi="Arial"/>
          <w:sz w:val="14"/>
          <w:szCs w:val="14"/>
          <w:color w:val="auto"/>
        </w:rPr>
        <w:t>The Audit &amp; Risk Committee has adopted policies and procedures governing the following: pre-approval of audit and non-audit services; the receipt and treatment of complaints regarding accounting, internal controls, or auditing matters and the confidential, anonymous submission of information by employees of the Company regarding questionable accounting or audit matters; and restrictions on the Company’s hiring of certain employees of the independent registered public accounting firm. The Audit &amp; Risk Committee is also responsible for reviewing Company transactions involving a director or executive officer. The Audit &amp; Risk Committee Report is located on page 68.</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Resources &amp; Compensation Committee: 11 Meetings in 2021</w:t>
      </w:r>
    </w:p>
    <w:p>
      <w:pPr>
        <w:spacing w:after="0" w:line="235" w:lineRule="exact"/>
        <w:rPr>
          <w:sz w:val="20"/>
          <w:szCs w:val="20"/>
          <w:color w:val="auto"/>
        </w:rPr>
      </w:pPr>
    </w:p>
    <w:p>
      <w:pPr>
        <w:ind w:firstLine="546"/>
        <w:spacing w:after="0" w:line="309" w:lineRule="auto"/>
        <w:rPr>
          <w:sz w:val="20"/>
          <w:szCs w:val="20"/>
          <w:color w:val="auto"/>
        </w:rPr>
      </w:pPr>
      <w:r>
        <w:rPr>
          <w:rFonts w:ascii="Arial" w:cs="Arial" w:eastAsia="Arial" w:hAnsi="Arial"/>
          <w:sz w:val="14"/>
          <w:szCs w:val="14"/>
          <w:color w:val="auto"/>
        </w:rPr>
        <w:t>The Human Resources &amp; Compensation Committee’s duties are set forth in its charter, and include responsibility for compensation levels of directors and members of executive management and reviewing the performance of executive management. The Human Resources &amp; Compensation Committee reviews and approves goals and objectives relevant to CEO compensation, and evaluates performance against those goals. It is also their responsibility to review the Company’s long-term and short-term incentive compensation plans, equity-based plans, and deferred compensation programs. The Human Resources &amp; Compensation Committee also reviews management development and training programs as well as succession planning for senior and executive management. The Human Resources &amp; Compensation Committee charter allows for the delegation of its duties to its own subcommittee as long as such delegation is in compliance with all applicable laws, rules, and listing standards. The CEO makes recommendations with respect to non-CEO executive officer compensation. The Human Resources &amp; Compensation Committee Report is located on page 35.</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Nominating &amp; Corporate Governance Committee: 7 Meetings in 2021</w:t>
      </w:r>
    </w:p>
    <w:p>
      <w:pPr>
        <w:spacing w:after="0" w:line="235" w:lineRule="exact"/>
        <w:rPr>
          <w:sz w:val="20"/>
          <w:szCs w:val="20"/>
          <w:color w:val="auto"/>
        </w:rPr>
      </w:pPr>
    </w:p>
    <w:p>
      <w:pPr>
        <w:ind w:right="60" w:firstLine="546"/>
        <w:spacing w:after="0" w:line="285" w:lineRule="auto"/>
        <w:rPr>
          <w:sz w:val="20"/>
          <w:szCs w:val="20"/>
          <w:color w:val="auto"/>
        </w:rPr>
      </w:pPr>
      <w:r>
        <w:rPr>
          <w:rFonts w:ascii="Arial" w:cs="Arial" w:eastAsia="Arial" w:hAnsi="Arial"/>
          <w:sz w:val="15"/>
          <w:szCs w:val="15"/>
          <w:color w:val="auto"/>
        </w:rPr>
        <w:t>The Nominating &amp; Corporate Governance Committee’s duties are set forth in its charter and include reviewing the qualifications of all Board candidates and recommending qualified candidates for membership on the Board and the oversight of director continuing education opportunities. The Nominating &amp; Corporate Governance Committee reviews the Board’s organization, procedures and committees and makes recommendations concerning the size and composition of the Board and its committees. The Nominating &amp; Corporate Governance Committee makes recommendations to the Board regarding standards for determining non-management director independence and reviews the qualifications and independence of the members of the Board and its committees. The Nominating &amp; Corporate Governance Committee also reviews and evaluates the Company’s compliance with corporate governance requirements and leads and oversees the Board and its committees’ annual performance evaluations. Further information regarding the responsibilities performed by the Nominating &amp; Corporate Governance Committee and the Company’s corporate governance is provided in the committee charter and the Governance Guidelines.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DIRECTOR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Retainer Fees</w:t>
      </w:r>
    </w:p>
    <w:p>
      <w:pPr>
        <w:spacing w:after="0" w:line="235" w:lineRule="exact"/>
        <w:rPr>
          <w:sz w:val="20"/>
          <w:szCs w:val="20"/>
          <w:color w:val="auto"/>
        </w:rPr>
      </w:pPr>
    </w:p>
    <w:p>
      <w:pPr>
        <w:ind w:right="40" w:firstLine="546"/>
        <w:spacing w:after="0" w:line="267" w:lineRule="auto"/>
        <w:rPr>
          <w:sz w:val="20"/>
          <w:szCs w:val="20"/>
          <w:color w:val="auto"/>
        </w:rPr>
      </w:pPr>
      <w:r>
        <w:rPr>
          <w:rFonts w:ascii="Arial" w:cs="Arial" w:eastAsia="Arial" w:hAnsi="Arial"/>
          <w:sz w:val="16"/>
          <w:szCs w:val="16"/>
          <w:color w:val="auto"/>
        </w:rPr>
        <w:t>In 2021, based on a comparative peer analysis completed by Veritas Executive Compensation Consultants, LLC (“Veritas”), the Board’s independent executive compensation consultant, it was determined that the Audit &amp; Risk Committee (“ARC”) retainers be increased. The annual retainer for ARC members increased from $17,000 to $22,100, the annual retainer for the Chairman of the ARC increased from $30,000 to $39,000, and the annual retainer for the Vice Chairman of the ARC increased from $25,000 to $32,500. Veritas recommended the above changes to the Board to account for the increased workload of the ARC due to the fact that the ARC has a dual role, handling typical responsibilities of the Bank’s peer group separate audit and risk committees. All other fees remain unchanged from last year. The Board concurred with Veritas’ recommendation and approval of the following retainer fees effective April 20, 2021:</w:t>
      </w:r>
    </w:p>
    <w:p>
      <w:pPr>
        <w:spacing w:after="0" w:line="83" w:lineRule="exact"/>
        <w:rPr>
          <w:sz w:val="20"/>
          <w:szCs w:val="20"/>
          <w:color w:val="auto"/>
        </w:rPr>
      </w:pPr>
    </w:p>
    <w:p>
      <w:pPr>
        <w:ind w:left="1080" w:hanging="538"/>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 annual retainer for service on the Board of $55,000;</w:t>
      </w:r>
    </w:p>
    <w:p>
      <w:pPr>
        <w:spacing w:after="0" w:line="163" w:lineRule="exact"/>
        <w:rPr>
          <w:rFonts w:ascii="Arial" w:cs="Arial" w:eastAsia="Arial" w:hAnsi="Arial"/>
          <w:sz w:val="16"/>
          <w:szCs w:val="16"/>
          <w:color w:val="auto"/>
        </w:rPr>
      </w:pPr>
    </w:p>
    <w:p>
      <w:pPr>
        <w:ind w:left="1080" w:hanging="538"/>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 annual retainer for the Lead Independent Director in the amount of $35,000;</w:t>
      </w:r>
    </w:p>
    <w:p>
      <w:pPr>
        <w:spacing w:after="0" w:line="163" w:lineRule="exact"/>
        <w:rPr>
          <w:rFonts w:ascii="Arial" w:cs="Arial" w:eastAsia="Arial" w:hAnsi="Arial"/>
          <w:sz w:val="16"/>
          <w:szCs w:val="16"/>
          <w:color w:val="auto"/>
        </w:rPr>
      </w:pPr>
    </w:p>
    <w:p>
      <w:pPr>
        <w:ind w:left="1080" w:right="180" w:hanging="538"/>
        <w:spacing w:after="0" w:line="289"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 annual retainer for the Nominating &amp; Corporate Governance Committee members in the amount of $10,000 and annual retainer for the Chairman of the Nominating &amp; Corporate Governance Committee in the amount of $20,000;</w:t>
      </w:r>
    </w:p>
    <w:p>
      <w:pPr>
        <w:spacing w:after="0" w:line="65" w:lineRule="exact"/>
        <w:rPr>
          <w:rFonts w:ascii="Arial" w:cs="Arial" w:eastAsia="Arial" w:hAnsi="Arial"/>
          <w:sz w:val="16"/>
          <w:szCs w:val="16"/>
          <w:color w:val="auto"/>
        </w:rPr>
      </w:pPr>
    </w:p>
    <w:p>
      <w:pPr>
        <w:ind w:left="1080" w:right="200" w:hanging="538"/>
        <w:spacing w:after="0" w:line="324" w:lineRule="auto"/>
        <w:tabs>
          <w:tab w:leader="none" w:pos="10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An annual retainer for Audit &amp; Risk Committee members in the amount of $22,100, an annual retainer for the Chairman of the Audit &amp; Risk Committee in the amount of $39,000, and an annual retainer for the Vice Chairman of the Audit &amp; Risk Committee in the amount of $32,500; and</w:t>
      </w:r>
    </w:p>
    <w:p>
      <w:pPr>
        <w:spacing w:after="0" w:line="42" w:lineRule="exact"/>
        <w:rPr>
          <w:rFonts w:ascii="Arial" w:cs="Arial" w:eastAsia="Arial" w:hAnsi="Arial"/>
          <w:sz w:val="15"/>
          <w:szCs w:val="15"/>
          <w:color w:val="auto"/>
        </w:rPr>
      </w:pPr>
    </w:p>
    <w:p>
      <w:pPr>
        <w:ind w:left="1080" w:right="340" w:hanging="538"/>
        <w:spacing w:after="0" w:line="289"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 annual retainer for Human Resources &amp; Compensation Committee members in the amount of $12,000 and an annual retainer for the Chairman of the Human Resources &amp; Compensation Committee in the amount of $21,000.</w:t>
      </w:r>
    </w:p>
    <w:p>
      <w:pPr>
        <w:spacing w:after="0" w:line="172" w:lineRule="exact"/>
        <w:rPr>
          <w:sz w:val="20"/>
          <w:szCs w:val="20"/>
          <w:color w:val="auto"/>
        </w:rPr>
      </w:pPr>
    </w:p>
    <w:p>
      <w:pPr>
        <w:ind w:firstLine="546"/>
        <w:spacing w:after="0" w:line="315" w:lineRule="auto"/>
        <w:rPr>
          <w:sz w:val="20"/>
          <w:szCs w:val="20"/>
          <w:color w:val="auto"/>
        </w:rPr>
      </w:pPr>
      <w:r>
        <w:rPr>
          <w:rFonts w:ascii="Arial" w:cs="Arial" w:eastAsia="Arial" w:hAnsi="Arial"/>
          <w:sz w:val="14"/>
          <w:szCs w:val="14"/>
          <w:color w:val="auto"/>
        </w:rPr>
        <w:t>In addition to these standing committees, the Board has other committees for which directors received fees in 2021. Messrs. Feldman, Lucien, and Nichols and Mmes. Hulst and Tokioka are members of the Digital Advisory Committee (“DAC”). Ms. Apoliona and Messrs. Feldman and Lucien are members of the Board-appointed Benefit Plans Committee (“BPC”), and Mmes. Apoliona, Tanabe, and Tokioka and Messrs. Lucien and Wo are members of the Fiduciary Investment Management Committee (“FIMC”). Effective April 24, 2020, the DAC annual retainer is $7,500 and the retainer for its chairman (Mr. Nichols) is $12,500. The FIMC chairman’s (Ms. Tanabe) annual retainer remains unchanged from 2019 at $15,500 and annual retainer fees for the FIMC and BPC members remain unchanged at $9,500 and $6,500, respectively.</w:t>
      </w:r>
    </w:p>
    <w:p>
      <w:pPr>
        <w:spacing w:after="0" w:line="160" w:lineRule="exact"/>
        <w:rPr>
          <w:sz w:val="20"/>
          <w:szCs w:val="20"/>
          <w:color w:val="auto"/>
        </w:rPr>
      </w:pPr>
    </w:p>
    <w:p>
      <w:pPr>
        <w:ind w:right="220" w:firstLine="546"/>
        <w:spacing w:after="0" w:line="289" w:lineRule="auto"/>
        <w:rPr>
          <w:sz w:val="20"/>
          <w:szCs w:val="20"/>
          <w:color w:val="auto"/>
        </w:rPr>
      </w:pPr>
      <w:r>
        <w:rPr>
          <w:rFonts w:ascii="Arial" w:cs="Arial" w:eastAsia="Arial" w:hAnsi="Arial"/>
          <w:sz w:val="16"/>
          <w:szCs w:val="16"/>
          <w:color w:val="auto"/>
        </w:rPr>
        <w:t>The Directors are reimbursed for Board-related travel expenses, and directors who reside principally on the U.S. mainland receive an additional $5,000 annually to compensate them for travel time, which remains unchanged from last year.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Stock Plan</w:t>
      </w:r>
    </w:p>
    <w:p>
      <w:pPr>
        <w:spacing w:after="0" w:line="235" w:lineRule="exact"/>
        <w:rPr>
          <w:sz w:val="20"/>
          <w:szCs w:val="20"/>
          <w:color w:val="auto"/>
        </w:rPr>
      </w:pPr>
    </w:p>
    <w:p>
      <w:pPr>
        <w:ind w:firstLine="546"/>
        <w:spacing w:after="0" w:line="285" w:lineRule="auto"/>
        <w:rPr>
          <w:sz w:val="20"/>
          <w:szCs w:val="20"/>
          <w:color w:val="auto"/>
        </w:rPr>
      </w:pPr>
      <w:r>
        <w:rPr>
          <w:rFonts w:ascii="Arial" w:cs="Arial" w:eastAsia="Arial" w:hAnsi="Arial"/>
          <w:sz w:val="15"/>
          <w:szCs w:val="15"/>
          <w:color w:val="auto"/>
        </w:rPr>
        <w:t>The shareholders approved the 2015 Director Stock Compensation Plan (the “Director Stock Plan”) at the 2015 annual meeting. The purpose of the Director Stock Plan is to advance the interests of the Company by encouraging and enabling eligible non-employee members of the Board to acquire and retain throughout each member’s tenure as director a proprietary interest in the Company by owning shares of Bank of Hawaii Corporation common stock. The Director Stock Plan allows for the granting of stock options, restricted common stock, and restricted stock units. Under the Director Stock Plan, the Board has the flexibility to set the form and terms of awards. The Board receives an annual equity compensation value of $65,000. Based on the fair market value on the date of grant in April 2021, each of the non-employee Board members was given a stock award of 715 shares of restricted common stock (“Restricted Shares”) with a vesting date of April 22, 2022. Mr. Mills was elected to the Board in October 2021 and received equity compensation of 376 shares of Company restricted common stock with a vesting date of April 22, 2022, in alignment with the remainder of the unexpired term. In 2021, no stock options or restricted stock units were granted under the Director Stock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Deferred Compensation Plan</w:t>
      </w:r>
    </w:p>
    <w:p>
      <w:pPr>
        <w:spacing w:after="0" w:line="235" w:lineRule="exact"/>
        <w:rPr>
          <w:sz w:val="20"/>
          <w:szCs w:val="20"/>
          <w:color w:val="auto"/>
        </w:rPr>
      </w:pPr>
    </w:p>
    <w:p>
      <w:pPr>
        <w:ind w:firstLine="546"/>
        <w:spacing w:after="0" w:line="306" w:lineRule="auto"/>
        <w:rPr>
          <w:sz w:val="20"/>
          <w:szCs w:val="20"/>
          <w:color w:val="auto"/>
        </w:rPr>
      </w:pPr>
      <w:r>
        <w:rPr>
          <w:rFonts w:ascii="Arial" w:cs="Arial" w:eastAsia="Arial" w:hAnsi="Arial"/>
          <w:sz w:val="14"/>
          <w:szCs w:val="14"/>
          <w:color w:val="auto"/>
        </w:rPr>
        <w:t>The Company maintains the Directors’ Deferred Compensation Plan (the “Directors’ Deferred Plan”), under which each non-employee director may participate and elect to defer the payment of all of his or her annual Board and committee retainer fees, or all of his or her annual Board retainer fees, or all of his or her annual committee retainer fees. At the director’s choice, deferred amounts under the Directors’ Deferred Plan may be payable: 1) beginning on the first day of the first month after the participating director ceases to be a director of the Company; or 2) on an anniversary date of the director’s choosing after the director ceases to be a director; or 3) a date specified by the director (which may include a date prior to the date a director ceases to be a director). Deferred amounts are paid to the participant in a lump sum or in equal annual installments over such period of years (not exceeding 10 years) as the participant elects at the time of deferral. If a participant dies, all deferred and previously unpaid amounts will be paid in a lump sum to the participant’s beneficiary on the second day of the calendar year following the year of death. A participant’s deferred amounts are adjusted for appreciation or depreciation in value based on hypothetical investments in one or more mutual funds or in shares of Bank of Hawaii Corporation common stock, as may be directed by the participant. The Company’s obligations under the Directors’ Deferred Plan are payable from its general assets, although the Company has established a rabbi trust to assist it in meeting its liabilities under the plan. The assets of the trust are at all times subject to the claims of the Company’s general creditors.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Stock Ownership Guidelines</w:t>
      </w:r>
    </w:p>
    <w:p>
      <w:pPr>
        <w:spacing w:after="0" w:line="235" w:lineRule="exact"/>
        <w:rPr>
          <w:sz w:val="20"/>
          <w:szCs w:val="20"/>
          <w:color w:val="auto"/>
        </w:rPr>
      </w:pPr>
    </w:p>
    <w:p>
      <w:pPr>
        <w:ind w:right="60" w:firstLine="546"/>
        <w:spacing w:after="0" w:line="268" w:lineRule="auto"/>
        <w:rPr>
          <w:sz w:val="20"/>
          <w:szCs w:val="20"/>
          <w:color w:val="auto"/>
        </w:rPr>
      </w:pPr>
      <w:r>
        <w:rPr>
          <w:rFonts w:ascii="Arial" w:cs="Arial" w:eastAsia="Arial" w:hAnsi="Arial"/>
          <w:sz w:val="16"/>
          <w:szCs w:val="16"/>
          <w:color w:val="auto"/>
        </w:rPr>
        <w:t>The Board believes it is important to support an ownership culture for the Company’s directors, employees and shareholders. To ensure that linkage to shareholders occurs among the fiduciaries of the Company each non-management director is required to own a minimum amount of five times his or her annual cash retainer in Bank of Hawaii Corporation common stock. Directors are given five years from first joining the Board to achieve guideline levels of ownership. As of January 31, 2022, nine of the 13 non-management directors standing for re-election have satisfied the ownership guidelines. The four remaining directors are expected to satisfy the ownership guidelines within the required five-year period.</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Compensation</w:t>
      </w:r>
    </w:p>
    <w:p>
      <w:pPr>
        <w:spacing w:after="0" w:line="235" w:lineRule="exact"/>
        <w:rPr>
          <w:sz w:val="20"/>
          <w:szCs w:val="20"/>
          <w:color w:val="auto"/>
        </w:rPr>
      </w:pPr>
    </w:p>
    <w:p>
      <w:pPr>
        <w:ind w:right="140" w:firstLine="546"/>
        <w:spacing w:after="0" w:line="289" w:lineRule="auto"/>
        <w:rPr>
          <w:sz w:val="20"/>
          <w:szCs w:val="20"/>
          <w:color w:val="auto"/>
        </w:rPr>
      </w:pPr>
      <w:r>
        <w:rPr>
          <w:rFonts w:ascii="Arial" w:cs="Arial" w:eastAsia="Arial" w:hAnsi="Arial"/>
          <w:sz w:val="16"/>
          <w:szCs w:val="16"/>
          <w:color w:val="auto"/>
        </w:rPr>
        <w:t>The following table presents, for the year ended December 31, 2021, information on compensation earned by or awarded to each non-employee director who served on the Board of Directors during 2021. Mr. Ho did not receive any additional compensation for services provided as a director.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DIRECTOR COMPENSATION TABLE</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2040" w:type="dxa"/>
            <w:vAlign w:val="bottom"/>
            <w:tcBorders>
              <w:top w:val="single" w:sz="8" w:color="auto"/>
              <w:left w:val="single" w:sz="8" w:color="auto"/>
            </w:tcBorders>
            <w:shd w:val="clear" w:color="auto" w:fill="086FB7"/>
          </w:tcPr>
          <w:p>
            <w:pPr>
              <w:spacing w:after="0"/>
              <w:rPr>
                <w:sz w:val="13"/>
                <w:szCs w:val="13"/>
                <w:color w:val="auto"/>
              </w:rPr>
            </w:pPr>
          </w:p>
        </w:tc>
        <w:tc>
          <w:tcPr>
            <w:tcW w:w="1640" w:type="dxa"/>
            <w:vAlign w:val="bottom"/>
            <w:tcBorders>
              <w:top w:val="single" w:sz="8" w:color="auto"/>
            </w:tcBorders>
            <w:shd w:val="clear" w:color="auto" w:fill="086FB7"/>
          </w:tcPr>
          <w:p>
            <w:pPr>
              <w:spacing w:after="0"/>
              <w:rPr>
                <w:sz w:val="13"/>
                <w:szCs w:val="13"/>
                <w:color w:val="auto"/>
              </w:rPr>
            </w:pPr>
          </w:p>
        </w:tc>
        <w:tc>
          <w:tcPr>
            <w:tcW w:w="1260" w:type="dxa"/>
            <w:vAlign w:val="bottom"/>
            <w:tcBorders>
              <w:top w:val="single" w:sz="8" w:color="auto"/>
            </w:tcBorders>
            <w:shd w:val="clear" w:color="auto" w:fill="086FB7"/>
          </w:tcPr>
          <w:p>
            <w:pPr>
              <w:spacing w:after="0"/>
              <w:rPr>
                <w:sz w:val="13"/>
                <w:szCs w:val="13"/>
                <w:color w:val="auto"/>
              </w:rPr>
            </w:pPr>
          </w:p>
        </w:tc>
        <w:tc>
          <w:tcPr>
            <w:tcW w:w="1180" w:type="dxa"/>
            <w:vAlign w:val="bottom"/>
            <w:tcBorders>
              <w:top w:val="single" w:sz="8" w:color="auto"/>
            </w:tcBorders>
            <w:shd w:val="clear" w:color="auto" w:fill="086FB7"/>
          </w:tcPr>
          <w:p>
            <w:pPr>
              <w:spacing w:after="0"/>
              <w:rPr>
                <w:sz w:val="13"/>
                <w:szCs w:val="13"/>
                <w:color w:val="auto"/>
              </w:rPr>
            </w:pPr>
          </w:p>
        </w:tc>
        <w:tc>
          <w:tcPr>
            <w:tcW w:w="1280" w:type="dxa"/>
            <w:vAlign w:val="bottom"/>
            <w:tcBorders>
              <w:top w:val="single" w:sz="8" w:color="auto"/>
            </w:tcBorders>
            <w:shd w:val="clear" w:color="auto" w:fill="086FB7"/>
          </w:tcPr>
          <w:p>
            <w:pPr>
              <w:spacing w:after="0"/>
              <w:rPr>
                <w:sz w:val="13"/>
                <w:szCs w:val="13"/>
                <w:color w:val="auto"/>
              </w:rPr>
            </w:pPr>
          </w:p>
        </w:tc>
        <w:tc>
          <w:tcPr>
            <w:tcW w:w="1280" w:type="dxa"/>
            <w:vAlign w:val="bottom"/>
            <w:tcBorders>
              <w:top w:val="single" w:sz="8" w:color="auto"/>
            </w:tcBorders>
            <w:shd w:val="clear" w:color="auto" w:fill="086FB7"/>
          </w:tcPr>
          <w:p>
            <w:pPr>
              <w:jc w:val="center"/>
              <w:ind w:right="23"/>
              <w:spacing w:after="0" w:line="151" w:lineRule="exact"/>
              <w:rPr>
                <w:sz w:val="20"/>
                <w:szCs w:val="20"/>
                <w:color w:val="auto"/>
              </w:rPr>
            </w:pPr>
            <w:r>
              <w:rPr>
                <w:rFonts w:ascii="Arial" w:cs="Arial" w:eastAsia="Arial" w:hAnsi="Arial"/>
                <w:sz w:val="14"/>
                <w:szCs w:val="14"/>
                <w:b w:val="1"/>
                <w:bCs w:val="1"/>
                <w:color w:val="FFFFFF"/>
                <w:w w:val="91"/>
              </w:rPr>
              <w:t>Change in</w:t>
            </w:r>
          </w:p>
        </w:tc>
        <w:tc>
          <w:tcPr>
            <w:tcW w:w="1420" w:type="dxa"/>
            <w:vAlign w:val="bottom"/>
            <w:tcBorders>
              <w:top w:val="single" w:sz="8" w:color="auto"/>
            </w:tcBorders>
            <w:shd w:val="clear" w:color="auto" w:fill="086FB7"/>
          </w:tcPr>
          <w:p>
            <w:pPr>
              <w:spacing w:after="0"/>
              <w:rPr>
                <w:sz w:val="13"/>
                <w:szCs w:val="13"/>
                <w:color w:val="auto"/>
              </w:rPr>
            </w:pPr>
          </w:p>
        </w:tc>
        <w:tc>
          <w:tcPr>
            <w:tcW w:w="1140" w:type="dxa"/>
            <w:vAlign w:val="bottom"/>
            <w:tcBorders>
              <w:top w:val="single" w:sz="8" w:color="auto"/>
              <w:right w:val="single" w:sz="8" w:color="auto"/>
            </w:tcBorders>
            <w:shd w:val="clear" w:color="auto" w:fill="086FB7"/>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40" w:type="dxa"/>
            <w:vAlign w:val="bottom"/>
            <w:tcBorders>
              <w:left w:val="single" w:sz="8" w:color="auto"/>
            </w:tcBorders>
            <w:shd w:val="clear" w:color="auto" w:fill="086FB7"/>
          </w:tcPr>
          <w:p>
            <w:pPr>
              <w:spacing w:after="0"/>
              <w:rPr>
                <w:sz w:val="12"/>
                <w:szCs w:val="12"/>
                <w:color w:val="auto"/>
              </w:rPr>
            </w:pPr>
          </w:p>
        </w:tc>
        <w:tc>
          <w:tcPr>
            <w:tcW w:w="1640" w:type="dxa"/>
            <w:vAlign w:val="bottom"/>
            <w:shd w:val="clear" w:color="auto" w:fill="086FB7"/>
          </w:tcPr>
          <w:p>
            <w:pPr>
              <w:spacing w:after="0"/>
              <w:rPr>
                <w:sz w:val="12"/>
                <w:szCs w:val="12"/>
                <w:color w:val="auto"/>
              </w:rPr>
            </w:pPr>
          </w:p>
        </w:tc>
        <w:tc>
          <w:tcPr>
            <w:tcW w:w="1260" w:type="dxa"/>
            <w:vAlign w:val="bottom"/>
            <w:shd w:val="clear" w:color="auto" w:fill="086FB7"/>
          </w:tcPr>
          <w:p>
            <w:pPr>
              <w:spacing w:after="0"/>
              <w:rPr>
                <w:sz w:val="12"/>
                <w:szCs w:val="12"/>
                <w:color w:val="auto"/>
              </w:rPr>
            </w:pPr>
          </w:p>
        </w:tc>
        <w:tc>
          <w:tcPr>
            <w:tcW w:w="1180" w:type="dxa"/>
            <w:vAlign w:val="bottom"/>
            <w:shd w:val="clear" w:color="auto" w:fill="086FB7"/>
          </w:tcPr>
          <w:p>
            <w:pPr>
              <w:spacing w:after="0"/>
              <w:rPr>
                <w:sz w:val="12"/>
                <w:szCs w:val="12"/>
                <w:color w:val="auto"/>
              </w:rPr>
            </w:pPr>
          </w:p>
        </w:tc>
        <w:tc>
          <w:tcPr>
            <w:tcW w:w="1280" w:type="dxa"/>
            <w:vAlign w:val="bottom"/>
            <w:shd w:val="clear" w:color="auto" w:fill="086FB7"/>
          </w:tcPr>
          <w:p>
            <w:pPr>
              <w:spacing w:after="0"/>
              <w:rPr>
                <w:sz w:val="12"/>
                <w:szCs w:val="12"/>
                <w:color w:val="auto"/>
              </w:rPr>
            </w:pPr>
          </w:p>
        </w:tc>
        <w:tc>
          <w:tcPr>
            <w:tcW w:w="1280" w:type="dxa"/>
            <w:vAlign w:val="bottom"/>
            <w:shd w:val="clear" w:color="auto" w:fill="086FB7"/>
          </w:tcPr>
          <w:p>
            <w:pPr>
              <w:jc w:val="center"/>
              <w:ind w:right="23"/>
              <w:spacing w:after="0" w:line="147" w:lineRule="exact"/>
              <w:rPr>
                <w:sz w:val="20"/>
                <w:szCs w:val="20"/>
                <w:color w:val="auto"/>
              </w:rPr>
            </w:pPr>
            <w:r>
              <w:rPr>
                <w:rFonts w:ascii="Arial" w:cs="Arial" w:eastAsia="Arial" w:hAnsi="Arial"/>
                <w:sz w:val="14"/>
                <w:szCs w:val="14"/>
                <w:b w:val="1"/>
                <w:bCs w:val="1"/>
                <w:color w:val="FFFFFF"/>
                <w:w w:val="89"/>
              </w:rPr>
              <w:t>Pension Value</w:t>
            </w:r>
          </w:p>
        </w:tc>
        <w:tc>
          <w:tcPr>
            <w:tcW w:w="1420" w:type="dxa"/>
            <w:vAlign w:val="bottom"/>
            <w:shd w:val="clear" w:color="auto" w:fill="086FB7"/>
          </w:tcPr>
          <w:p>
            <w:pPr>
              <w:spacing w:after="0"/>
              <w:rPr>
                <w:sz w:val="12"/>
                <w:szCs w:val="12"/>
                <w:color w:val="auto"/>
              </w:rPr>
            </w:pPr>
          </w:p>
        </w:tc>
        <w:tc>
          <w:tcPr>
            <w:tcW w:w="1140" w:type="dxa"/>
            <w:vAlign w:val="bottom"/>
            <w:tcBorders>
              <w:right w:val="single" w:sz="8" w:color="auto"/>
            </w:tcBorders>
            <w:shd w:val="clear" w:color="auto" w:fill="086FB7"/>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40" w:type="dxa"/>
            <w:vAlign w:val="bottom"/>
            <w:tcBorders>
              <w:left w:val="single" w:sz="8" w:color="auto"/>
            </w:tcBorders>
            <w:shd w:val="clear" w:color="auto" w:fill="086FB7"/>
          </w:tcPr>
          <w:p>
            <w:pPr>
              <w:spacing w:after="0"/>
              <w:rPr>
                <w:sz w:val="12"/>
                <w:szCs w:val="12"/>
                <w:color w:val="auto"/>
              </w:rPr>
            </w:pPr>
          </w:p>
        </w:tc>
        <w:tc>
          <w:tcPr>
            <w:tcW w:w="1640" w:type="dxa"/>
            <w:vAlign w:val="bottom"/>
            <w:vMerge w:val="restart"/>
            <w:shd w:val="clear" w:color="auto" w:fill="086FB7"/>
          </w:tcPr>
          <w:p>
            <w:pPr>
              <w:jc w:val="center"/>
              <w:ind w:left="2"/>
              <w:spacing w:after="0"/>
              <w:rPr>
                <w:sz w:val="20"/>
                <w:szCs w:val="20"/>
                <w:color w:val="auto"/>
              </w:rPr>
            </w:pPr>
            <w:r>
              <w:rPr>
                <w:rFonts w:ascii="Arial" w:cs="Arial" w:eastAsia="Arial" w:hAnsi="Arial"/>
                <w:sz w:val="14"/>
                <w:szCs w:val="14"/>
                <w:b w:val="1"/>
                <w:bCs w:val="1"/>
                <w:color w:val="FFFFFF"/>
                <w:w w:val="87"/>
              </w:rPr>
              <w:t>Fees</w:t>
            </w:r>
          </w:p>
        </w:tc>
        <w:tc>
          <w:tcPr>
            <w:tcW w:w="1260" w:type="dxa"/>
            <w:vAlign w:val="bottom"/>
            <w:shd w:val="clear" w:color="auto" w:fill="086FB7"/>
          </w:tcPr>
          <w:p>
            <w:pPr>
              <w:spacing w:after="0"/>
              <w:rPr>
                <w:sz w:val="12"/>
                <w:szCs w:val="12"/>
                <w:color w:val="auto"/>
              </w:rPr>
            </w:pPr>
          </w:p>
        </w:tc>
        <w:tc>
          <w:tcPr>
            <w:tcW w:w="1180" w:type="dxa"/>
            <w:vAlign w:val="bottom"/>
            <w:shd w:val="clear" w:color="auto" w:fill="086FB7"/>
          </w:tcPr>
          <w:p>
            <w:pPr>
              <w:spacing w:after="0"/>
              <w:rPr>
                <w:sz w:val="12"/>
                <w:szCs w:val="12"/>
                <w:color w:val="auto"/>
              </w:rPr>
            </w:pPr>
          </w:p>
        </w:tc>
        <w:tc>
          <w:tcPr>
            <w:tcW w:w="1280" w:type="dxa"/>
            <w:vAlign w:val="bottom"/>
            <w:shd w:val="clear" w:color="auto" w:fill="086FB7"/>
          </w:tcPr>
          <w:p>
            <w:pPr>
              <w:spacing w:after="0"/>
              <w:rPr>
                <w:sz w:val="12"/>
                <w:szCs w:val="12"/>
                <w:color w:val="auto"/>
              </w:rPr>
            </w:pPr>
          </w:p>
        </w:tc>
        <w:tc>
          <w:tcPr>
            <w:tcW w:w="1280" w:type="dxa"/>
            <w:vAlign w:val="bottom"/>
            <w:shd w:val="clear" w:color="auto" w:fill="086FB7"/>
          </w:tcPr>
          <w:p>
            <w:pPr>
              <w:jc w:val="center"/>
              <w:ind w:right="23"/>
              <w:spacing w:after="0" w:line="147" w:lineRule="exact"/>
              <w:rPr>
                <w:sz w:val="20"/>
                <w:szCs w:val="20"/>
                <w:color w:val="auto"/>
              </w:rPr>
            </w:pPr>
            <w:r>
              <w:rPr>
                <w:rFonts w:ascii="Arial" w:cs="Arial" w:eastAsia="Arial" w:hAnsi="Arial"/>
                <w:sz w:val="14"/>
                <w:szCs w:val="14"/>
                <w:b w:val="1"/>
                <w:bCs w:val="1"/>
                <w:color w:val="FFFFFF"/>
                <w:w w:val="95"/>
              </w:rPr>
              <w:t>and Non-</w:t>
            </w:r>
          </w:p>
        </w:tc>
        <w:tc>
          <w:tcPr>
            <w:tcW w:w="1420" w:type="dxa"/>
            <w:vAlign w:val="bottom"/>
            <w:shd w:val="clear" w:color="auto" w:fill="086FB7"/>
          </w:tcPr>
          <w:p>
            <w:pPr>
              <w:spacing w:after="0"/>
              <w:rPr>
                <w:sz w:val="12"/>
                <w:szCs w:val="12"/>
                <w:color w:val="auto"/>
              </w:rPr>
            </w:pPr>
          </w:p>
        </w:tc>
        <w:tc>
          <w:tcPr>
            <w:tcW w:w="1140" w:type="dxa"/>
            <w:vAlign w:val="bottom"/>
            <w:tcBorders>
              <w:right w:val="single" w:sz="8" w:color="auto"/>
            </w:tcBorders>
            <w:shd w:val="clear" w:color="auto" w:fill="086FB7"/>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40" w:type="dxa"/>
            <w:vAlign w:val="bottom"/>
            <w:tcBorders>
              <w:left w:val="single" w:sz="8" w:color="auto"/>
            </w:tcBorders>
            <w:shd w:val="clear" w:color="auto" w:fill="086FB7"/>
          </w:tcPr>
          <w:p>
            <w:pPr>
              <w:spacing w:after="0"/>
              <w:rPr>
                <w:sz w:val="12"/>
                <w:szCs w:val="12"/>
                <w:color w:val="auto"/>
              </w:rPr>
            </w:pPr>
          </w:p>
        </w:tc>
        <w:tc>
          <w:tcPr>
            <w:tcW w:w="1640" w:type="dxa"/>
            <w:vAlign w:val="bottom"/>
            <w:vMerge w:val="continue"/>
            <w:shd w:val="clear" w:color="auto" w:fill="086FB7"/>
          </w:tcPr>
          <w:p>
            <w:pPr>
              <w:spacing w:after="0"/>
              <w:rPr>
                <w:sz w:val="12"/>
                <w:szCs w:val="12"/>
                <w:color w:val="auto"/>
              </w:rPr>
            </w:pPr>
          </w:p>
        </w:tc>
        <w:tc>
          <w:tcPr>
            <w:tcW w:w="1260" w:type="dxa"/>
            <w:vAlign w:val="bottom"/>
            <w:shd w:val="clear" w:color="auto" w:fill="086FB7"/>
          </w:tcPr>
          <w:p>
            <w:pPr>
              <w:spacing w:after="0"/>
              <w:rPr>
                <w:sz w:val="12"/>
                <w:szCs w:val="12"/>
                <w:color w:val="auto"/>
              </w:rPr>
            </w:pPr>
          </w:p>
        </w:tc>
        <w:tc>
          <w:tcPr>
            <w:tcW w:w="1180" w:type="dxa"/>
            <w:vAlign w:val="bottom"/>
            <w:shd w:val="clear" w:color="auto" w:fill="086FB7"/>
          </w:tcPr>
          <w:p>
            <w:pPr>
              <w:spacing w:after="0"/>
              <w:rPr>
                <w:sz w:val="12"/>
                <w:szCs w:val="12"/>
                <w:color w:val="auto"/>
              </w:rPr>
            </w:pPr>
          </w:p>
        </w:tc>
        <w:tc>
          <w:tcPr>
            <w:tcW w:w="1280" w:type="dxa"/>
            <w:vAlign w:val="bottom"/>
            <w:vMerge w:val="restart"/>
            <w:shd w:val="clear" w:color="auto" w:fill="086FB7"/>
          </w:tcPr>
          <w:p>
            <w:pPr>
              <w:jc w:val="center"/>
              <w:ind w:right="2"/>
              <w:spacing w:after="0"/>
              <w:rPr>
                <w:sz w:val="20"/>
                <w:szCs w:val="20"/>
                <w:color w:val="auto"/>
              </w:rPr>
            </w:pPr>
            <w:r>
              <w:rPr>
                <w:rFonts w:ascii="Arial" w:cs="Arial" w:eastAsia="Arial" w:hAnsi="Arial"/>
                <w:sz w:val="14"/>
                <w:szCs w:val="14"/>
                <w:b w:val="1"/>
                <w:bCs w:val="1"/>
                <w:color w:val="FFFFFF"/>
                <w:w w:val="96"/>
              </w:rPr>
              <w:t>Non-Equity</w:t>
            </w:r>
          </w:p>
        </w:tc>
        <w:tc>
          <w:tcPr>
            <w:tcW w:w="1280" w:type="dxa"/>
            <w:vAlign w:val="bottom"/>
            <w:shd w:val="clear" w:color="auto" w:fill="086FB7"/>
          </w:tcPr>
          <w:p>
            <w:pPr>
              <w:jc w:val="center"/>
              <w:ind w:right="23"/>
              <w:spacing w:after="0" w:line="147" w:lineRule="exact"/>
              <w:rPr>
                <w:sz w:val="20"/>
                <w:szCs w:val="20"/>
                <w:color w:val="auto"/>
              </w:rPr>
            </w:pPr>
            <w:r>
              <w:rPr>
                <w:rFonts w:ascii="Arial" w:cs="Arial" w:eastAsia="Arial" w:hAnsi="Arial"/>
                <w:sz w:val="14"/>
                <w:szCs w:val="14"/>
                <w:b w:val="1"/>
                <w:bCs w:val="1"/>
                <w:color w:val="FFFFFF"/>
                <w:w w:val="93"/>
              </w:rPr>
              <w:t>qualified</w:t>
            </w:r>
          </w:p>
        </w:tc>
        <w:tc>
          <w:tcPr>
            <w:tcW w:w="1420" w:type="dxa"/>
            <w:vAlign w:val="bottom"/>
            <w:shd w:val="clear" w:color="auto" w:fill="086FB7"/>
          </w:tcPr>
          <w:p>
            <w:pPr>
              <w:spacing w:after="0"/>
              <w:rPr>
                <w:sz w:val="12"/>
                <w:szCs w:val="12"/>
                <w:color w:val="auto"/>
              </w:rPr>
            </w:pPr>
          </w:p>
        </w:tc>
        <w:tc>
          <w:tcPr>
            <w:tcW w:w="1140" w:type="dxa"/>
            <w:vAlign w:val="bottom"/>
            <w:tcBorders>
              <w:right w:val="single" w:sz="8" w:color="auto"/>
            </w:tcBorders>
            <w:shd w:val="clear" w:color="auto" w:fill="086FB7"/>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40" w:type="dxa"/>
            <w:vAlign w:val="bottom"/>
            <w:tcBorders>
              <w:left w:val="single" w:sz="8" w:color="auto"/>
            </w:tcBorders>
            <w:shd w:val="clear" w:color="auto" w:fill="086FB7"/>
          </w:tcPr>
          <w:p>
            <w:pPr>
              <w:spacing w:after="0"/>
              <w:rPr>
                <w:sz w:val="12"/>
                <w:szCs w:val="12"/>
                <w:color w:val="auto"/>
              </w:rPr>
            </w:pPr>
          </w:p>
        </w:tc>
        <w:tc>
          <w:tcPr>
            <w:tcW w:w="1640" w:type="dxa"/>
            <w:vAlign w:val="bottom"/>
            <w:shd w:val="clear" w:color="auto" w:fill="086FB7"/>
          </w:tcPr>
          <w:p>
            <w:pPr>
              <w:jc w:val="center"/>
              <w:ind w:left="2"/>
              <w:spacing w:after="0" w:line="147" w:lineRule="exact"/>
              <w:rPr>
                <w:sz w:val="20"/>
                <w:szCs w:val="20"/>
                <w:color w:val="auto"/>
              </w:rPr>
            </w:pPr>
            <w:r>
              <w:rPr>
                <w:rFonts w:ascii="Arial" w:cs="Arial" w:eastAsia="Arial" w:hAnsi="Arial"/>
                <w:sz w:val="14"/>
                <w:szCs w:val="14"/>
                <w:b w:val="1"/>
                <w:bCs w:val="1"/>
                <w:color w:val="FFFFFF"/>
                <w:w w:val="92"/>
              </w:rPr>
              <w:t>Earned</w:t>
            </w:r>
          </w:p>
        </w:tc>
        <w:tc>
          <w:tcPr>
            <w:tcW w:w="1260" w:type="dxa"/>
            <w:vAlign w:val="bottom"/>
            <w:vMerge w:val="restart"/>
            <w:shd w:val="clear" w:color="auto" w:fill="086FB7"/>
          </w:tcPr>
          <w:p>
            <w:pPr>
              <w:jc w:val="center"/>
              <w:ind w:right="201"/>
              <w:spacing w:after="0"/>
              <w:rPr>
                <w:sz w:val="20"/>
                <w:szCs w:val="20"/>
                <w:color w:val="auto"/>
              </w:rPr>
            </w:pPr>
            <w:r>
              <w:rPr>
                <w:rFonts w:ascii="Arial" w:cs="Arial" w:eastAsia="Arial" w:hAnsi="Arial"/>
                <w:sz w:val="14"/>
                <w:szCs w:val="14"/>
                <w:b w:val="1"/>
                <w:bCs w:val="1"/>
                <w:color w:val="FFFFFF"/>
                <w:w w:val="89"/>
              </w:rPr>
              <w:t>Stock</w:t>
            </w:r>
          </w:p>
        </w:tc>
        <w:tc>
          <w:tcPr>
            <w:tcW w:w="1180" w:type="dxa"/>
            <w:vAlign w:val="bottom"/>
            <w:vMerge w:val="restart"/>
            <w:shd w:val="clear" w:color="auto" w:fill="086FB7"/>
          </w:tcPr>
          <w:p>
            <w:pPr>
              <w:jc w:val="center"/>
              <w:ind w:right="101"/>
              <w:spacing w:after="0"/>
              <w:rPr>
                <w:sz w:val="20"/>
                <w:szCs w:val="20"/>
                <w:color w:val="auto"/>
              </w:rPr>
            </w:pPr>
            <w:r>
              <w:rPr>
                <w:rFonts w:ascii="Arial" w:cs="Arial" w:eastAsia="Arial" w:hAnsi="Arial"/>
                <w:sz w:val="14"/>
                <w:szCs w:val="14"/>
                <w:b w:val="1"/>
                <w:bCs w:val="1"/>
                <w:color w:val="FFFFFF"/>
                <w:w w:val="97"/>
              </w:rPr>
              <w:t>Option</w:t>
            </w:r>
          </w:p>
        </w:tc>
        <w:tc>
          <w:tcPr>
            <w:tcW w:w="1280" w:type="dxa"/>
            <w:vAlign w:val="bottom"/>
            <w:vMerge w:val="continue"/>
            <w:shd w:val="clear" w:color="auto" w:fill="086FB7"/>
          </w:tcPr>
          <w:p>
            <w:pPr>
              <w:spacing w:after="0"/>
              <w:rPr>
                <w:sz w:val="12"/>
                <w:szCs w:val="12"/>
                <w:color w:val="auto"/>
              </w:rPr>
            </w:pPr>
          </w:p>
        </w:tc>
        <w:tc>
          <w:tcPr>
            <w:tcW w:w="1280" w:type="dxa"/>
            <w:vAlign w:val="bottom"/>
            <w:shd w:val="clear" w:color="auto" w:fill="086FB7"/>
          </w:tcPr>
          <w:p>
            <w:pPr>
              <w:jc w:val="center"/>
              <w:ind w:right="23"/>
              <w:spacing w:after="0" w:line="147" w:lineRule="exact"/>
              <w:rPr>
                <w:sz w:val="20"/>
                <w:szCs w:val="20"/>
                <w:color w:val="auto"/>
              </w:rPr>
            </w:pPr>
            <w:r>
              <w:rPr>
                <w:rFonts w:ascii="Arial" w:cs="Arial" w:eastAsia="Arial" w:hAnsi="Arial"/>
                <w:sz w:val="14"/>
                <w:szCs w:val="14"/>
                <w:b w:val="1"/>
                <w:bCs w:val="1"/>
                <w:color w:val="FFFFFF"/>
                <w:w w:val="93"/>
              </w:rPr>
              <w:t>Deferred</w:t>
            </w:r>
          </w:p>
        </w:tc>
        <w:tc>
          <w:tcPr>
            <w:tcW w:w="1420" w:type="dxa"/>
            <w:vAlign w:val="bottom"/>
            <w:vMerge w:val="restart"/>
            <w:shd w:val="clear" w:color="auto" w:fill="086FB7"/>
          </w:tcPr>
          <w:p>
            <w:pPr>
              <w:jc w:val="center"/>
              <w:ind w:right="161"/>
              <w:spacing w:after="0"/>
              <w:rPr>
                <w:sz w:val="20"/>
                <w:szCs w:val="20"/>
                <w:color w:val="auto"/>
              </w:rPr>
            </w:pPr>
            <w:r>
              <w:rPr>
                <w:rFonts w:ascii="Arial" w:cs="Arial" w:eastAsia="Arial" w:hAnsi="Arial"/>
                <w:sz w:val="14"/>
                <w:szCs w:val="14"/>
                <w:b w:val="1"/>
                <w:bCs w:val="1"/>
                <w:color w:val="FFFFFF"/>
                <w:w w:val="98"/>
              </w:rPr>
              <w:t>All Other</w:t>
            </w:r>
          </w:p>
        </w:tc>
        <w:tc>
          <w:tcPr>
            <w:tcW w:w="1140" w:type="dxa"/>
            <w:vAlign w:val="bottom"/>
            <w:tcBorders>
              <w:right w:val="single" w:sz="8" w:color="auto"/>
            </w:tcBorders>
            <w:shd w:val="clear" w:color="auto" w:fill="086FB7"/>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40" w:type="dxa"/>
            <w:vAlign w:val="bottom"/>
            <w:tcBorders>
              <w:left w:val="single" w:sz="8" w:color="auto"/>
            </w:tcBorders>
            <w:shd w:val="clear" w:color="auto" w:fill="086FB7"/>
          </w:tcPr>
          <w:p>
            <w:pPr>
              <w:spacing w:after="0"/>
              <w:rPr>
                <w:sz w:val="12"/>
                <w:szCs w:val="12"/>
                <w:color w:val="auto"/>
              </w:rPr>
            </w:pPr>
          </w:p>
        </w:tc>
        <w:tc>
          <w:tcPr>
            <w:tcW w:w="1640" w:type="dxa"/>
            <w:vAlign w:val="bottom"/>
            <w:shd w:val="clear" w:color="auto" w:fill="086FB7"/>
          </w:tcPr>
          <w:p>
            <w:pPr>
              <w:jc w:val="center"/>
              <w:ind w:left="2"/>
              <w:spacing w:after="0" w:line="147" w:lineRule="exact"/>
              <w:rPr>
                <w:sz w:val="20"/>
                <w:szCs w:val="20"/>
                <w:color w:val="auto"/>
              </w:rPr>
            </w:pPr>
            <w:r>
              <w:rPr>
                <w:rFonts w:ascii="Arial" w:cs="Arial" w:eastAsia="Arial" w:hAnsi="Arial"/>
                <w:sz w:val="14"/>
                <w:szCs w:val="14"/>
                <w:b w:val="1"/>
                <w:bCs w:val="1"/>
                <w:color w:val="FFFFFF"/>
                <w:w w:val="93"/>
              </w:rPr>
              <w:t>or Paid in</w:t>
            </w:r>
          </w:p>
        </w:tc>
        <w:tc>
          <w:tcPr>
            <w:tcW w:w="1260" w:type="dxa"/>
            <w:vAlign w:val="bottom"/>
            <w:vMerge w:val="continue"/>
            <w:shd w:val="clear" w:color="auto" w:fill="086FB7"/>
          </w:tcPr>
          <w:p>
            <w:pPr>
              <w:spacing w:after="0"/>
              <w:rPr>
                <w:sz w:val="12"/>
                <w:szCs w:val="12"/>
                <w:color w:val="auto"/>
              </w:rPr>
            </w:pPr>
          </w:p>
        </w:tc>
        <w:tc>
          <w:tcPr>
            <w:tcW w:w="1180" w:type="dxa"/>
            <w:vAlign w:val="bottom"/>
            <w:vMerge w:val="continue"/>
            <w:shd w:val="clear" w:color="auto" w:fill="086FB7"/>
          </w:tcPr>
          <w:p>
            <w:pPr>
              <w:spacing w:after="0"/>
              <w:rPr>
                <w:sz w:val="12"/>
                <w:szCs w:val="12"/>
                <w:color w:val="auto"/>
              </w:rPr>
            </w:pPr>
          </w:p>
        </w:tc>
        <w:tc>
          <w:tcPr>
            <w:tcW w:w="1280" w:type="dxa"/>
            <w:vAlign w:val="bottom"/>
            <w:shd w:val="clear" w:color="auto" w:fill="086FB7"/>
          </w:tcPr>
          <w:p>
            <w:pPr>
              <w:jc w:val="center"/>
              <w:ind w:right="2"/>
              <w:spacing w:after="0" w:line="147" w:lineRule="exact"/>
              <w:rPr>
                <w:sz w:val="20"/>
                <w:szCs w:val="20"/>
                <w:color w:val="auto"/>
              </w:rPr>
            </w:pPr>
            <w:r>
              <w:rPr>
                <w:rFonts w:ascii="Arial" w:cs="Arial" w:eastAsia="Arial" w:hAnsi="Arial"/>
                <w:sz w:val="14"/>
                <w:szCs w:val="14"/>
                <w:b w:val="1"/>
                <w:bCs w:val="1"/>
                <w:color w:val="FFFFFF"/>
                <w:w w:val="93"/>
              </w:rPr>
              <w:t>Incentive Plan</w:t>
            </w:r>
          </w:p>
        </w:tc>
        <w:tc>
          <w:tcPr>
            <w:tcW w:w="1280" w:type="dxa"/>
            <w:vAlign w:val="bottom"/>
            <w:shd w:val="clear" w:color="auto" w:fill="086FB7"/>
          </w:tcPr>
          <w:p>
            <w:pPr>
              <w:jc w:val="center"/>
              <w:ind w:right="3"/>
              <w:spacing w:after="0" w:line="147" w:lineRule="exact"/>
              <w:rPr>
                <w:sz w:val="20"/>
                <w:szCs w:val="20"/>
                <w:color w:val="auto"/>
              </w:rPr>
            </w:pPr>
            <w:r>
              <w:rPr>
                <w:rFonts w:ascii="Arial" w:cs="Arial" w:eastAsia="Arial" w:hAnsi="Arial"/>
                <w:sz w:val="14"/>
                <w:szCs w:val="14"/>
                <w:b w:val="1"/>
                <w:bCs w:val="1"/>
                <w:color w:val="FFFFFF"/>
                <w:w w:val="90"/>
              </w:rPr>
              <w:t>Compensation</w:t>
            </w:r>
          </w:p>
        </w:tc>
        <w:tc>
          <w:tcPr>
            <w:tcW w:w="1420" w:type="dxa"/>
            <w:vAlign w:val="bottom"/>
            <w:vMerge w:val="continue"/>
            <w:shd w:val="clear" w:color="auto" w:fill="086FB7"/>
          </w:tcPr>
          <w:p>
            <w:pPr>
              <w:spacing w:after="0"/>
              <w:rPr>
                <w:sz w:val="12"/>
                <w:szCs w:val="12"/>
                <w:color w:val="auto"/>
              </w:rPr>
            </w:pPr>
          </w:p>
        </w:tc>
        <w:tc>
          <w:tcPr>
            <w:tcW w:w="1140" w:type="dxa"/>
            <w:vAlign w:val="bottom"/>
            <w:tcBorders>
              <w:right w:val="single" w:sz="8" w:color="auto"/>
            </w:tcBorders>
            <w:vMerge w:val="restart"/>
            <w:shd w:val="clear" w:color="auto" w:fill="086FB7"/>
          </w:tcPr>
          <w:p>
            <w:pPr>
              <w:jc w:val="right"/>
              <w:ind w:right="441"/>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47"/>
        </w:trPr>
        <w:tc>
          <w:tcPr>
            <w:tcW w:w="2040" w:type="dxa"/>
            <w:vAlign w:val="bottom"/>
            <w:tcBorders>
              <w:left w:val="single" w:sz="8" w:color="auto"/>
            </w:tcBorders>
            <w:vMerge w:val="restart"/>
            <w:shd w:val="clear" w:color="auto" w:fill="086FB7"/>
          </w:tcPr>
          <w:p>
            <w:pPr>
              <w:ind w:left="140"/>
              <w:spacing w:after="0"/>
              <w:rPr>
                <w:sz w:val="20"/>
                <w:szCs w:val="20"/>
                <w:color w:val="auto"/>
              </w:rPr>
            </w:pPr>
            <w:r>
              <w:rPr>
                <w:rFonts w:ascii="Arial" w:cs="Arial" w:eastAsia="Arial" w:hAnsi="Arial"/>
                <w:sz w:val="14"/>
                <w:szCs w:val="14"/>
                <w:b w:val="1"/>
                <w:bCs w:val="1"/>
                <w:color w:val="FFFFFF"/>
              </w:rPr>
              <w:t>Name</w:t>
            </w:r>
          </w:p>
        </w:tc>
        <w:tc>
          <w:tcPr>
            <w:tcW w:w="1640" w:type="dxa"/>
            <w:vAlign w:val="bottom"/>
            <w:shd w:val="clear" w:color="auto" w:fill="086FB7"/>
          </w:tcPr>
          <w:p>
            <w:pPr>
              <w:jc w:val="center"/>
              <w:ind w:left="2"/>
              <w:spacing w:after="0" w:line="147" w:lineRule="exact"/>
              <w:rPr>
                <w:sz w:val="20"/>
                <w:szCs w:val="20"/>
                <w:color w:val="auto"/>
              </w:rPr>
            </w:pPr>
            <w:r>
              <w:rPr>
                <w:rFonts w:ascii="Arial" w:cs="Arial" w:eastAsia="Arial" w:hAnsi="Arial"/>
                <w:sz w:val="14"/>
                <w:szCs w:val="14"/>
                <w:b w:val="1"/>
                <w:bCs w:val="1"/>
                <w:color w:val="FFFFFF"/>
                <w:w w:val="93"/>
              </w:rPr>
              <w:t>Cash</w:t>
            </w:r>
          </w:p>
        </w:tc>
        <w:tc>
          <w:tcPr>
            <w:tcW w:w="1260" w:type="dxa"/>
            <w:vAlign w:val="bottom"/>
            <w:shd w:val="clear" w:color="auto" w:fill="086FB7"/>
          </w:tcPr>
          <w:p>
            <w:pPr>
              <w:jc w:val="center"/>
              <w:ind w:right="201"/>
              <w:spacing w:after="0" w:line="147" w:lineRule="exact"/>
              <w:rPr>
                <w:sz w:val="20"/>
                <w:szCs w:val="20"/>
                <w:color w:val="auto"/>
              </w:rPr>
            </w:pPr>
            <w:r>
              <w:rPr>
                <w:rFonts w:ascii="Arial" w:cs="Arial" w:eastAsia="Arial" w:hAnsi="Arial"/>
                <w:sz w:val="14"/>
                <w:szCs w:val="14"/>
                <w:b w:val="1"/>
                <w:bCs w:val="1"/>
                <w:color w:val="FFFFFF"/>
                <w:w w:val="90"/>
              </w:rPr>
              <w:t>Awards</w:t>
            </w:r>
          </w:p>
        </w:tc>
        <w:tc>
          <w:tcPr>
            <w:tcW w:w="1180" w:type="dxa"/>
            <w:vAlign w:val="bottom"/>
            <w:shd w:val="clear" w:color="auto" w:fill="086FB7"/>
          </w:tcPr>
          <w:p>
            <w:pPr>
              <w:jc w:val="center"/>
              <w:ind w:right="81"/>
              <w:spacing w:after="0" w:line="147" w:lineRule="exact"/>
              <w:rPr>
                <w:sz w:val="20"/>
                <w:szCs w:val="20"/>
                <w:color w:val="auto"/>
              </w:rPr>
            </w:pPr>
            <w:r>
              <w:rPr>
                <w:rFonts w:ascii="Arial" w:cs="Arial" w:eastAsia="Arial" w:hAnsi="Arial"/>
                <w:sz w:val="14"/>
                <w:szCs w:val="14"/>
                <w:b w:val="1"/>
                <w:bCs w:val="1"/>
                <w:color w:val="FFFFFF"/>
                <w:w w:val="90"/>
              </w:rPr>
              <w:t>Awards</w:t>
            </w:r>
          </w:p>
        </w:tc>
        <w:tc>
          <w:tcPr>
            <w:tcW w:w="1280" w:type="dxa"/>
            <w:vAlign w:val="bottom"/>
            <w:shd w:val="clear" w:color="auto" w:fill="086FB7"/>
          </w:tcPr>
          <w:p>
            <w:pPr>
              <w:jc w:val="center"/>
              <w:ind w:right="2"/>
              <w:spacing w:after="0" w:line="147" w:lineRule="exact"/>
              <w:rPr>
                <w:sz w:val="20"/>
                <w:szCs w:val="20"/>
                <w:color w:val="auto"/>
              </w:rPr>
            </w:pPr>
            <w:r>
              <w:rPr>
                <w:rFonts w:ascii="Arial" w:cs="Arial" w:eastAsia="Arial" w:hAnsi="Arial"/>
                <w:sz w:val="14"/>
                <w:szCs w:val="14"/>
                <w:b w:val="1"/>
                <w:bCs w:val="1"/>
                <w:color w:val="FFFFFF"/>
                <w:w w:val="90"/>
              </w:rPr>
              <w:t>Compensation</w:t>
            </w:r>
          </w:p>
        </w:tc>
        <w:tc>
          <w:tcPr>
            <w:tcW w:w="1280" w:type="dxa"/>
            <w:vAlign w:val="bottom"/>
            <w:shd w:val="clear" w:color="auto" w:fill="086FB7"/>
          </w:tcPr>
          <w:p>
            <w:pPr>
              <w:jc w:val="center"/>
              <w:ind w:right="23"/>
              <w:spacing w:after="0" w:line="147" w:lineRule="exact"/>
              <w:rPr>
                <w:sz w:val="20"/>
                <w:szCs w:val="20"/>
                <w:color w:val="auto"/>
              </w:rPr>
            </w:pPr>
            <w:r>
              <w:rPr>
                <w:rFonts w:ascii="Arial" w:cs="Arial" w:eastAsia="Arial" w:hAnsi="Arial"/>
                <w:sz w:val="14"/>
                <w:szCs w:val="14"/>
                <w:b w:val="1"/>
                <w:bCs w:val="1"/>
                <w:color w:val="FFFFFF"/>
                <w:w w:val="90"/>
              </w:rPr>
              <w:t>Earnings</w:t>
            </w:r>
          </w:p>
        </w:tc>
        <w:tc>
          <w:tcPr>
            <w:tcW w:w="1420" w:type="dxa"/>
            <w:vAlign w:val="bottom"/>
            <w:shd w:val="clear" w:color="auto" w:fill="086FB7"/>
          </w:tcPr>
          <w:p>
            <w:pPr>
              <w:jc w:val="center"/>
              <w:ind w:right="141"/>
              <w:spacing w:after="0" w:line="147" w:lineRule="exact"/>
              <w:rPr>
                <w:sz w:val="20"/>
                <w:szCs w:val="20"/>
                <w:color w:val="auto"/>
              </w:rPr>
            </w:pPr>
            <w:r>
              <w:rPr>
                <w:rFonts w:ascii="Arial" w:cs="Arial" w:eastAsia="Arial" w:hAnsi="Arial"/>
                <w:sz w:val="14"/>
                <w:szCs w:val="14"/>
                <w:b w:val="1"/>
                <w:bCs w:val="1"/>
                <w:color w:val="FFFFFF"/>
                <w:w w:val="90"/>
              </w:rPr>
              <w:t>Compensation</w:t>
            </w:r>
          </w:p>
        </w:tc>
        <w:tc>
          <w:tcPr>
            <w:tcW w:w="1140" w:type="dxa"/>
            <w:vAlign w:val="bottom"/>
            <w:tcBorders>
              <w:right w:val="single" w:sz="8" w:color="auto"/>
            </w:tcBorders>
            <w:vMerge w:val="continue"/>
            <w:shd w:val="clear" w:color="auto" w:fill="086FB7"/>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40" w:type="dxa"/>
            <w:vAlign w:val="bottom"/>
            <w:tcBorders>
              <w:left w:val="single" w:sz="8" w:color="auto"/>
              <w:bottom w:val="single" w:sz="8" w:color="auto"/>
            </w:tcBorders>
            <w:vMerge w:val="continue"/>
            <w:shd w:val="clear" w:color="auto" w:fill="086FB7"/>
          </w:tcPr>
          <w:p>
            <w:pPr>
              <w:spacing w:after="0"/>
              <w:rPr>
                <w:sz w:val="14"/>
                <w:szCs w:val="14"/>
                <w:color w:val="auto"/>
              </w:rPr>
            </w:pPr>
          </w:p>
        </w:tc>
        <w:tc>
          <w:tcPr>
            <w:tcW w:w="1640" w:type="dxa"/>
            <w:vAlign w:val="bottom"/>
            <w:tcBorders>
              <w:bottom w:val="single" w:sz="8" w:color="auto"/>
            </w:tcBorders>
            <w:shd w:val="clear" w:color="auto" w:fill="086FB7"/>
          </w:tcPr>
          <w:p>
            <w:pPr>
              <w:jc w:val="center"/>
              <w:ind w:left="2"/>
              <w:spacing w:after="0"/>
              <w:rPr>
                <w:sz w:val="20"/>
                <w:szCs w:val="20"/>
                <w:color w:val="auto"/>
              </w:rPr>
            </w:pPr>
            <w:r>
              <w:rPr>
                <w:rFonts w:ascii="Arial" w:cs="Arial" w:eastAsia="Arial" w:hAnsi="Arial"/>
                <w:sz w:val="14"/>
                <w:szCs w:val="14"/>
                <w:b w:val="1"/>
                <w:bCs w:val="1"/>
                <w:color w:val="FFFFFF"/>
                <w:w w:val="93"/>
              </w:rPr>
              <w:t>($)(1)</w:t>
            </w:r>
          </w:p>
        </w:tc>
        <w:tc>
          <w:tcPr>
            <w:tcW w:w="1260" w:type="dxa"/>
            <w:vAlign w:val="bottom"/>
            <w:tcBorders>
              <w:bottom w:val="single" w:sz="8" w:color="auto"/>
            </w:tcBorders>
            <w:shd w:val="clear" w:color="auto" w:fill="086FB7"/>
          </w:tcPr>
          <w:p>
            <w:pPr>
              <w:jc w:val="center"/>
              <w:ind w:right="201"/>
              <w:spacing w:after="0"/>
              <w:rPr>
                <w:sz w:val="20"/>
                <w:szCs w:val="20"/>
                <w:color w:val="auto"/>
              </w:rPr>
            </w:pPr>
            <w:r>
              <w:rPr>
                <w:rFonts w:ascii="Arial" w:cs="Arial" w:eastAsia="Arial" w:hAnsi="Arial"/>
                <w:sz w:val="14"/>
                <w:szCs w:val="14"/>
                <w:b w:val="1"/>
                <w:bCs w:val="1"/>
                <w:color w:val="FFFFFF"/>
                <w:w w:val="99"/>
              </w:rPr>
              <w:t>($)(2)</w:t>
            </w:r>
          </w:p>
        </w:tc>
        <w:tc>
          <w:tcPr>
            <w:tcW w:w="1180" w:type="dxa"/>
            <w:vAlign w:val="bottom"/>
            <w:tcBorders>
              <w:bottom w:val="single" w:sz="8" w:color="auto"/>
            </w:tcBorders>
            <w:shd w:val="clear" w:color="auto" w:fill="086FB7"/>
          </w:tcPr>
          <w:p>
            <w:pPr>
              <w:jc w:val="center"/>
              <w:ind w:right="101"/>
              <w:spacing w:after="0"/>
              <w:rPr>
                <w:sz w:val="20"/>
                <w:szCs w:val="20"/>
                <w:color w:val="auto"/>
              </w:rPr>
            </w:pPr>
            <w:r>
              <w:rPr>
                <w:rFonts w:ascii="Arial" w:cs="Arial" w:eastAsia="Arial" w:hAnsi="Arial"/>
                <w:sz w:val="14"/>
                <w:szCs w:val="14"/>
                <w:b w:val="1"/>
                <w:bCs w:val="1"/>
                <w:color w:val="FFFFFF"/>
                <w:w w:val="93"/>
              </w:rPr>
              <w:t>($)(3)</w:t>
            </w:r>
          </w:p>
        </w:tc>
        <w:tc>
          <w:tcPr>
            <w:tcW w:w="1280" w:type="dxa"/>
            <w:vAlign w:val="bottom"/>
            <w:tcBorders>
              <w:bottom w:val="single" w:sz="8" w:color="auto"/>
            </w:tcBorders>
            <w:shd w:val="clear" w:color="auto" w:fill="086FB7"/>
          </w:tcPr>
          <w:p>
            <w:pPr>
              <w:jc w:val="center"/>
              <w:ind w:right="2"/>
              <w:spacing w:after="0"/>
              <w:rPr>
                <w:sz w:val="20"/>
                <w:szCs w:val="20"/>
                <w:color w:val="auto"/>
              </w:rPr>
            </w:pPr>
            <w:r>
              <w:rPr>
                <w:rFonts w:ascii="Arial" w:cs="Arial" w:eastAsia="Arial" w:hAnsi="Arial"/>
                <w:sz w:val="14"/>
                <w:szCs w:val="14"/>
                <w:b w:val="1"/>
                <w:bCs w:val="1"/>
                <w:color w:val="FFFFFF"/>
                <w:w w:val="93"/>
              </w:rPr>
              <w:t>($)</w:t>
            </w:r>
          </w:p>
        </w:tc>
        <w:tc>
          <w:tcPr>
            <w:tcW w:w="1280" w:type="dxa"/>
            <w:vAlign w:val="bottom"/>
            <w:tcBorders>
              <w:bottom w:val="single" w:sz="8" w:color="auto"/>
            </w:tcBorders>
            <w:shd w:val="clear" w:color="auto" w:fill="086FB7"/>
          </w:tcPr>
          <w:p>
            <w:pPr>
              <w:jc w:val="center"/>
              <w:ind w:right="23"/>
              <w:spacing w:after="0"/>
              <w:rPr>
                <w:sz w:val="20"/>
                <w:szCs w:val="20"/>
                <w:color w:val="auto"/>
              </w:rPr>
            </w:pPr>
            <w:r>
              <w:rPr>
                <w:rFonts w:ascii="Arial" w:cs="Arial" w:eastAsia="Arial" w:hAnsi="Arial"/>
                <w:sz w:val="14"/>
                <w:szCs w:val="14"/>
                <w:b w:val="1"/>
                <w:bCs w:val="1"/>
                <w:color w:val="FFFFFF"/>
              </w:rPr>
              <w:t>($)</w:t>
            </w:r>
          </w:p>
        </w:tc>
        <w:tc>
          <w:tcPr>
            <w:tcW w:w="1420" w:type="dxa"/>
            <w:vAlign w:val="bottom"/>
            <w:tcBorders>
              <w:bottom w:val="single" w:sz="8" w:color="auto"/>
            </w:tcBorders>
            <w:shd w:val="clear" w:color="auto" w:fill="086FB7"/>
          </w:tcPr>
          <w:p>
            <w:pPr>
              <w:jc w:val="center"/>
              <w:ind w:right="141"/>
              <w:spacing w:after="0"/>
              <w:rPr>
                <w:sz w:val="20"/>
                <w:szCs w:val="20"/>
                <w:color w:val="auto"/>
              </w:rPr>
            </w:pPr>
            <w:r>
              <w:rPr>
                <w:rFonts w:ascii="Arial" w:cs="Arial" w:eastAsia="Arial" w:hAnsi="Arial"/>
                <w:sz w:val="14"/>
                <w:szCs w:val="14"/>
                <w:b w:val="1"/>
                <w:bCs w:val="1"/>
                <w:color w:val="FFFFFF"/>
                <w:w w:val="93"/>
              </w:rPr>
              <w:t>($)</w:t>
            </w:r>
          </w:p>
        </w:tc>
        <w:tc>
          <w:tcPr>
            <w:tcW w:w="1140" w:type="dxa"/>
            <w:vAlign w:val="bottom"/>
            <w:tcBorders>
              <w:bottom w:val="single" w:sz="8" w:color="auto"/>
              <w:right w:val="single" w:sz="8" w:color="auto"/>
            </w:tcBorders>
            <w:shd w:val="clear" w:color="auto" w:fill="086FB7"/>
          </w:tcPr>
          <w:p>
            <w:pPr>
              <w:jc w:val="right"/>
              <w:ind w:right="521"/>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02"/>
        </w:trPr>
        <w:tc>
          <w:tcPr>
            <w:tcW w:w="2040" w:type="dxa"/>
            <w:vAlign w:val="bottom"/>
            <w:tcBorders>
              <w:left w:val="single" w:sz="8" w:color="auto"/>
            </w:tcBorders>
          </w:tcPr>
          <w:p>
            <w:pPr>
              <w:ind w:left="140"/>
              <w:spacing w:after="0"/>
              <w:rPr>
                <w:sz w:val="20"/>
                <w:szCs w:val="20"/>
                <w:color w:val="auto"/>
              </w:rPr>
            </w:pPr>
            <w:r>
              <w:rPr>
                <w:rFonts w:ascii="Arial" w:cs="Arial" w:eastAsia="Arial" w:hAnsi="Arial"/>
                <w:sz w:val="16"/>
                <w:szCs w:val="16"/>
                <w:color w:val="auto"/>
              </w:rPr>
              <w:t>S. Haunani Apoliona</w:t>
            </w:r>
          </w:p>
        </w:tc>
        <w:tc>
          <w:tcPr>
            <w:tcW w:w="1640" w:type="dxa"/>
            <w:vAlign w:val="bottom"/>
          </w:tcPr>
          <w:p>
            <w:pPr>
              <w:jc w:val="right"/>
              <w:ind w:right="182"/>
              <w:spacing w:after="0"/>
              <w:rPr>
                <w:sz w:val="20"/>
                <w:szCs w:val="20"/>
                <w:color w:val="auto"/>
              </w:rPr>
            </w:pPr>
            <w:r>
              <w:rPr>
                <w:rFonts w:ascii="Arial" w:cs="Arial" w:eastAsia="Arial" w:hAnsi="Arial"/>
                <w:sz w:val="16"/>
                <w:szCs w:val="16"/>
                <w:color w:val="auto"/>
              </w:rPr>
              <w:t>81,000</w:t>
            </w:r>
          </w:p>
        </w:tc>
        <w:tc>
          <w:tcPr>
            <w:tcW w:w="1260" w:type="dxa"/>
            <w:vAlign w:val="bottom"/>
          </w:tcPr>
          <w:p>
            <w:pPr>
              <w:jc w:val="right"/>
              <w:ind w:right="181"/>
              <w:spacing w:after="0"/>
              <w:rPr>
                <w:sz w:val="20"/>
                <w:szCs w:val="20"/>
                <w:color w:val="auto"/>
              </w:rPr>
            </w:pPr>
            <w:r>
              <w:rPr>
                <w:rFonts w:ascii="Arial" w:cs="Arial" w:eastAsia="Arial" w:hAnsi="Arial"/>
                <w:sz w:val="16"/>
                <w:szCs w:val="16"/>
                <w:color w:val="auto"/>
              </w:rPr>
              <w:t>64,986</w:t>
            </w:r>
          </w:p>
        </w:tc>
        <w:tc>
          <w:tcPr>
            <w:tcW w:w="1180" w:type="dxa"/>
            <w:vAlign w:val="bottom"/>
          </w:tcPr>
          <w:p>
            <w:pPr>
              <w:ind w:left="860"/>
              <w:spacing w:after="0"/>
              <w:rPr>
                <w:sz w:val="20"/>
                <w:szCs w:val="20"/>
                <w:color w:val="auto"/>
              </w:rPr>
            </w:pPr>
            <w:r>
              <w:rPr>
                <w:rFonts w:ascii="Arial" w:cs="Arial" w:eastAsia="Arial" w:hAnsi="Arial"/>
                <w:sz w:val="16"/>
                <w:szCs w:val="16"/>
                <w:color w:val="auto"/>
              </w:rPr>
              <w:t>—</w:t>
            </w:r>
          </w:p>
        </w:tc>
        <w:tc>
          <w:tcPr>
            <w:tcW w:w="1280" w:type="dxa"/>
            <w:vAlign w:val="bottom"/>
          </w:tcPr>
          <w:p>
            <w:pPr>
              <w:ind w:left="940"/>
              <w:spacing w:after="0"/>
              <w:rPr>
                <w:sz w:val="20"/>
                <w:szCs w:val="20"/>
                <w:color w:val="auto"/>
              </w:rPr>
            </w:pPr>
            <w:r>
              <w:rPr>
                <w:rFonts w:ascii="Arial" w:cs="Arial" w:eastAsia="Arial" w:hAnsi="Arial"/>
                <w:sz w:val="16"/>
                <w:szCs w:val="16"/>
                <w:color w:val="auto"/>
              </w:rPr>
              <w:t>—</w:t>
            </w:r>
          </w:p>
        </w:tc>
        <w:tc>
          <w:tcPr>
            <w:tcW w:w="1280" w:type="dxa"/>
            <w:vAlign w:val="bottom"/>
          </w:tcPr>
          <w:p>
            <w:pPr>
              <w:ind w:left="960"/>
              <w:spacing w:after="0"/>
              <w:rPr>
                <w:sz w:val="20"/>
                <w:szCs w:val="20"/>
                <w:color w:val="auto"/>
              </w:rPr>
            </w:pPr>
            <w:r>
              <w:rPr>
                <w:rFonts w:ascii="Arial" w:cs="Arial" w:eastAsia="Arial" w:hAnsi="Arial"/>
                <w:sz w:val="16"/>
                <w:szCs w:val="16"/>
                <w:color w:val="auto"/>
              </w:rPr>
              <w:t>—</w:t>
            </w:r>
          </w:p>
        </w:tc>
        <w:tc>
          <w:tcPr>
            <w:tcW w:w="1420" w:type="dxa"/>
            <w:vAlign w:val="bottom"/>
          </w:tcPr>
          <w:p>
            <w:pPr>
              <w:ind w:left="96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right"/>
              <w:ind w:right="61"/>
              <w:spacing w:after="0"/>
              <w:rPr>
                <w:sz w:val="20"/>
                <w:szCs w:val="20"/>
                <w:color w:val="auto"/>
              </w:rPr>
            </w:pPr>
            <w:r>
              <w:rPr>
                <w:rFonts w:ascii="Arial" w:cs="Arial" w:eastAsia="Arial" w:hAnsi="Arial"/>
                <w:sz w:val="16"/>
                <w:szCs w:val="16"/>
                <w:color w:val="auto"/>
              </w:rPr>
              <w:t>145,986</w:t>
            </w:r>
          </w:p>
        </w:tc>
        <w:tc>
          <w:tcPr>
            <w:tcW w:w="0" w:type="dxa"/>
            <w:vAlign w:val="bottom"/>
          </w:tcPr>
          <w:p>
            <w:pPr>
              <w:spacing w:after="0"/>
              <w:rPr>
                <w:sz w:val="1"/>
                <w:szCs w:val="1"/>
                <w:color w:val="auto"/>
              </w:rPr>
            </w:pPr>
          </w:p>
        </w:tc>
      </w:tr>
      <w:tr>
        <w:trPr>
          <w:trHeight w:val="214"/>
        </w:trPr>
        <w:tc>
          <w:tcPr>
            <w:tcW w:w="2040" w:type="dxa"/>
            <w:vAlign w:val="bottom"/>
            <w:tcBorders>
              <w:left w:val="single" w:sz="8" w:color="auto"/>
            </w:tcBorders>
          </w:tcPr>
          <w:p>
            <w:pPr>
              <w:ind w:left="140"/>
              <w:spacing w:after="0"/>
              <w:rPr>
                <w:sz w:val="20"/>
                <w:szCs w:val="20"/>
                <w:color w:val="auto"/>
              </w:rPr>
            </w:pPr>
            <w:r>
              <w:rPr>
                <w:rFonts w:ascii="Arial" w:cs="Arial" w:eastAsia="Arial" w:hAnsi="Arial"/>
                <w:sz w:val="16"/>
                <w:szCs w:val="16"/>
                <w:color w:val="auto"/>
              </w:rPr>
              <w:t>Mark A. Burak</w:t>
            </w:r>
          </w:p>
        </w:tc>
        <w:tc>
          <w:tcPr>
            <w:tcW w:w="1640" w:type="dxa"/>
            <w:vAlign w:val="bottom"/>
          </w:tcPr>
          <w:p>
            <w:pPr>
              <w:jc w:val="right"/>
              <w:ind w:right="182"/>
              <w:spacing w:after="0"/>
              <w:rPr>
                <w:sz w:val="20"/>
                <w:szCs w:val="20"/>
                <w:color w:val="auto"/>
              </w:rPr>
            </w:pPr>
            <w:r>
              <w:rPr>
                <w:rFonts w:ascii="Arial" w:cs="Arial" w:eastAsia="Arial" w:hAnsi="Arial"/>
                <w:sz w:val="16"/>
                <w:szCs w:val="16"/>
                <w:color w:val="auto"/>
              </w:rPr>
              <w:t>101,750</w:t>
            </w:r>
          </w:p>
        </w:tc>
        <w:tc>
          <w:tcPr>
            <w:tcW w:w="1260" w:type="dxa"/>
            <w:vAlign w:val="bottom"/>
          </w:tcPr>
          <w:p>
            <w:pPr>
              <w:jc w:val="right"/>
              <w:ind w:right="181"/>
              <w:spacing w:after="0"/>
              <w:rPr>
                <w:sz w:val="20"/>
                <w:szCs w:val="20"/>
                <w:color w:val="auto"/>
              </w:rPr>
            </w:pPr>
            <w:r>
              <w:rPr>
                <w:rFonts w:ascii="Arial" w:cs="Arial" w:eastAsia="Arial" w:hAnsi="Arial"/>
                <w:sz w:val="16"/>
                <w:szCs w:val="16"/>
                <w:color w:val="auto"/>
              </w:rPr>
              <w:t>64,986</w:t>
            </w:r>
          </w:p>
        </w:tc>
        <w:tc>
          <w:tcPr>
            <w:tcW w:w="1180" w:type="dxa"/>
            <w:vAlign w:val="bottom"/>
          </w:tcPr>
          <w:p>
            <w:pPr>
              <w:ind w:left="860"/>
              <w:spacing w:after="0"/>
              <w:rPr>
                <w:sz w:val="20"/>
                <w:szCs w:val="20"/>
                <w:color w:val="auto"/>
              </w:rPr>
            </w:pPr>
            <w:r>
              <w:rPr>
                <w:rFonts w:ascii="Arial" w:cs="Arial" w:eastAsia="Arial" w:hAnsi="Arial"/>
                <w:sz w:val="16"/>
                <w:szCs w:val="16"/>
                <w:color w:val="auto"/>
              </w:rPr>
              <w:t>—</w:t>
            </w:r>
          </w:p>
        </w:tc>
        <w:tc>
          <w:tcPr>
            <w:tcW w:w="1280" w:type="dxa"/>
            <w:vAlign w:val="bottom"/>
          </w:tcPr>
          <w:p>
            <w:pPr>
              <w:ind w:left="940"/>
              <w:spacing w:after="0"/>
              <w:rPr>
                <w:sz w:val="20"/>
                <w:szCs w:val="20"/>
                <w:color w:val="auto"/>
              </w:rPr>
            </w:pPr>
            <w:r>
              <w:rPr>
                <w:rFonts w:ascii="Arial" w:cs="Arial" w:eastAsia="Arial" w:hAnsi="Arial"/>
                <w:sz w:val="16"/>
                <w:szCs w:val="16"/>
                <w:color w:val="auto"/>
              </w:rPr>
              <w:t>—</w:t>
            </w:r>
          </w:p>
        </w:tc>
        <w:tc>
          <w:tcPr>
            <w:tcW w:w="1280" w:type="dxa"/>
            <w:vAlign w:val="bottom"/>
          </w:tcPr>
          <w:p>
            <w:pPr>
              <w:ind w:left="960"/>
              <w:spacing w:after="0"/>
              <w:rPr>
                <w:sz w:val="20"/>
                <w:szCs w:val="20"/>
                <w:color w:val="auto"/>
              </w:rPr>
            </w:pPr>
            <w:r>
              <w:rPr>
                <w:rFonts w:ascii="Arial" w:cs="Arial" w:eastAsia="Arial" w:hAnsi="Arial"/>
                <w:sz w:val="16"/>
                <w:szCs w:val="16"/>
                <w:color w:val="auto"/>
              </w:rPr>
              <w:t>—</w:t>
            </w:r>
          </w:p>
        </w:tc>
        <w:tc>
          <w:tcPr>
            <w:tcW w:w="1420" w:type="dxa"/>
            <w:vAlign w:val="bottom"/>
          </w:tcPr>
          <w:p>
            <w:pPr>
              <w:ind w:left="96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right"/>
              <w:ind w:right="61"/>
              <w:spacing w:after="0"/>
              <w:rPr>
                <w:sz w:val="20"/>
                <w:szCs w:val="20"/>
                <w:color w:val="auto"/>
              </w:rPr>
            </w:pPr>
            <w:r>
              <w:rPr>
                <w:rFonts w:ascii="Arial" w:cs="Arial" w:eastAsia="Arial" w:hAnsi="Arial"/>
                <w:sz w:val="16"/>
                <w:szCs w:val="16"/>
                <w:color w:val="auto"/>
              </w:rPr>
              <w:t>166,736</w:t>
            </w:r>
          </w:p>
        </w:tc>
        <w:tc>
          <w:tcPr>
            <w:tcW w:w="0" w:type="dxa"/>
            <w:vAlign w:val="bottom"/>
          </w:tcPr>
          <w:p>
            <w:pPr>
              <w:spacing w:after="0"/>
              <w:rPr>
                <w:sz w:val="1"/>
                <w:szCs w:val="1"/>
                <w:color w:val="auto"/>
              </w:rPr>
            </w:pPr>
          </w:p>
        </w:tc>
      </w:tr>
      <w:tr>
        <w:trPr>
          <w:trHeight w:val="214"/>
        </w:trPr>
        <w:tc>
          <w:tcPr>
            <w:tcW w:w="2040" w:type="dxa"/>
            <w:vAlign w:val="bottom"/>
            <w:tcBorders>
              <w:left w:val="single" w:sz="8" w:color="auto"/>
            </w:tcBorders>
          </w:tcPr>
          <w:p>
            <w:pPr>
              <w:ind w:left="140"/>
              <w:spacing w:after="0"/>
              <w:rPr>
                <w:sz w:val="20"/>
                <w:szCs w:val="20"/>
                <w:color w:val="auto"/>
              </w:rPr>
            </w:pPr>
            <w:r>
              <w:rPr>
                <w:rFonts w:ascii="Arial" w:cs="Arial" w:eastAsia="Arial" w:hAnsi="Arial"/>
                <w:sz w:val="16"/>
                <w:szCs w:val="16"/>
                <w:color w:val="auto"/>
              </w:rPr>
              <w:t>John C. Erickson</w:t>
            </w:r>
          </w:p>
        </w:tc>
        <w:tc>
          <w:tcPr>
            <w:tcW w:w="1640" w:type="dxa"/>
            <w:vAlign w:val="bottom"/>
          </w:tcPr>
          <w:p>
            <w:pPr>
              <w:jc w:val="right"/>
              <w:ind w:right="182"/>
              <w:spacing w:after="0"/>
              <w:rPr>
                <w:sz w:val="20"/>
                <w:szCs w:val="20"/>
                <w:color w:val="auto"/>
              </w:rPr>
            </w:pPr>
            <w:r>
              <w:rPr>
                <w:rFonts w:ascii="Arial" w:cs="Arial" w:eastAsia="Arial" w:hAnsi="Arial"/>
                <w:sz w:val="16"/>
                <w:szCs w:val="16"/>
                <w:color w:val="auto"/>
              </w:rPr>
              <w:t>100,625</w:t>
            </w:r>
          </w:p>
        </w:tc>
        <w:tc>
          <w:tcPr>
            <w:tcW w:w="1260" w:type="dxa"/>
            <w:vAlign w:val="bottom"/>
          </w:tcPr>
          <w:p>
            <w:pPr>
              <w:jc w:val="right"/>
              <w:ind w:right="181"/>
              <w:spacing w:after="0"/>
              <w:rPr>
                <w:sz w:val="20"/>
                <w:szCs w:val="20"/>
                <w:color w:val="auto"/>
              </w:rPr>
            </w:pPr>
            <w:r>
              <w:rPr>
                <w:rFonts w:ascii="Arial" w:cs="Arial" w:eastAsia="Arial" w:hAnsi="Arial"/>
                <w:sz w:val="16"/>
                <w:szCs w:val="16"/>
                <w:color w:val="auto"/>
              </w:rPr>
              <w:t>64,986</w:t>
            </w:r>
          </w:p>
        </w:tc>
        <w:tc>
          <w:tcPr>
            <w:tcW w:w="1180" w:type="dxa"/>
            <w:vAlign w:val="bottom"/>
          </w:tcPr>
          <w:p>
            <w:pPr>
              <w:ind w:left="860"/>
              <w:spacing w:after="0"/>
              <w:rPr>
                <w:sz w:val="20"/>
                <w:szCs w:val="20"/>
                <w:color w:val="auto"/>
              </w:rPr>
            </w:pPr>
            <w:r>
              <w:rPr>
                <w:rFonts w:ascii="Arial" w:cs="Arial" w:eastAsia="Arial" w:hAnsi="Arial"/>
                <w:sz w:val="16"/>
                <w:szCs w:val="16"/>
                <w:color w:val="auto"/>
              </w:rPr>
              <w:t>—</w:t>
            </w:r>
          </w:p>
        </w:tc>
        <w:tc>
          <w:tcPr>
            <w:tcW w:w="1280" w:type="dxa"/>
            <w:vAlign w:val="bottom"/>
          </w:tcPr>
          <w:p>
            <w:pPr>
              <w:ind w:left="940"/>
              <w:spacing w:after="0"/>
              <w:rPr>
                <w:sz w:val="20"/>
                <w:szCs w:val="20"/>
                <w:color w:val="auto"/>
              </w:rPr>
            </w:pPr>
            <w:r>
              <w:rPr>
                <w:rFonts w:ascii="Arial" w:cs="Arial" w:eastAsia="Arial" w:hAnsi="Arial"/>
                <w:sz w:val="16"/>
                <w:szCs w:val="16"/>
                <w:color w:val="auto"/>
              </w:rPr>
              <w:t>—</w:t>
            </w:r>
          </w:p>
        </w:tc>
        <w:tc>
          <w:tcPr>
            <w:tcW w:w="1280" w:type="dxa"/>
            <w:vAlign w:val="bottom"/>
          </w:tcPr>
          <w:p>
            <w:pPr>
              <w:ind w:left="960"/>
              <w:spacing w:after="0"/>
              <w:rPr>
                <w:sz w:val="20"/>
                <w:szCs w:val="20"/>
                <w:color w:val="auto"/>
              </w:rPr>
            </w:pPr>
            <w:r>
              <w:rPr>
                <w:rFonts w:ascii="Arial" w:cs="Arial" w:eastAsia="Arial" w:hAnsi="Arial"/>
                <w:sz w:val="16"/>
                <w:szCs w:val="16"/>
                <w:color w:val="auto"/>
              </w:rPr>
              <w:t>—</w:t>
            </w:r>
          </w:p>
        </w:tc>
        <w:tc>
          <w:tcPr>
            <w:tcW w:w="1420" w:type="dxa"/>
            <w:vAlign w:val="bottom"/>
          </w:tcPr>
          <w:p>
            <w:pPr>
              <w:ind w:left="96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right"/>
              <w:ind w:right="61"/>
              <w:spacing w:after="0"/>
              <w:rPr>
                <w:sz w:val="20"/>
                <w:szCs w:val="20"/>
                <w:color w:val="auto"/>
              </w:rPr>
            </w:pPr>
            <w:r>
              <w:rPr>
                <w:rFonts w:ascii="Arial" w:cs="Arial" w:eastAsia="Arial" w:hAnsi="Arial"/>
                <w:sz w:val="16"/>
                <w:szCs w:val="16"/>
                <w:color w:val="auto"/>
              </w:rPr>
              <w:t>165,611</w:t>
            </w:r>
          </w:p>
        </w:tc>
        <w:tc>
          <w:tcPr>
            <w:tcW w:w="0" w:type="dxa"/>
            <w:vAlign w:val="bottom"/>
          </w:tcPr>
          <w:p>
            <w:pPr>
              <w:spacing w:after="0"/>
              <w:rPr>
                <w:sz w:val="1"/>
                <w:szCs w:val="1"/>
                <w:color w:val="auto"/>
              </w:rPr>
            </w:pPr>
          </w:p>
        </w:tc>
      </w:tr>
      <w:tr>
        <w:trPr>
          <w:trHeight w:val="214"/>
        </w:trPr>
        <w:tc>
          <w:tcPr>
            <w:tcW w:w="2040" w:type="dxa"/>
            <w:vAlign w:val="bottom"/>
            <w:tcBorders>
              <w:left w:val="single" w:sz="8" w:color="auto"/>
            </w:tcBorders>
          </w:tcPr>
          <w:p>
            <w:pPr>
              <w:ind w:left="140"/>
              <w:spacing w:after="0"/>
              <w:rPr>
                <w:sz w:val="20"/>
                <w:szCs w:val="20"/>
                <w:color w:val="auto"/>
              </w:rPr>
            </w:pPr>
            <w:r>
              <w:rPr>
                <w:rFonts w:ascii="Arial" w:cs="Arial" w:eastAsia="Arial" w:hAnsi="Arial"/>
                <w:sz w:val="16"/>
                <w:szCs w:val="16"/>
                <w:color w:val="auto"/>
              </w:rPr>
              <w:t>Joshua D. Feldman</w:t>
            </w:r>
          </w:p>
        </w:tc>
        <w:tc>
          <w:tcPr>
            <w:tcW w:w="1640" w:type="dxa"/>
            <w:vAlign w:val="bottom"/>
          </w:tcPr>
          <w:p>
            <w:pPr>
              <w:jc w:val="right"/>
              <w:ind w:right="182"/>
              <w:spacing w:after="0"/>
              <w:rPr>
                <w:sz w:val="20"/>
                <w:szCs w:val="20"/>
                <w:color w:val="auto"/>
              </w:rPr>
            </w:pPr>
            <w:r>
              <w:rPr>
                <w:rFonts w:ascii="Arial" w:cs="Arial" w:eastAsia="Arial" w:hAnsi="Arial"/>
                <w:sz w:val="16"/>
                <w:szCs w:val="16"/>
                <w:color w:val="auto"/>
              </w:rPr>
              <w:t>91,000</w:t>
            </w:r>
          </w:p>
        </w:tc>
        <w:tc>
          <w:tcPr>
            <w:tcW w:w="1260" w:type="dxa"/>
            <w:vAlign w:val="bottom"/>
          </w:tcPr>
          <w:p>
            <w:pPr>
              <w:jc w:val="right"/>
              <w:ind w:right="181"/>
              <w:spacing w:after="0"/>
              <w:rPr>
                <w:sz w:val="20"/>
                <w:szCs w:val="20"/>
                <w:color w:val="auto"/>
              </w:rPr>
            </w:pPr>
            <w:r>
              <w:rPr>
                <w:rFonts w:ascii="Arial" w:cs="Arial" w:eastAsia="Arial" w:hAnsi="Arial"/>
                <w:sz w:val="16"/>
                <w:szCs w:val="16"/>
                <w:color w:val="auto"/>
              </w:rPr>
              <w:t>64,986</w:t>
            </w:r>
          </w:p>
        </w:tc>
        <w:tc>
          <w:tcPr>
            <w:tcW w:w="1180" w:type="dxa"/>
            <w:vAlign w:val="bottom"/>
          </w:tcPr>
          <w:p>
            <w:pPr>
              <w:ind w:left="860"/>
              <w:spacing w:after="0"/>
              <w:rPr>
                <w:sz w:val="20"/>
                <w:szCs w:val="20"/>
                <w:color w:val="auto"/>
              </w:rPr>
            </w:pPr>
            <w:r>
              <w:rPr>
                <w:rFonts w:ascii="Arial" w:cs="Arial" w:eastAsia="Arial" w:hAnsi="Arial"/>
                <w:sz w:val="16"/>
                <w:szCs w:val="16"/>
                <w:color w:val="auto"/>
              </w:rPr>
              <w:t>—</w:t>
            </w:r>
          </w:p>
        </w:tc>
        <w:tc>
          <w:tcPr>
            <w:tcW w:w="1280" w:type="dxa"/>
            <w:vAlign w:val="bottom"/>
          </w:tcPr>
          <w:p>
            <w:pPr>
              <w:ind w:left="940"/>
              <w:spacing w:after="0"/>
              <w:rPr>
                <w:sz w:val="20"/>
                <w:szCs w:val="20"/>
                <w:color w:val="auto"/>
              </w:rPr>
            </w:pPr>
            <w:r>
              <w:rPr>
                <w:rFonts w:ascii="Arial" w:cs="Arial" w:eastAsia="Arial" w:hAnsi="Arial"/>
                <w:sz w:val="16"/>
                <w:szCs w:val="16"/>
                <w:color w:val="auto"/>
              </w:rPr>
              <w:t>—</w:t>
            </w:r>
          </w:p>
        </w:tc>
        <w:tc>
          <w:tcPr>
            <w:tcW w:w="1280" w:type="dxa"/>
            <w:vAlign w:val="bottom"/>
          </w:tcPr>
          <w:p>
            <w:pPr>
              <w:ind w:left="960"/>
              <w:spacing w:after="0"/>
              <w:rPr>
                <w:sz w:val="20"/>
                <w:szCs w:val="20"/>
                <w:color w:val="auto"/>
              </w:rPr>
            </w:pPr>
            <w:r>
              <w:rPr>
                <w:rFonts w:ascii="Arial" w:cs="Arial" w:eastAsia="Arial" w:hAnsi="Arial"/>
                <w:sz w:val="16"/>
                <w:szCs w:val="16"/>
                <w:color w:val="auto"/>
              </w:rPr>
              <w:t>—</w:t>
            </w:r>
          </w:p>
        </w:tc>
        <w:tc>
          <w:tcPr>
            <w:tcW w:w="1420" w:type="dxa"/>
            <w:vAlign w:val="bottom"/>
          </w:tcPr>
          <w:p>
            <w:pPr>
              <w:ind w:left="96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right"/>
              <w:ind w:right="61"/>
              <w:spacing w:after="0"/>
              <w:rPr>
                <w:sz w:val="20"/>
                <w:szCs w:val="20"/>
                <w:color w:val="auto"/>
              </w:rPr>
            </w:pPr>
            <w:r>
              <w:rPr>
                <w:rFonts w:ascii="Arial" w:cs="Arial" w:eastAsia="Arial" w:hAnsi="Arial"/>
                <w:sz w:val="16"/>
                <w:szCs w:val="16"/>
                <w:color w:val="auto"/>
              </w:rPr>
              <w:t>155,986</w:t>
            </w:r>
          </w:p>
        </w:tc>
        <w:tc>
          <w:tcPr>
            <w:tcW w:w="0" w:type="dxa"/>
            <w:vAlign w:val="bottom"/>
          </w:tcPr>
          <w:p>
            <w:pPr>
              <w:spacing w:after="0"/>
              <w:rPr>
                <w:sz w:val="1"/>
                <w:szCs w:val="1"/>
                <w:color w:val="auto"/>
              </w:rPr>
            </w:pPr>
          </w:p>
        </w:tc>
      </w:tr>
      <w:tr>
        <w:trPr>
          <w:trHeight w:val="214"/>
        </w:trPr>
        <w:tc>
          <w:tcPr>
            <w:tcW w:w="2040" w:type="dxa"/>
            <w:vAlign w:val="bottom"/>
            <w:tcBorders>
              <w:left w:val="single" w:sz="8" w:color="auto"/>
            </w:tcBorders>
          </w:tcPr>
          <w:p>
            <w:pPr>
              <w:ind w:left="140"/>
              <w:spacing w:after="0"/>
              <w:rPr>
                <w:sz w:val="20"/>
                <w:szCs w:val="20"/>
                <w:color w:val="auto"/>
              </w:rPr>
            </w:pPr>
            <w:r>
              <w:rPr>
                <w:rFonts w:ascii="Arial" w:cs="Arial" w:eastAsia="Arial" w:hAnsi="Arial"/>
                <w:sz w:val="16"/>
                <w:szCs w:val="16"/>
                <w:color w:val="auto"/>
              </w:rPr>
              <w:t>Michelle E. Hulst</w:t>
            </w:r>
          </w:p>
        </w:tc>
        <w:tc>
          <w:tcPr>
            <w:tcW w:w="1640" w:type="dxa"/>
            <w:vAlign w:val="bottom"/>
          </w:tcPr>
          <w:p>
            <w:pPr>
              <w:jc w:val="right"/>
              <w:ind w:right="182"/>
              <w:spacing w:after="0"/>
              <w:rPr>
                <w:sz w:val="20"/>
                <w:szCs w:val="20"/>
                <w:color w:val="auto"/>
              </w:rPr>
            </w:pPr>
            <w:r>
              <w:rPr>
                <w:rFonts w:ascii="Arial" w:cs="Arial" w:eastAsia="Arial" w:hAnsi="Arial"/>
                <w:sz w:val="16"/>
                <w:szCs w:val="16"/>
                <w:color w:val="auto"/>
              </w:rPr>
              <w:t>89,500</w:t>
            </w:r>
          </w:p>
        </w:tc>
        <w:tc>
          <w:tcPr>
            <w:tcW w:w="1260" w:type="dxa"/>
            <w:vAlign w:val="bottom"/>
          </w:tcPr>
          <w:p>
            <w:pPr>
              <w:jc w:val="right"/>
              <w:ind w:right="181"/>
              <w:spacing w:after="0"/>
              <w:rPr>
                <w:sz w:val="20"/>
                <w:szCs w:val="20"/>
                <w:color w:val="auto"/>
              </w:rPr>
            </w:pPr>
            <w:r>
              <w:rPr>
                <w:rFonts w:ascii="Arial" w:cs="Arial" w:eastAsia="Arial" w:hAnsi="Arial"/>
                <w:sz w:val="16"/>
                <w:szCs w:val="16"/>
                <w:color w:val="auto"/>
              </w:rPr>
              <w:t>64,986</w:t>
            </w:r>
          </w:p>
        </w:tc>
        <w:tc>
          <w:tcPr>
            <w:tcW w:w="1180" w:type="dxa"/>
            <w:vAlign w:val="bottom"/>
          </w:tcPr>
          <w:p>
            <w:pPr>
              <w:ind w:left="860"/>
              <w:spacing w:after="0"/>
              <w:rPr>
                <w:sz w:val="20"/>
                <w:szCs w:val="20"/>
                <w:color w:val="auto"/>
              </w:rPr>
            </w:pPr>
            <w:r>
              <w:rPr>
                <w:rFonts w:ascii="Arial" w:cs="Arial" w:eastAsia="Arial" w:hAnsi="Arial"/>
                <w:sz w:val="16"/>
                <w:szCs w:val="16"/>
                <w:color w:val="auto"/>
              </w:rPr>
              <w:t>—</w:t>
            </w:r>
          </w:p>
        </w:tc>
        <w:tc>
          <w:tcPr>
            <w:tcW w:w="1280" w:type="dxa"/>
            <w:vAlign w:val="bottom"/>
          </w:tcPr>
          <w:p>
            <w:pPr>
              <w:ind w:left="940"/>
              <w:spacing w:after="0"/>
              <w:rPr>
                <w:sz w:val="20"/>
                <w:szCs w:val="20"/>
                <w:color w:val="auto"/>
              </w:rPr>
            </w:pPr>
            <w:r>
              <w:rPr>
                <w:rFonts w:ascii="Arial" w:cs="Arial" w:eastAsia="Arial" w:hAnsi="Arial"/>
                <w:sz w:val="16"/>
                <w:szCs w:val="16"/>
                <w:color w:val="auto"/>
              </w:rPr>
              <w:t>—</w:t>
            </w:r>
          </w:p>
        </w:tc>
        <w:tc>
          <w:tcPr>
            <w:tcW w:w="1280" w:type="dxa"/>
            <w:vAlign w:val="bottom"/>
          </w:tcPr>
          <w:p>
            <w:pPr>
              <w:ind w:left="960"/>
              <w:spacing w:after="0"/>
              <w:rPr>
                <w:sz w:val="20"/>
                <w:szCs w:val="20"/>
                <w:color w:val="auto"/>
              </w:rPr>
            </w:pPr>
            <w:r>
              <w:rPr>
                <w:rFonts w:ascii="Arial" w:cs="Arial" w:eastAsia="Arial" w:hAnsi="Arial"/>
                <w:sz w:val="16"/>
                <w:szCs w:val="16"/>
                <w:color w:val="auto"/>
              </w:rPr>
              <w:t>—</w:t>
            </w:r>
          </w:p>
        </w:tc>
        <w:tc>
          <w:tcPr>
            <w:tcW w:w="1420" w:type="dxa"/>
            <w:vAlign w:val="bottom"/>
          </w:tcPr>
          <w:p>
            <w:pPr>
              <w:ind w:left="96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right"/>
              <w:ind w:right="61"/>
              <w:spacing w:after="0"/>
              <w:rPr>
                <w:sz w:val="20"/>
                <w:szCs w:val="20"/>
                <w:color w:val="auto"/>
              </w:rPr>
            </w:pPr>
            <w:r>
              <w:rPr>
                <w:rFonts w:ascii="Arial" w:cs="Arial" w:eastAsia="Arial" w:hAnsi="Arial"/>
                <w:sz w:val="16"/>
                <w:szCs w:val="16"/>
                <w:color w:val="auto"/>
              </w:rPr>
              <w:t>154,486</w:t>
            </w:r>
          </w:p>
        </w:tc>
        <w:tc>
          <w:tcPr>
            <w:tcW w:w="0" w:type="dxa"/>
            <w:vAlign w:val="bottom"/>
          </w:tcPr>
          <w:p>
            <w:pPr>
              <w:spacing w:after="0"/>
              <w:rPr>
                <w:sz w:val="1"/>
                <w:szCs w:val="1"/>
                <w:color w:val="auto"/>
              </w:rPr>
            </w:pPr>
          </w:p>
        </w:tc>
      </w:tr>
      <w:tr>
        <w:trPr>
          <w:trHeight w:val="214"/>
        </w:trPr>
        <w:tc>
          <w:tcPr>
            <w:tcW w:w="2040" w:type="dxa"/>
            <w:vAlign w:val="bottom"/>
            <w:tcBorders>
              <w:left w:val="single" w:sz="8" w:color="auto"/>
            </w:tcBorders>
          </w:tcPr>
          <w:p>
            <w:pPr>
              <w:ind w:left="140"/>
              <w:spacing w:after="0"/>
              <w:rPr>
                <w:sz w:val="20"/>
                <w:szCs w:val="20"/>
                <w:color w:val="auto"/>
              </w:rPr>
            </w:pPr>
            <w:r>
              <w:rPr>
                <w:rFonts w:ascii="Arial" w:cs="Arial" w:eastAsia="Arial" w:hAnsi="Arial"/>
                <w:sz w:val="16"/>
                <w:szCs w:val="16"/>
                <w:color w:val="auto"/>
              </w:rPr>
              <w:t>Kent T. Lucien</w:t>
            </w:r>
          </w:p>
        </w:tc>
        <w:tc>
          <w:tcPr>
            <w:tcW w:w="1640" w:type="dxa"/>
            <w:vAlign w:val="bottom"/>
          </w:tcPr>
          <w:p>
            <w:pPr>
              <w:jc w:val="right"/>
              <w:ind w:right="182"/>
              <w:spacing w:after="0"/>
              <w:rPr>
                <w:sz w:val="20"/>
                <w:szCs w:val="20"/>
                <w:color w:val="auto"/>
              </w:rPr>
            </w:pPr>
            <w:r>
              <w:rPr>
                <w:rFonts w:ascii="Arial" w:cs="Arial" w:eastAsia="Arial" w:hAnsi="Arial"/>
                <w:sz w:val="16"/>
                <w:szCs w:val="16"/>
                <w:color w:val="auto"/>
              </w:rPr>
              <w:t>78,500</w:t>
            </w:r>
          </w:p>
        </w:tc>
        <w:tc>
          <w:tcPr>
            <w:tcW w:w="1260" w:type="dxa"/>
            <w:vAlign w:val="bottom"/>
          </w:tcPr>
          <w:p>
            <w:pPr>
              <w:jc w:val="right"/>
              <w:ind w:right="181"/>
              <w:spacing w:after="0"/>
              <w:rPr>
                <w:sz w:val="20"/>
                <w:szCs w:val="20"/>
                <w:color w:val="auto"/>
              </w:rPr>
            </w:pPr>
            <w:r>
              <w:rPr>
                <w:rFonts w:ascii="Arial" w:cs="Arial" w:eastAsia="Arial" w:hAnsi="Arial"/>
                <w:sz w:val="16"/>
                <w:szCs w:val="16"/>
                <w:color w:val="auto"/>
              </w:rPr>
              <w:t>64,986</w:t>
            </w:r>
          </w:p>
        </w:tc>
        <w:tc>
          <w:tcPr>
            <w:tcW w:w="1180" w:type="dxa"/>
            <w:vAlign w:val="bottom"/>
          </w:tcPr>
          <w:p>
            <w:pPr>
              <w:ind w:left="860"/>
              <w:spacing w:after="0"/>
              <w:rPr>
                <w:sz w:val="20"/>
                <w:szCs w:val="20"/>
                <w:color w:val="auto"/>
              </w:rPr>
            </w:pPr>
            <w:r>
              <w:rPr>
                <w:rFonts w:ascii="Arial" w:cs="Arial" w:eastAsia="Arial" w:hAnsi="Arial"/>
                <w:sz w:val="16"/>
                <w:szCs w:val="16"/>
                <w:color w:val="auto"/>
              </w:rPr>
              <w:t>—</w:t>
            </w:r>
          </w:p>
        </w:tc>
        <w:tc>
          <w:tcPr>
            <w:tcW w:w="1280" w:type="dxa"/>
            <w:vAlign w:val="bottom"/>
          </w:tcPr>
          <w:p>
            <w:pPr>
              <w:ind w:left="940"/>
              <w:spacing w:after="0"/>
              <w:rPr>
                <w:sz w:val="20"/>
                <w:szCs w:val="20"/>
                <w:color w:val="auto"/>
              </w:rPr>
            </w:pPr>
            <w:r>
              <w:rPr>
                <w:rFonts w:ascii="Arial" w:cs="Arial" w:eastAsia="Arial" w:hAnsi="Arial"/>
                <w:sz w:val="16"/>
                <w:szCs w:val="16"/>
                <w:color w:val="auto"/>
              </w:rPr>
              <w:t>—</w:t>
            </w:r>
          </w:p>
        </w:tc>
        <w:tc>
          <w:tcPr>
            <w:tcW w:w="1280" w:type="dxa"/>
            <w:vAlign w:val="bottom"/>
          </w:tcPr>
          <w:p>
            <w:pPr>
              <w:ind w:left="960"/>
              <w:spacing w:after="0"/>
              <w:rPr>
                <w:sz w:val="20"/>
                <w:szCs w:val="20"/>
                <w:color w:val="auto"/>
              </w:rPr>
            </w:pPr>
            <w:r>
              <w:rPr>
                <w:rFonts w:ascii="Arial" w:cs="Arial" w:eastAsia="Arial" w:hAnsi="Arial"/>
                <w:sz w:val="16"/>
                <w:szCs w:val="16"/>
                <w:color w:val="auto"/>
              </w:rPr>
              <w:t>—</w:t>
            </w:r>
          </w:p>
        </w:tc>
        <w:tc>
          <w:tcPr>
            <w:tcW w:w="1420" w:type="dxa"/>
            <w:vAlign w:val="bottom"/>
          </w:tcPr>
          <w:p>
            <w:pPr>
              <w:ind w:left="96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right"/>
              <w:ind w:right="61"/>
              <w:spacing w:after="0"/>
              <w:rPr>
                <w:sz w:val="20"/>
                <w:szCs w:val="20"/>
                <w:color w:val="auto"/>
              </w:rPr>
            </w:pPr>
            <w:r>
              <w:rPr>
                <w:rFonts w:ascii="Arial" w:cs="Arial" w:eastAsia="Arial" w:hAnsi="Arial"/>
                <w:sz w:val="16"/>
                <w:szCs w:val="16"/>
                <w:color w:val="auto"/>
              </w:rPr>
              <w:t>143,486</w:t>
            </w:r>
          </w:p>
        </w:tc>
        <w:tc>
          <w:tcPr>
            <w:tcW w:w="0" w:type="dxa"/>
            <w:vAlign w:val="bottom"/>
          </w:tcPr>
          <w:p>
            <w:pPr>
              <w:spacing w:after="0"/>
              <w:rPr>
                <w:sz w:val="1"/>
                <w:szCs w:val="1"/>
                <w:color w:val="auto"/>
              </w:rPr>
            </w:pPr>
          </w:p>
        </w:tc>
      </w:tr>
      <w:tr>
        <w:trPr>
          <w:trHeight w:val="214"/>
        </w:trPr>
        <w:tc>
          <w:tcPr>
            <w:tcW w:w="2040" w:type="dxa"/>
            <w:vAlign w:val="bottom"/>
            <w:tcBorders>
              <w:left w:val="single" w:sz="8" w:color="auto"/>
            </w:tcBorders>
          </w:tcPr>
          <w:p>
            <w:pPr>
              <w:ind w:left="140"/>
              <w:spacing w:after="0"/>
              <w:rPr>
                <w:sz w:val="20"/>
                <w:szCs w:val="20"/>
                <w:color w:val="auto"/>
              </w:rPr>
            </w:pPr>
            <w:r>
              <w:rPr>
                <w:rFonts w:ascii="Arial" w:cs="Arial" w:eastAsia="Arial" w:hAnsi="Arial"/>
                <w:sz w:val="16"/>
                <w:szCs w:val="16"/>
                <w:color w:val="auto"/>
              </w:rPr>
              <w:t>Elliot K. Mills</w:t>
            </w:r>
          </w:p>
        </w:tc>
        <w:tc>
          <w:tcPr>
            <w:tcW w:w="1640" w:type="dxa"/>
            <w:vAlign w:val="bottom"/>
          </w:tcPr>
          <w:p>
            <w:pPr>
              <w:jc w:val="right"/>
              <w:ind w:right="182"/>
              <w:spacing w:after="0"/>
              <w:rPr>
                <w:sz w:val="20"/>
                <w:szCs w:val="20"/>
                <w:color w:val="auto"/>
              </w:rPr>
            </w:pPr>
            <w:r>
              <w:rPr>
                <w:rFonts w:ascii="Arial" w:cs="Arial" w:eastAsia="Arial" w:hAnsi="Arial"/>
                <w:sz w:val="16"/>
                <w:szCs w:val="16"/>
                <w:color w:val="auto"/>
              </w:rPr>
              <w:t>21,125</w:t>
            </w:r>
          </w:p>
        </w:tc>
        <w:tc>
          <w:tcPr>
            <w:tcW w:w="1260" w:type="dxa"/>
            <w:vAlign w:val="bottom"/>
          </w:tcPr>
          <w:p>
            <w:pPr>
              <w:jc w:val="right"/>
              <w:ind w:right="181"/>
              <w:spacing w:after="0"/>
              <w:rPr>
                <w:sz w:val="20"/>
                <w:szCs w:val="20"/>
                <w:color w:val="auto"/>
              </w:rPr>
            </w:pPr>
            <w:r>
              <w:rPr>
                <w:rFonts w:ascii="Arial" w:cs="Arial" w:eastAsia="Arial" w:hAnsi="Arial"/>
                <w:sz w:val="16"/>
                <w:szCs w:val="16"/>
                <w:color w:val="auto"/>
              </w:rPr>
              <w:t>32,509</w:t>
            </w:r>
          </w:p>
        </w:tc>
        <w:tc>
          <w:tcPr>
            <w:tcW w:w="1180" w:type="dxa"/>
            <w:vAlign w:val="bottom"/>
          </w:tcPr>
          <w:p>
            <w:pPr>
              <w:ind w:left="860"/>
              <w:spacing w:after="0"/>
              <w:rPr>
                <w:sz w:val="20"/>
                <w:szCs w:val="20"/>
                <w:color w:val="auto"/>
              </w:rPr>
            </w:pPr>
            <w:r>
              <w:rPr>
                <w:rFonts w:ascii="Arial" w:cs="Arial" w:eastAsia="Arial" w:hAnsi="Arial"/>
                <w:sz w:val="16"/>
                <w:szCs w:val="16"/>
                <w:color w:val="auto"/>
              </w:rPr>
              <w:t>—</w:t>
            </w:r>
          </w:p>
        </w:tc>
        <w:tc>
          <w:tcPr>
            <w:tcW w:w="1280" w:type="dxa"/>
            <w:vAlign w:val="bottom"/>
          </w:tcPr>
          <w:p>
            <w:pPr>
              <w:ind w:left="940"/>
              <w:spacing w:after="0"/>
              <w:rPr>
                <w:sz w:val="20"/>
                <w:szCs w:val="20"/>
                <w:color w:val="auto"/>
              </w:rPr>
            </w:pPr>
            <w:r>
              <w:rPr>
                <w:rFonts w:ascii="Arial" w:cs="Arial" w:eastAsia="Arial" w:hAnsi="Arial"/>
                <w:sz w:val="16"/>
                <w:szCs w:val="16"/>
                <w:color w:val="auto"/>
              </w:rPr>
              <w:t>—</w:t>
            </w:r>
          </w:p>
        </w:tc>
        <w:tc>
          <w:tcPr>
            <w:tcW w:w="1280" w:type="dxa"/>
            <w:vAlign w:val="bottom"/>
          </w:tcPr>
          <w:p>
            <w:pPr>
              <w:ind w:left="960"/>
              <w:spacing w:after="0"/>
              <w:rPr>
                <w:sz w:val="20"/>
                <w:szCs w:val="20"/>
                <w:color w:val="auto"/>
              </w:rPr>
            </w:pPr>
            <w:r>
              <w:rPr>
                <w:rFonts w:ascii="Arial" w:cs="Arial" w:eastAsia="Arial" w:hAnsi="Arial"/>
                <w:sz w:val="16"/>
                <w:szCs w:val="16"/>
                <w:color w:val="auto"/>
              </w:rPr>
              <w:t>—</w:t>
            </w:r>
          </w:p>
        </w:tc>
        <w:tc>
          <w:tcPr>
            <w:tcW w:w="1420" w:type="dxa"/>
            <w:vAlign w:val="bottom"/>
          </w:tcPr>
          <w:p>
            <w:pPr>
              <w:ind w:left="96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right"/>
              <w:ind w:right="61"/>
              <w:spacing w:after="0"/>
              <w:rPr>
                <w:sz w:val="20"/>
                <w:szCs w:val="20"/>
                <w:color w:val="auto"/>
              </w:rPr>
            </w:pPr>
            <w:r>
              <w:rPr>
                <w:rFonts w:ascii="Arial" w:cs="Arial" w:eastAsia="Arial" w:hAnsi="Arial"/>
                <w:sz w:val="16"/>
                <w:szCs w:val="16"/>
                <w:color w:val="auto"/>
              </w:rPr>
              <w:t>53,634</w:t>
            </w:r>
          </w:p>
        </w:tc>
        <w:tc>
          <w:tcPr>
            <w:tcW w:w="0" w:type="dxa"/>
            <w:vAlign w:val="bottom"/>
          </w:tcPr>
          <w:p>
            <w:pPr>
              <w:spacing w:after="0"/>
              <w:rPr>
                <w:sz w:val="1"/>
                <w:szCs w:val="1"/>
                <w:color w:val="auto"/>
              </w:rPr>
            </w:pPr>
          </w:p>
        </w:tc>
      </w:tr>
      <w:tr>
        <w:trPr>
          <w:trHeight w:val="214"/>
        </w:trPr>
        <w:tc>
          <w:tcPr>
            <w:tcW w:w="2040" w:type="dxa"/>
            <w:vAlign w:val="bottom"/>
            <w:tcBorders>
              <w:left w:val="single" w:sz="8" w:color="auto"/>
            </w:tcBorders>
          </w:tcPr>
          <w:p>
            <w:pPr>
              <w:ind w:left="140"/>
              <w:spacing w:after="0"/>
              <w:rPr>
                <w:sz w:val="20"/>
                <w:szCs w:val="20"/>
                <w:color w:val="auto"/>
              </w:rPr>
            </w:pPr>
            <w:r>
              <w:rPr>
                <w:rFonts w:ascii="Arial" w:cs="Arial" w:eastAsia="Arial" w:hAnsi="Arial"/>
                <w:sz w:val="16"/>
                <w:szCs w:val="16"/>
                <w:color w:val="auto"/>
              </w:rPr>
              <w:t>Alicia E. Moy</w:t>
            </w:r>
          </w:p>
        </w:tc>
        <w:tc>
          <w:tcPr>
            <w:tcW w:w="1640" w:type="dxa"/>
            <w:vAlign w:val="bottom"/>
          </w:tcPr>
          <w:p>
            <w:pPr>
              <w:jc w:val="right"/>
              <w:ind w:right="182"/>
              <w:spacing w:after="0"/>
              <w:rPr>
                <w:sz w:val="20"/>
                <w:szCs w:val="20"/>
                <w:color w:val="auto"/>
              </w:rPr>
            </w:pPr>
            <w:r>
              <w:rPr>
                <w:rFonts w:ascii="Arial" w:cs="Arial" w:eastAsia="Arial" w:hAnsi="Arial"/>
                <w:sz w:val="16"/>
                <w:szCs w:val="16"/>
                <w:color w:val="auto"/>
              </w:rPr>
              <w:t>95,325</w:t>
            </w:r>
          </w:p>
        </w:tc>
        <w:tc>
          <w:tcPr>
            <w:tcW w:w="1260" w:type="dxa"/>
            <w:vAlign w:val="bottom"/>
          </w:tcPr>
          <w:p>
            <w:pPr>
              <w:jc w:val="right"/>
              <w:ind w:right="181"/>
              <w:spacing w:after="0"/>
              <w:rPr>
                <w:sz w:val="20"/>
                <w:szCs w:val="20"/>
                <w:color w:val="auto"/>
              </w:rPr>
            </w:pPr>
            <w:r>
              <w:rPr>
                <w:rFonts w:ascii="Arial" w:cs="Arial" w:eastAsia="Arial" w:hAnsi="Arial"/>
                <w:sz w:val="16"/>
                <w:szCs w:val="16"/>
                <w:color w:val="auto"/>
              </w:rPr>
              <w:t>64,986</w:t>
            </w:r>
          </w:p>
        </w:tc>
        <w:tc>
          <w:tcPr>
            <w:tcW w:w="1180" w:type="dxa"/>
            <w:vAlign w:val="bottom"/>
          </w:tcPr>
          <w:p>
            <w:pPr>
              <w:ind w:left="860"/>
              <w:spacing w:after="0"/>
              <w:rPr>
                <w:sz w:val="20"/>
                <w:szCs w:val="20"/>
                <w:color w:val="auto"/>
              </w:rPr>
            </w:pPr>
            <w:r>
              <w:rPr>
                <w:rFonts w:ascii="Arial" w:cs="Arial" w:eastAsia="Arial" w:hAnsi="Arial"/>
                <w:sz w:val="16"/>
                <w:szCs w:val="16"/>
                <w:color w:val="auto"/>
              </w:rPr>
              <w:t>—</w:t>
            </w:r>
          </w:p>
        </w:tc>
        <w:tc>
          <w:tcPr>
            <w:tcW w:w="1280" w:type="dxa"/>
            <w:vAlign w:val="bottom"/>
          </w:tcPr>
          <w:p>
            <w:pPr>
              <w:ind w:left="940"/>
              <w:spacing w:after="0"/>
              <w:rPr>
                <w:sz w:val="20"/>
                <w:szCs w:val="20"/>
                <w:color w:val="auto"/>
              </w:rPr>
            </w:pPr>
            <w:r>
              <w:rPr>
                <w:rFonts w:ascii="Arial" w:cs="Arial" w:eastAsia="Arial" w:hAnsi="Arial"/>
                <w:sz w:val="16"/>
                <w:szCs w:val="16"/>
                <w:color w:val="auto"/>
              </w:rPr>
              <w:t>—</w:t>
            </w:r>
          </w:p>
        </w:tc>
        <w:tc>
          <w:tcPr>
            <w:tcW w:w="1280" w:type="dxa"/>
            <w:vAlign w:val="bottom"/>
          </w:tcPr>
          <w:p>
            <w:pPr>
              <w:ind w:left="960"/>
              <w:spacing w:after="0"/>
              <w:rPr>
                <w:sz w:val="20"/>
                <w:szCs w:val="20"/>
                <w:color w:val="auto"/>
              </w:rPr>
            </w:pPr>
            <w:r>
              <w:rPr>
                <w:rFonts w:ascii="Arial" w:cs="Arial" w:eastAsia="Arial" w:hAnsi="Arial"/>
                <w:sz w:val="16"/>
                <w:szCs w:val="16"/>
                <w:color w:val="auto"/>
              </w:rPr>
              <w:t>—</w:t>
            </w:r>
          </w:p>
        </w:tc>
        <w:tc>
          <w:tcPr>
            <w:tcW w:w="1420" w:type="dxa"/>
            <w:vAlign w:val="bottom"/>
          </w:tcPr>
          <w:p>
            <w:pPr>
              <w:ind w:left="96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right"/>
              <w:ind w:right="61"/>
              <w:spacing w:after="0"/>
              <w:rPr>
                <w:sz w:val="20"/>
                <w:szCs w:val="20"/>
                <w:color w:val="auto"/>
              </w:rPr>
            </w:pPr>
            <w:r>
              <w:rPr>
                <w:rFonts w:ascii="Arial" w:cs="Arial" w:eastAsia="Arial" w:hAnsi="Arial"/>
                <w:sz w:val="16"/>
                <w:szCs w:val="16"/>
                <w:color w:val="auto"/>
              </w:rPr>
              <w:t>160,311</w:t>
            </w:r>
          </w:p>
        </w:tc>
        <w:tc>
          <w:tcPr>
            <w:tcW w:w="0" w:type="dxa"/>
            <w:vAlign w:val="bottom"/>
          </w:tcPr>
          <w:p>
            <w:pPr>
              <w:spacing w:after="0"/>
              <w:rPr>
                <w:sz w:val="1"/>
                <w:szCs w:val="1"/>
                <w:color w:val="auto"/>
              </w:rPr>
            </w:pPr>
          </w:p>
        </w:tc>
      </w:tr>
      <w:tr>
        <w:trPr>
          <w:trHeight w:val="214"/>
        </w:trPr>
        <w:tc>
          <w:tcPr>
            <w:tcW w:w="2040" w:type="dxa"/>
            <w:vAlign w:val="bottom"/>
            <w:tcBorders>
              <w:left w:val="single" w:sz="8" w:color="auto"/>
            </w:tcBorders>
          </w:tcPr>
          <w:p>
            <w:pPr>
              <w:ind w:left="140"/>
              <w:spacing w:after="0"/>
              <w:rPr>
                <w:sz w:val="20"/>
                <w:szCs w:val="20"/>
                <w:color w:val="auto"/>
              </w:rPr>
            </w:pPr>
            <w:r>
              <w:rPr>
                <w:rFonts w:ascii="Arial" w:cs="Arial" w:eastAsia="Arial" w:hAnsi="Arial"/>
                <w:sz w:val="16"/>
                <w:szCs w:val="16"/>
                <w:color w:val="auto"/>
              </w:rPr>
              <w:t>Victor K. Nichols</w:t>
            </w:r>
          </w:p>
        </w:tc>
        <w:tc>
          <w:tcPr>
            <w:tcW w:w="1640" w:type="dxa"/>
            <w:vAlign w:val="bottom"/>
          </w:tcPr>
          <w:p>
            <w:pPr>
              <w:jc w:val="right"/>
              <w:ind w:right="182"/>
              <w:spacing w:after="0"/>
              <w:rPr>
                <w:sz w:val="20"/>
                <w:szCs w:val="20"/>
                <w:color w:val="auto"/>
              </w:rPr>
            </w:pPr>
            <w:r>
              <w:rPr>
                <w:rFonts w:ascii="Arial" w:cs="Arial" w:eastAsia="Arial" w:hAnsi="Arial"/>
                <w:sz w:val="16"/>
                <w:szCs w:val="16"/>
                <w:color w:val="auto"/>
              </w:rPr>
              <w:t>103,325</w:t>
            </w:r>
          </w:p>
        </w:tc>
        <w:tc>
          <w:tcPr>
            <w:tcW w:w="1260" w:type="dxa"/>
            <w:vAlign w:val="bottom"/>
          </w:tcPr>
          <w:p>
            <w:pPr>
              <w:jc w:val="right"/>
              <w:ind w:right="181"/>
              <w:spacing w:after="0"/>
              <w:rPr>
                <w:sz w:val="20"/>
                <w:szCs w:val="20"/>
                <w:color w:val="auto"/>
              </w:rPr>
            </w:pPr>
            <w:r>
              <w:rPr>
                <w:rFonts w:ascii="Arial" w:cs="Arial" w:eastAsia="Arial" w:hAnsi="Arial"/>
                <w:sz w:val="16"/>
                <w:szCs w:val="16"/>
                <w:color w:val="auto"/>
              </w:rPr>
              <w:t>64,986</w:t>
            </w:r>
          </w:p>
        </w:tc>
        <w:tc>
          <w:tcPr>
            <w:tcW w:w="1180" w:type="dxa"/>
            <w:vAlign w:val="bottom"/>
          </w:tcPr>
          <w:p>
            <w:pPr>
              <w:ind w:left="860"/>
              <w:spacing w:after="0"/>
              <w:rPr>
                <w:sz w:val="20"/>
                <w:szCs w:val="20"/>
                <w:color w:val="auto"/>
              </w:rPr>
            </w:pPr>
            <w:r>
              <w:rPr>
                <w:rFonts w:ascii="Arial" w:cs="Arial" w:eastAsia="Arial" w:hAnsi="Arial"/>
                <w:sz w:val="16"/>
                <w:szCs w:val="16"/>
                <w:color w:val="auto"/>
              </w:rPr>
              <w:t>—</w:t>
            </w:r>
          </w:p>
        </w:tc>
        <w:tc>
          <w:tcPr>
            <w:tcW w:w="1280" w:type="dxa"/>
            <w:vAlign w:val="bottom"/>
          </w:tcPr>
          <w:p>
            <w:pPr>
              <w:ind w:left="940"/>
              <w:spacing w:after="0"/>
              <w:rPr>
                <w:sz w:val="20"/>
                <w:szCs w:val="20"/>
                <w:color w:val="auto"/>
              </w:rPr>
            </w:pPr>
            <w:r>
              <w:rPr>
                <w:rFonts w:ascii="Arial" w:cs="Arial" w:eastAsia="Arial" w:hAnsi="Arial"/>
                <w:sz w:val="16"/>
                <w:szCs w:val="16"/>
                <w:color w:val="auto"/>
              </w:rPr>
              <w:t>—</w:t>
            </w:r>
          </w:p>
        </w:tc>
        <w:tc>
          <w:tcPr>
            <w:tcW w:w="1280" w:type="dxa"/>
            <w:vAlign w:val="bottom"/>
          </w:tcPr>
          <w:p>
            <w:pPr>
              <w:ind w:left="960"/>
              <w:spacing w:after="0"/>
              <w:rPr>
                <w:sz w:val="20"/>
                <w:szCs w:val="20"/>
                <w:color w:val="auto"/>
              </w:rPr>
            </w:pPr>
            <w:r>
              <w:rPr>
                <w:rFonts w:ascii="Arial" w:cs="Arial" w:eastAsia="Arial" w:hAnsi="Arial"/>
                <w:sz w:val="16"/>
                <w:szCs w:val="16"/>
                <w:color w:val="auto"/>
              </w:rPr>
              <w:t>—</w:t>
            </w:r>
          </w:p>
        </w:tc>
        <w:tc>
          <w:tcPr>
            <w:tcW w:w="1420" w:type="dxa"/>
            <w:vAlign w:val="bottom"/>
          </w:tcPr>
          <w:p>
            <w:pPr>
              <w:ind w:left="96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right"/>
              <w:ind w:right="61"/>
              <w:spacing w:after="0"/>
              <w:rPr>
                <w:sz w:val="20"/>
                <w:szCs w:val="20"/>
                <w:color w:val="auto"/>
              </w:rPr>
            </w:pPr>
            <w:r>
              <w:rPr>
                <w:rFonts w:ascii="Arial" w:cs="Arial" w:eastAsia="Arial" w:hAnsi="Arial"/>
                <w:sz w:val="16"/>
                <w:szCs w:val="16"/>
                <w:color w:val="auto"/>
              </w:rPr>
              <w:t>168,311</w:t>
            </w:r>
          </w:p>
        </w:tc>
        <w:tc>
          <w:tcPr>
            <w:tcW w:w="0" w:type="dxa"/>
            <w:vAlign w:val="bottom"/>
          </w:tcPr>
          <w:p>
            <w:pPr>
              <w:spacing w:after="0"/>
              <w:rPr>
                <w:sz w:val="1"/>
                <w:szCs w:val="1"/>
                <w:color w:val="auto"/>
              </w:rPr>
            </w:pPr>
          </w:p>
        </w:tc>
      </w:tr>
      <w:tr>
        <w:trPr>
          <w:trHeight w:val="214"/>
        </w:trPr>
        <w:tc>
          <w:tcPr>
            <w:tcW w:w="2040" w:type="dxa"/>
            <w:vAlign w:val="bottom"/>
            <w:tcBorders>
              <w:left w:val="single" w:sz="8" w:color="auto"/>
            </w:tcBorders>
          </w:tcPr>
          <w:p>
            <w:pPr>
              <w:ind w:left="140"/>
              <w:spacing w:after="0"/>
              <w:rPr>
                <w:sz w:val="20"/>
                <w:szCs w:val="20"/>
                <w:color w:val="auto"/>
              </w:rPr>
            </w:pPr>
            <w:r>
              <w:rPr>
                <w:rFonts w:ascii="Arial" w:cs="Arial" w:eastAsia="Arial" w:hAnsi="Arial"/>
                <w:sz w:val="16"/>
                <w:szCs w:val="16"/>
                <w:color w:val="auto"/>
              </w:rPr>
              <w:t>Barbara J. Tanabe</w:t>
            </w:r>
          </w:p>
        </w:tc>
        <w:tc>
          <w:tcPr>
            <w:tcW w:w="1640" w:type="dxa"/>
            <w:vAlign w:val="bottom"/>
          </w:tcPr>
          <w:p>
            <w:pPr>
              <w:jc w:val="right"/>
              <w:ind w:right="182"/>
              <w:spacing w:after="0"/>
              <w:rPr>
                <w:sz w:val="20"/>
                <w:szCs w:val="20"/>
                <w:color w:val="auto"/>
              </w:rPr>
            </w:pPr>
            <w:r>
              <w:rPr>
                <w:rFonts w:ascii="Arial" w:cs="Arial" w:eastAsia="Arial" w:hAnsi="Arial"/>
                <w:sz w:val="16"/>
                <w:szCs w:val="16"/>
                <w:color w:val="auto"/>
              </w:rPr>
              <w:t>55,000</w:t>
            </w:r>
          </w:p>
        </w:tc>
        <w:tc>
          <w:tcPr>
            <w:tcW w:w="1260" w:type="dxa"/>
            <w:vAlign w:val="bottom"/>
          </w:tcPr>
          <w:p>
            <w:pPr>
              <w:jc w:val="right"/>
              <w:ind w:right="181"/>
              <w:spacing w:after="0"/>
              <w:rPr>
                <w:sz w:val="20"/>
                <w:szCs w:val="20"/>
                <w:color w:val="auto"/>
              </w:rPr>
            </w:pPr>
            <w:r>
              <w:rPr>
                <w:rFonts w:ascii="Arial" w:cs="Arial" w:eastAsia="Arial" w:hAnsi="Arial"/>
                <w:sz w:val="16"/>
                <w:szCs w:val="16"/>
                <w:color w:val="auto"/>
              </w:rPr>
              <w:t>64,986</w:t>
            </w:r>
          </w:p>
        </w:tc>
        <w:tc>
          <w:tcPr>
            <w:tcW w:w="1180" w:type="dxa"/>
            <w:vAlign w:val="bottom"/>
          </w:tcPr>
          <w:p>
            <w:pPr>
              <w:ind w:left="860"/>
              <w:spacing w:after="0"/>
              <w:rPr>
                <w:sz w:val="20"/>
                <w:szCs w:val="20"/>
                <w:color w:val="auto"/>
              </w:rPr>
            </w:pPr>
            <w:r>
              <w:rPr>
                <w:rFonts w:ascii="Arial" w:cs="Arial" w:eastAsia="Arial" w:hAnsi="Arial"/>
                <w:sz w:val="16"/>
                <w:szCs w:val="16"/>
                <w:color w:val="auto"/>
              </w:rPr>
              <w:t>—</w:t>
            </w:r>
          </w:p>
        </w:tc>
        <w:tc>
          <w:tcPr>
            <w:tcW w:w="1280" w:type="dxa"/>
            <w:vAlign w:val="bottom"/>
          </w:tcPr>
          <w:p>
            <w:pPr>
              <w:ind w:left="940"/>
              <w:spacing w:after="0"/>
              <w:rPr>
                <w:sz w:val="20"/>
                <w:szCs w:val="20"/>
                <w:color w:val="auto"/>
              </w:rPr>
            </w:pPr>
            <w:r>
              <w:rPr>
                <w:rFonts w:ascii="Arial" w:cs="Arial" w:eastAsia="Arial" w:hAnsi="Arial"/>
                <w:sz w:val="16"/>
                <w:szCs w:val="16"/>
                <w:color w:val="auto"/>
              </w:rPr>
              <w:t>—</w:t>
            </w:r>
          </w:p>
        </w:tc>
        <w:tc>
          <w:tcPr>
            <w:tcW w:w="1280" w:type="dxa"/>
            <w:vAlign w:val="bottom"/>
          </w:tcPr>
          <w:p>
            <w:pPr>
              <w:ind w:left="960"/>
              <w:spacing w:after="0"/>
              <w:rPr>
                <w:sz w:val="20"/>
                <w:szCs w:val="20"/>
                <w:color w:val="auto"/>
              </w:rPr>
            </w:pPr>
            <w:r>
              <w:rPr>
                <w:rFonts w:ascii="Arial" w:cs="Arial" w:eastAsia="Arial" w:hAnsi="Arial"/>
                <w:sz w:val="16"/>
                <w:szCs w:val="16"/>
                <w:color w:val="auto"/>
              </w:rPr>
              <w:t>—</w:t>
            </w:r>
          </w:p>
        </w:tc>
        <w:tc>
          <w:tcPr>
            <w:tcW w:w="1420" w:type="dxa"/>
            <w:vAlign w:val="bottom"/>
          </w:tcPr>
          <w:p>
            <w:pPr>
              <w:ind w:left="96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right"/>
              <w:ind w:right="61"/>
              <w:spacing w:after="0"/>
              <w:rPr>
                <w:sz w:val="20"/>
                <w:szCs w:val="20"/>
                <w:color w:val="auto"/>
              </w:rPr>
            </w:pPr>
            <w:r>
              <w:rPr>
                <w:rFonts w:ascii="Arial" w:cs="Arial" w:eastAsia="Arial" w:hAnsi="Arial"/>
                <w:sz w:val="16"/>
                <w:szCs w:val="16"/>
                <w:color w:val="auto"/>
              </w:rPr>
              <w:t>119,986</w:t>
            </w:r>
          </w:p>
        </w:tc>
        <w:tc>
          <w:tcPr>
            <w:tcW w:w="0" w:type="dxa"/>
            <w:vAlign w:val="bottom"/>
          </w:tcPr>
          <w:p>
            <w:pPr>
              <w:spacing w:after="0"/>
              <w:rPr>
                <w:sz w:val="1"/>
                <w:szCs w:val="1"/>
                <w:color w:val="auto"/>
              </w:rPr>
            </w:pPr>
          </w:p>
        </w:tc>
      </w:tr>
      <w:tr>
        <w:trPr>
          <w:trHeight w:val="214"/>
        </w:trPr>
        <w:tc>
          <w:tcPr>
            <w:tcW w:w="2040" w:type="dxa"/>
            <w:vAlign w:val="bottom"/>
            <w:tcBorders>
              <w:left w:val="single" w:sz="8" w:color="auto"/>
            </w:tcBorders>
          </w:tcPr>
          <w:p>
            <w:pPr>
              <w:ind w:left="140"/>
              <w:spacing w:after="0"/>
              <w:rPr>
                <w:sz w:val="20"/>
                <w:szCs w:val="20"/>
                <w:color w:val="auto"/>
              </w:rPr>
            </w:pPr>
            <w:r>
              <w:rPr>
                <w:rFonts w:ascii="Arial" w:cs="Arial" w:eastAsia="Arial" w:hAnsi="Arial"/>
                <w:sz w:val="16"/>
                <w:szCs w:val="16"/>
                <w:color w:val="auto"/>
              </w:rPr>
              <w:t>Dana M. Tokioka</w:t>
            </w:r>
          </w:p>
        </w:tc>
        <w:tc>
          <w:tcPr>
            <w:tcW w:w="1640" w:type="dxa"/>
            <w:vAlign w:val="bottom"/>
          </w:tcPr>
          <w:p>
            <w:pPr>
              <w:jc w:val="right"/>
              <w:ind w:right="182"/>
              <w:spacing w:after="0"/>
              <w:rPr>
                <w:sz w:val="20"/>
                <w:szCs w:val="20"/>
                <w:color w:val="auto"/>
              </w:rPr>
            </w:pPr>
            <w:r>
              <w:rPr>
                <w:rFonts w:ascii="Arial" w:cs="Arial" w:eastAsia="Arial" w:hAnsi="Arial"/>
                <w:sz w:val="16"/>
                <w:szCs w:val="16"/>
                <w:color w:val="auto"/>
              </w:rPr>
              <w:t>72,000</w:t>
            </w:r>
          </w:p>
        </w:tc>
        <w:tc>
          <w:tcPr>
            <w:tcW w:w="1260" w:type="dxa"/>
            <w:vAlign w:val="bottom"/>
          </w:tcPr>
          <w:p>
            <w:pPr>
              <w:jc w:val="right"/>
              <w:ind w:right="181"/>
              <w:spacing w:after="0"/>
              <w:rPr>
                <w:sz w:val="20"/>
                <w:szCs w:val="20"/>
                <w:color w:val="auto"/>
              </w:rPr>
            </w:pPr>
            <w:r>
              <w:rPr>
                <w:rFonts w:ascii="Arial" w:cs="Arial" w:eastAsia="Arial" w:hAnsi="Arial"/>
                <w:sz w:val="16"/>
                <w:szCs w:val="16"/>
                <w:color w:val="auto"/>
              </w:rPr>
              <w:t>64,986</w:t>
            </w:r>
          </w:p>
        </w:tc>
        <w:tc>
          <w:tcPr>
            <w:tcW w:w="1180" w:type="dxa"/>
            <w:vAlign w:val="bottom"/>
          </w:tcPr>
          <w:p>
            <w:pPr>
              <w:ind w:left="860"/>
              <w:spacing w:after="0"/>
              <w:rPr>
                <w:sz w:val="20"/>
                <w:szCs w:val="20"/>
                <w:color w:val="auto"/>
              </w:rPr>
            </w:pPr>
            <w:r>
              <w:rPr>
                <w:rFonts w:ascii="Arial" w:cs="Arial" w:eastAsia="Arial" w:hAnsi="Arial"/>
                <w:sz w:val="16"/>
                <w:szCs w:val="16"/>
                <w:color w:val="auto"/>
              </w:rPr>
              <w:t>—</w:t>
            </w:r>
          </w:p>
        </w:tc>
        <w:tc>
          <w:tcPr>
            <w:tcW w:w="1280" w:type="dxa"/>
            <w:vAlign w:val="bottom"/>
          </w:tcPr>
          <w:p>
            <w:pPr>
              <w:ind w:left="940"/>
              <w:spacing w:after="0"/>
              <w:rPr>
                <w:sz w:val="20"/>
                <w:szCs w:val="20"/>
                <w:color w:val="auto"/>
              </w:rPr>
            </w:pPr>
            <w:r>
              <w:rPr>
                <w:rFonts w:ascii="Arial" w:cs="Arial" w:eastAsia="Arial" w:hAnsi="Arial"/>
                <w:sz w:val="16"/>
                <w:szCs w:val="16"/>
                <w:color w:val="auto"/>
              </w:rPr>
              <w:t>—</w:t>
            </w:r>
          </w:p>
        </w:tc>
        <w:tc>
          <w:tcPr>
            <w:tcW w:w="1280" w:type="dxa"/>
            <w:vAlign w:val="bottom"/>
          </w:tcPr>
          <w:p>
            <w:pPr>
              <w:ind w:left="960"/>
              <w:spacing w:after="0"/>
              <w:rPr>
                <w:sz w:val="20"/>
                <w:szCs w:val="20"/>
                <w:color w:val="auto"/>
              </w:rPr>
            </w:pPr>
            <w:r>
              <w:rPr>
                <w:rFonts w:ascii="Arial" w:cs="Arial" w:eastAsia="Arial" w:hAnsi="Arial"/>
                <w:sz w:val="16"/>
                <w:szCs w:val="16"/>
                <w:color w:val="auto"/>
              </w:rPr>
              <w:t>—</w:t>
            </w:r>
          </w:p>
        </w:tc>
        <w:tc>
          <w:tcPr>
            <w:tcW w:w="1420" w:type="dxa"/>
            <w:vAlign w:val="bottom"/>
          </w:tcPr>
          <w:p>
            <w:pPr>
              <w:ind w:left="96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right"/>
              <w:ind w:right="61"/>
              <w:spacing w:after="0"/>
              <w:rPr>
                <w:sz w:val="20"/>
                <w:szCs w:val="20"/>
                <w:color w:val="auto"/>
              </w:rPr>
            </w:pPr>
            <w:r>
              <w:rPr>
                <w:rFonts w:ascii="Arial" w:cs="Arial" w:eastAsia="Arial" w:hAnsi="Arial"/>
                <w:sz w:val="16"/>
                <w:szCs w:val="16"/>
                <w:color w:val="auto"/>
              </w:rPr>
              <w:t>136,986</w:t>
            </w:r>
          </w:p>
        </w:tc>
        <w:tc>
          <w:tcPr>
            <w:tcW w:w="0" w:type="dxa"/>
            <w:vAlign w:val="bottom"/>
          </w:tcPr>
          <w:p>
            <w:pPr>
              <w:spacing w:after="0"/>
              <w:rPr>
                <w:sz w:val="1"/>
                <w:szCs w:val="1"/>
                <w:color w:val="auto"/>
              </w:rPr>
            </w:pPr>
          </w:p>
        </w:tc>
      </w:tr>
      <w:tr>
        <w:trPr>
          <w:trHeight w:val="214"/>
        </w:trPr>
        <w:tc>
          <w:tcPr>
            <w:tcW w:w="2040" w:type="dxa"/>
            <w:vAlign w:val="bottom"/>
            <w:tcBorders>
              <w:left w:val="single" w:sz="8" w:color="auto"/>
            </w:tcBorders>
          </w:tcPr>
          <w:p>
            <w:pPr>
              <w:ind w:left="140"/>
              <w:spacing w:after="0"/>
              <w:rPr>
                <w:sz w:val="20"/>
                <w:szCs w:val="20"/>
                <w:color w:val="auto"/>
              </w:rPr>
            </w:pPr>
            <w:r>
              <w:rPr>
                <w:rFonts w:ascii="Arial" w:cs="Arial" w:eastAsia="Arial" w:hAnsi="Arial"/>
                <w:sz w:val="16"/>
                <w:szCs w:val="16"/>
                <w:color w:val="auto"/>
              </w:rPr>
              <w:t>Raymond P. Vara, Jr.</w:t>
            </w:r>
          </w:p>
        </w:tc>
        <w:tc>
          <w:tcPr>
            <w:tcW w:w="1640" w:type="dxa"/>
            <w:vAlign w:val="bottom"/>
          </w:tcPr>
          <w:p>
            <w:pPr>
              <w:jc w:val="right"/>
              <w:ind w:right="182"/>
              <w:spacing w:after="0"/>
              <w:rPr>
                <w:sz w:val="20"/>
                <w:szCs w:val="20"/>
                <w:color w:val="auto"/>
              </w:rPr>
            </w:pPr>
            <w:r>
              <w:rPr>
                <w:rFonts w:ascii="Arial" w:cs="Arial" w:eastAsia="Arial" w:hAnsi="Arial"/>
                <w:sz w:val="16"/>
                <w:szCs w:val="16"/>
                <w:color w:val="auto"/>
              </w:rPr>
              <w:t>142,825</w:t>
            </w:r>
          </w:p>
        </w:tc>
        <w:tc>
          <w:tcPr>
            <w:tcW w:w="1260" w:type="dxa"/>
            <w:vAlign w:val="bottom"/>
          </w:tcPr>
          <w:p>
            <w:pPr>
              <w:jc w:val="right"/>
              <w:ind w:right="181"/>
              <w:spacing w:after="0"/>
              <w:rPr>
                <w:sz w:val="20"/>
                <w:szCs w:val="20"/>
                <w:color w:val="auto"/>
              </w:rPr>
            </w:pPr>
            <w:r>
              <w:rPr>
                <w:rFonts w:ascii="Arial" w:cs="Arial" w:eastAsia="Arial" w:hAnsi="Arial"/>
                <w:sz w:val="16"/>
                <w:szCs w:val="16"/>
                <w:color w:val="auto"/>
              </w:rPr>
              <w:t>64,986</w:t>
            </w:r>
          </w:p>
        </w:tc>
        <w:tc>
          <w:tcPr>
            <w:tcW w:w="1180" w:type="dxa"/>
            <w:vAlign w:val="bottom"/>
          </w:tcPr>
          <w:p>
            <w:pPr>
              <w:ind w:left="860"/>
              <w:spacing w:after="0"/>
              <w:rPr>
                <w:sz w:val="20"/>
                <w:szCs w:val="20"/>
                <w:color w:val="auto"/>
              </w:rPr>
            </w:pPr>
            <w:r>
              <w:rPr>
                <w:rFonts w:ascii="Arial" w:cs="Arial" w:eastAsia="Arial" w:hAnsi="Arial"/>
                <w:sz w:val="16"/>
                <w:szCs w:val="16"/>
                <w:color w:val="auto"/>
              </w:rPr>
              <w:t>—</w:t>
            </w:r>
          </w:p>
        </w:tc>
        <w:tc>
          <w:tcPr>
            <w:tcW w:w="1280" w:type="dxa"/>
            <w:vAlign w:val="bottom"/>
          </w:tcPr>
          <w:p>
            <w:pPr>
              <w:ind w:left="940"/>
              <w:spacing w:after="0"/>
              <w:rPr>
                <w:sz w:val="20"/>
                <w:szCs w:val="20"/>
                <w:color w:val="auto"/>
              </w:rPr>
            </w:pPr>
            <w:r>
              <w:rPr>
                <w:rFonts w:ascii="Arial" w:cs="Arial" w:eastAsia="Arial" w:hAnsi="Arial"/>
                <w:sz w:val="16"/>
                <w:szCs w:val="16"/>
                <w:color w:val="auto"/>
              </w:rPr>
              <w:t>—</w:t>
            </w:r>
          </w:p>
        </w:tc>
        <w:tc>
          <w:tcPr>
            <w:tcW w:w="1280" w:type="dxa"/>
            <w:vAlign w:val="bottom"/>
          </w:tcPr>
          <w:p>
            <w:pPr>
              <w:ind w:left="960"/>
              <w:spacing w:after="0"/>
              <w:rPr>
                <w:sz w:val="20"/>
                <w:szCs w:val="20"/>
                <w:color w:val="auto"/>
              </w:rPr>
            </w:pPr>
            <w:r>
              <w:rPr>
                <w:rFonts w:ascii="Arial" w:cs="Arial" w:eastAsia="Arial" w:hAnsi="Arial"/>
                <w:sz w:val="16"/>
                <w:szCs w:val="16"/>
                <w:color w:val="auto"/>
              </w:rPr>
              <w:t>—</w:t>
            </w:r>
          </w:p>
        </w:tc>
        <w:tc>
          <w:tcPr>
            <w:tcW w:w="1420" w:type="dxa"/>
            <w:vAlign w:val="bottom"/>
          </w:tcPr>
          <w:p>
            <w:pPr>
              <w:ind w:left="96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right"/>
              <w:ind w:right="61"/>
              <w:spacing w:after="0"/>
              <w:rPr>
                <w:sz w:val="20"/>
                <w:szCs w:val="20"/>
                <w:color w:val="auto"/>
              </w:rPr>
            </w:pPr>
            <w:r>
              <w:rPr>
                <w:rFonts w:ascii="Arial" w:cs="Arial" w:eastAsia="Arial" w:hAnsi="Arial"/>
                <w:sz w:val="16"/>
                <w:szCs w:val="16"/>
                <w:color w:val="auto"/>
              </w:rPr>
              <w:t>207,811</w:t>
            </w:r>
          </w:p>
        </w:tc>
        <w:tc>
          <w:tcPr>
            <w:tcW w:w="0" w:type="dxa"/>
            <w:vAlign w:val="bottom"/>
          </w:tcPr>
          <w:p>
            <w:pPr>
              <w:spacing w:after="0"/>
              <w:rPr>
                <w:sz w:val="1"/>
                <w:szCs w:val="1"/>
                <w:color w:val="auto"/>
              </w:rPr>
            </w:pPr>
          </w:p>
        </w:tc>
      </w:tr>
      <w:tr>
        <w:trPr>
          <w:trHeight w:val="214"/>
        </w:trPr>
        <w:tc>
          <w:tcPr>
            <w:tcW w:w="2040" w:type="dxa"/>
            <w:vAlign w:val="bottom"/>
            <w:tcBorders>
              <w:left w:val="single" w:sz="8" w:color="auto"/>
            </w:tcBorders>
          </w:tcPr>
          <w:p>
            <w:pPr>
              <w:ind w:left="140"/>
              <w:spacing w:after="0"/>
              <w:rPr>
                <w:sz w:val="20"/>
                <w:szCs w:val="20"/>
                <w:color w:val="auto"/>
              </w:rPr>
            </w:pPr>
            <w:r>
              <w:rPr>
                <w:rFonts w:ascii="Arial" w:cs="Arial" w:eastAsia="Arial" w:hAnsi="Arial"/>
                <w:sz w:val="16"/>
                <w:szCs w:val="16"/>
                <w:color w:val="auto"/>
              </w:rPr>
              <w:t>Robert W. Wo</w:t>
            </w:r>
          </w:p>
        </w:tc>
        <w:tc>
          <w:tcPr>
            <w:tcW w:w="1640" w:type="dxa"/>
            <w:vAlign w:val="bottom"/>
          </w:tcPr>
          <w:p>
            <w:pPr>
              <w:jc w:val="right"/>
              <w:ind w:right="182"/>
              <w:spacing w:after="0"/>
              <w:rPr>
                <w:sz w:val="20"/>
                <w:szCs w:val="20"/>
                <w:color w:val="auto"/>
              </w:rPr>
            </w:pPr>
            <w:r>
              <w:rPr>
                <w:rFonts w:ascii="Arial" w:cs="Arial" w:eastAsia="Arial" w:hAnsi="Arial"/>
                <w:sz w:val="16"/>
                <w:szCs w:val="16"/>
                <w:color w:val="auto"/>
              </w:rPr>
              <w:t>95,500</w:t>
            </w:r>
          </w:p>
        </w:tc>
        <w:tc>
          <w:tcPr>
            <w:tcW w:w="1260" w:type="dxa"/>
            <w:vAlign w:val="bottom"/>
          </w:tcPr>
          <w:p>
            <w:pPr>
              <w:jc w:val="right"/>
              <w:ind w:right="181"/>
              <w:spacing w:after="0"/>
              <w:rPr>
                <w:sz w:val="20"/>
                <w:szCs w:val="20"/>
                <w:color w:val="auto"/>
              </w:rPr>
            </w:pPr>
            <w:r>
              <w:rPr>
                <w:rFonts w:ascii="Arial" w:cs="Arial" w:eastAsia="Arial" w:hAnsi="Arial"/>
                <w:sz w:val="16"/>
                <w:szCs w:val="16"/>
                <w:color w:val="auto"/>
              </w:rPr>
              <w:t>64,986</w:t>
            </w:r>
          </w:p>
        </w:tc>
        <w:tc>
          <w:tcPr>
            <w:tcW w:w="1180" w:type="dxa"/>
            <w:vAlign w:val="bottom"/>
          </w:tcPr>
          <w:p>
            <w:pPr>
              <w:ind w:left="860"/>
              <w:spacing w:after="0"/>
              <w:rPr>
                <w:sz w:val="20"/>
                <w:szCs w:val="20"/>
                <w:color w:val="auto"/>
              </w:rPr>
            </w:pPr>
            <w:r>
              <w:rPr>
                <w:rFonts w:ascii="Arial" w:cs="Arial" w:eastAsia="Arial" w:hAnsi="Arial"/>
                <w:sz w:val="16"/>
                <w:szCs w:val="16"/>
                <w:color w:val="auto"/>
              </w:rPr>
              <w:t>—</w:t>
            </w:r>
          </w:p>
        </w:tc>
        <w:tc>
          <w:tcPr>
            <w:tcW w:w="1280" w:type="dxa"/>
            <w:vAlign w:val="bottom"/>
          </w:tcPr>
          <w:p>
            <w:pPr>
              <w:ind w:left="940"/>
              <w:spacing w:after="0"/>
              <w:rPr>
                <w:sz w:val="20"/>
                <w:szCs w:val="20"/>
                <w:color w:val="auto"/>
              </w:rPr>
            </w:pPr>
            <w:r>
              <w:rPr>
                <w:rFonts w:ascii="Arial" w:cs="Arial" w:eastAsia="Arial" w:hAnsi="Arial"/>
                <w:sz w:val="16"/>
                <w:szCs w:val="16"/>
                <w:color w:val="auto"/>
              </w:rPr>
              <w:t>—</w:t>
            </w:r>
          </w:p>
        </w:tc>
        <w:tc>
          <w:tcPr>
            <w:tcW w:w="1280" w:type="dxa"/>
            <w:vAlign w:val="bottom"/>
          </w:tcPr>
          <w:p>
            <w:pPr>
              <w:ind w:left="960"/>
              <w:spacing w:after="0"/>
              <w:rPr>
                <w:sz w:val="20"/>
                <w:szCs w:val="20"/>
                <w:color w:val="auto"/>
              </w:rPr>
            </w:pPr>
            <w:r>
              <w:rPr>
                <w:rFonts w:ascii="Arial" w:cs="Arial" w:eastAsia="Arial" w:hAnsi="Arial"/>
                <w:sz w:val="16"/>
                <w:szCs w:val="16"/>
                <w:color w:val="auto"/>
              </w:rPr>
              <w:t>—</w:t>
            </w:r>
          </w:p>
        </w:tc>
        <w:tc>
          <w:tcPr>
            <w:tcW w:w="1420" w:type="dxa"/>
            <w:vAlign w:val="bottom"/>
          </w:tcPr>
          <w:p>
            <w:pPr>
              <w:ind w:left="96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right"/>
              <w:ind w:right="61"/>
              <w:spacing w:after="0"/>
              <w:rPr>
                <w:sz w:val="20"/>
                <w:szCs w:val="20"/>
                <w:color w:val="auto"/>
              </w:rPr>
            </w:pPr>
            <w:r>
              <w:rPr>
                <w:rFonts w:ascii="Arial" w:cs="Arial" w:eastAsia="Arial" w:hAnsi="Arial"/>
                <w:sz w:val="16"/>
                <w:szCs w:val="16"/>
                <w:color w:val="auto"/>
              </w:rPr>
              <w:t>160,486</w:t>
            </w:r>
          </w:p>
        </w:tc>
        <w:tc>
          <w:tcPr>
            <w:tcW w:w="0" w:type="dxa"/>
            <w:vAlign w:val="bottom"/>
          </w:tcPr>
          <w:p>
            <w:pPr>
              <w:spacing w:after="0"/>
              <w:rPr>
                <w:sz w:val="1"/>
                <w:szCs w:val="1"/>
                <w:color w:val="auto"/>
              </w:rPr>
            </w:pPr>
          </w:p>
        </w:tc>
      </w:tr>
      <w:tr>
        <w:trPr>
          <w:trHeight w:val="32"/>
        </w:trPr>
        <w:tc>
          <w:tcPr>
            <w:tcW w:w="204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400" w:right="20" w:hanging="393"/>
        <w:spacing w:after="0" w:line="252" w:lineRule="auto"/>
        <w:tabs>
          <w:tab w:leader="none" w:pos="400" w:val="left"/>
        </w:tabs>
        <w:numPr>
          <w:ilvl w:val="0"/>
          <w:numId w:val="61"/>
        </w:numPr>
        <w:rPr>
          <w:rFonts w:ascii="Arial" w:cs="Arial" w:eastAsia="Arial" w:hAnsi="Arial"/>
          <w:sz w:val="14"/>
          <w:szCs w:val="14"/>
          <w:color w:val="auto"/>
        </w:rPr>
      </w:pPr>
      <w:r>
        <w:rPr>
          <w:rFonts w:ascii="Arial" w:cs="Arial" w:eastAsia="Arial" w:hAnsi="Arial"/>
          <w:sz w:val="13"/>
          <w:szCs w:val="13"/>
          <w:color w:val="auto"/>
        </w:rPr>
        <w:t>Ms. Apoliona and Messrs. Burak, Nichols, and Wo elected to defer all of their respective fees earned in 2021. Ms. Tanabe elected to defer all of her Board retainer fee only. Ms. Tokioka elected to defer all of her committee retainer fees only.</w:t>
      </w:r>
    </w:p>
    <w:p>
      <w:pPr>
        <w:spacing w:after="0" w:line="75" w:lineRule="exact"/>
        <w:rPr>
          <w:rFonts w:ascii="Arial" w:cs="Arial" w:eastAsia="Arial" w:hAnsi="Arial"/>
          <w:sz w:val="14"/>
          <w:szCs w:val="14"/>
          <w:color w:val="auto"/>
        </w:rPr>
      </w:pPr>
    </w:p>
    <w:p>
      <w:pPr>
        <w:jc w:val="both"/>
        <w:ind w:left="400" w:right="40" w:hanging="393"/>
        <w:spacing w:after="0" w:line="255" w:lineRule="auto"/>
        <w:tabs>
          <w:tab w:leader="none" w:pos="400" w:val="left"/>
        </w:tabs>
        <w:numPr>
          <w:ilvl w:val="0"/>
          <w:numId w:val="61"/>
        </w:numPr>
        <w:rPr>
          <w:rFonts w:ascii="Arial" w:cs="Arial" w:eastAsia="Arial" w:hAnsi="Arial"/>
          <w:sz w:val="13"/>
          <w:szCs w:val="13"/>
          <w:color w:val="auto"/>
        </w:rPr>
      </w:pPr>
      <w:r>
        <w:rPr>
          <w:rFonts w:ascii="Arial" w:cs="Arial" w:eastAsia="Arial" w:hAnsi="Arial"/>
          <w:sz w:val="12"/>
          <w:szCs w:val="12"/>
          <w:color w:val="auto"/>
        </w:rPr>
        <w:t>The amounts in this column reflect the fair value of the restricted stock on the dates of grant. On April 30, 2021, the Company issued grants of 715 shares of restricted common stock to each of the non-management directors, each grant having an aggregate fair value of $64,986 based on the closing price of the Company’s common stock of $90.89 on the date of the grant; 100% of the grant will vest on April 22, 2022. As of December 31, 2021, each director had the following number of restricted stock awards accumulated in their accounts (which excludes options exercised and held as common stock in their accounts): Ms. Apoliona, 2,515 shares; Mr. Burak, 715 shares; Mr. Erickson, 715 shares; Mr. Feldman, 715 shares; Ms. Hulst, 715 shares; Mr. Lucien, 715 shares; Mr. Mills, 376 shares; Ms.</w:t>
      </w:r>
    </w:p>
    <w:p>
      <w:pPr>
        <w:spacing w:after="0" w:line="1" w:lineRule="exact"/>
        <w:rPr>
          <w:rFonts w:ascii="Arial" w:cs="Arial" w:eastAsia="Arial" w:hAnsi="Arial"/>
          <w:sz w:val="13"/>
          <w:szCs w:val="13"/>
          <w:color w:val="auto"/>
        </w:rPr>
      </w:pPr>
    </w:p>
    <w:p>
      <w:pPr>
        <w:ind w:left="400" w:right="60"/>
        <w:spacing w:after="0" w:line="243" w:lineRule="auto"/>
        <w:rPr>
          <w:rFonts w:ascii="Arial" w:cs="Arial" w:eastAsia="Arial" w:hAnsi="Arial"/>
          <w:sz w:val="13"/>
          <w:szCs w:val="13"/>
          <w:color w:val="auto"/>
        </w:rPr>
      </w:pPr>
      <w:r>
        <w:rPr>
          <w:rFonts w:ascii="Arial" w:cs="Arial" w:eastAsia="Arial" w:hAnsi="Arial"/>
          <w:sz w:val="13"/>
          <w:szCs w:val="13"/>
          <w:color w:val="auto"/>
        </w:rPr>
        <w:t>Moy, 715 shares; Mr. Nichols, 715 shares; Ms. Tanabe, 715 shares; Ms. Tokioka, 715 shares; Mr. Vara, 715 shares; and Mr. Wo, 2,515 shares. On October 22, 2021, the Board elected Mr. Mills to serve the remainder of the unexpired term until the 2022 Annual Meeting and issued a grant of 376 shares for his service on the Board, which had an aggregate fair value of $32,509 based on the closing price of $86.46 on the date of the grant. These shares vested on April 22, 2022.</w:t>
      </w:r>
    </w:p>
    <w:p>
      <w:pPr>
        <w:spacing w:after="0" w:line="82" w:lineRule="exact"/>
        <w:rPr>
          <w:rFonts w:ascii="Arial" w:cs="Arial" w:eastAsia="Arial" w:hAnsi="Arial"/>
          <w:sz w:val="13"/>
          <w:szCs w:val="13"/>
          <w:color w:val="auto"/>
        </w:rPr>
      </w:pPr>
    </w:p>
    <w:p>
      <w:pPr>
        <w:ind w:left="400" w:hanging="393"/>
        <w:spacing w:after="0"/>
        <w:tabs>
          <w:tab w:leader="none" w:pos="400" w:val="left"/>
        </w:tabs>
        <w:numPr>
          <w:ilvl w:val="0"/>
          <w:numId w:val="61"/>
        </w:numPr>
        <w:rPr>
          <w:rFonts w:ascii="Arial" w:cs="Arial" w:eastAsia="Arial" w:hAnsi="Arial"/>
          <w:sz w:val="14"/>
          <w:szCs w:val="14"/>
          <w:color w:val="auto"/>
        </w:rPr>
      </w:pPr>
      <w:r>
        <w:rPr>
          <w:rFonts w:ascii="Arial" w:cs="Arial" w:eastAsia="Arial" w:hAnsi="Arial"/>
          <w:sz w:val="13"/>
          <w:szCs w:val="13"/>
          <w:color w:val="auto"/>
        </w:rPr>
        <w:t>No option awards were granted in 2021. As of December 31, 2021, no director had outstanding options to purchase shares of the Company’s common stock.</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PROPOSAL 2: ADVISORY VOTE ON EXECUTIVE COMPENSATION</w:t>
      </w:r>
    </w:p>
    <w:p>
      <w:pPr>
        <w:spacing w:after="0" w:line="235" w:lineRule="exact"/>
        <w:rPr>
          <w:sz w:val="20"/>
          <w:szCs w:val="20"/>
          <w:color w:val="auto"/>
        </w:rPr>
      </w:pPr>
    </w:p>
    <w:p>
      <w:pPr>
        <w:ind w:right="20" w:firstLine="546"/>
        <w:spacing w:after="0" w:line="289" w:lineRule="auto"/>
        <w:rPr>
          <w:sz w:val="20"/>
          <w:szCs w:val="20"/>
          <w:color w:val="auto"/>
        </w:rPr>
      </w:pPr>
      <w:r>
        <w:rPr>
          <w:rFonts w:ascii="Arial" w:cs="Arial" w:eastAsia="Arial" w:hAnsi="Arial"/>
          <w:sz w:val="16"/>
          <w:szCs w:val="16"/>
          <w:color w:val="auto"/>
        </w:rPr>
        <w:t>The Dodd-Frank Act provides shareholders the opportunity to vote, on an advisory (non-binding) basis, to approve the compensation of our named executive officers as disclosed in this proxy statement in accordance with the SEC’s compensation disclosure rules.</w:t>
      </w:r>
    </w:p>
    <w:p>
      <w:pPr>
        <w:spacing w:after="0" w:line="172" w:lineRule="exact"/>
        <w:rPr>
          <w:sz w:val="20"/>
          <w:szCs w:val="20"/>
          <w:color w:val="auto"/>
        </w:rPr>
      </w:pPr>
    </w:p>
    <w:p>
      <w:pPr>
        <w:ind w:right="300" w:firstLine="546"/>
        <w:spacing w:after="0" w:line="294" w:lineRule="auto"/>
        <w:rPr>
          <w:sz w:val="20"/>
          <w:szCs w:val="20"/>
          <w:color w:val="auto"/>
        </w:rPr>
      </w:pPr>
      <w:r>
        <w:rPr>
          <w:rFonts w:ascii="Arial" w:cs="Arial" w:eastAsia="Arial" w:hAnsi="Arial"/>
          <w:sz w:val="15"/>
          <w:szCs w:val="15"/>
          <w:color w:val="auto"/>
        </w:rPr>
        <w:t>As an advisory vote, this proposal is not binding upon the Company. However, the Human Resources &amp; Compensation Committee, which is responsible for designing and administering the Company’s executive compensation program, values the opinions expressed by shareholders and considers the outcome of the vote when making future compensation decisions for its executive officers. The Company currently conducts annual advisory votes on executive compensation. The Company’s shareholders approved its executive compensation at the 2021 Annual Meeting of Shareholders.</w:t>
      </w:r>
    </w:p>
    <w:p>
      <w:pPr>
        <w:spacing w:after="0" w:line="171" w:lineRule="exact"/>
        <w:rPr>
          <w:sz w:val="20"/>
          <w:szCs w:val="20"/>
          <w:color w:val="auto"/>
        </w:rPr>
      </w:pPr>
    </w:p>
    <w:p>
      <w:pPr>
        <w:ind w:firstLine="546"/>
        <w:spacing w:after="0" w:line="290" w:lineRule="auto"/>
        <w:rPr>
          <w:sz w:val="20"/>
          <w:szCs w:val="20"/>
          <w:color w:val="auto"/>
        </w:rPr>
      </w:pPr>
      <w:r>
        <w:rPr>
          <w:rFonts w:ascii="Arial" w:cs="Arial" w:eastAsia="Arial" w:hAnsi="Arial"/>
          <w:sz w:val="15"/>
          <w:szCs w:val="15"/>
          <w:color w:val="auto"/>
        </w:rPr>
        <w:t>As described in the Compensation Discussion and Analysis, the primary focus of the Company's executive compensation programs is to encourage and reward behavior that the Board believes will promote sustainable growth in shareholder value, and to promote gender pay equity. Our executive compensation programs are intended to balance risk and reward in relation to the Company’s overall business strategy and further align management’s interests with shareholders’ interests. The Company’s commitment to a performance culture is reflected in its strong financial performance in recent years. Accordingly, the Board of Directors recommends that shareholders approve the executive compensation programs by approving the following advisory resolution:</w:t>
      </w:r>
    </w:p>
    <w:p>
      <w:pPr>
        <w:spacing w:after="0" w:line="175" w:lineRule="exact"/>
        <w:rPr>
          <w:sz w:val="20"/>
          <w:szCs w:val="20"/>
          <w:color w:val="auto"/>
        </w:rPr>
      </w:pPr>
    </w:p>
    <w:p>
      <w:pPr>
        <w:ind w:right="340" w:firstLine="546"/>
        <w:spacing w:after="0" w:line="301" w:lineRule="auto"/>
        <w:rPr>
          <w:sz w:val="20"/>
          <w:szCs w:val="20"/>
          <w:color w:val="auto"/>
        </w:rPr>
      </w:pPr>
      <w:r>
        <w:rPr>
          <w:rFonts w:ascii="Arial" w:cs="Arial" w:eastAsia="Arial" w:hAnsi="Arial"/>
          <w:sz w:val="15"/>
          <w:szCs w:val="15"/>
          <w:color w:val="auto"/>
        </w:rPr>
        <w:t>RESOLVED, that the shareholders of Bank of Hawaii Corporation approve, on an advisory basis, the compensation of the individuals identified in the Summary Compensation Table, as disclosed in the Company’s 2022 proxy statement pursuant to the compensation disclosure rules of the SEC, which disclosure includes the Compensation Discussion and Analysis section, the compensation tables, and the accompanying footnotes in this proxy statement.</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The Board of Directors recommends a vote “FOR” the foregoing proposal.</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HUMAN RESOURCES &amp; COMPENSATION COMMITTEE REPORT</w:t>
      </w:r>
    </w:p>
    <w:p>
      <w:pPr>
        <w:spacing w:after="0" w:line="235" w:lineRule="exact"/>
        <w:rPr>
          <w:sz w:val="20"/>
          <w:szCs w:val="20"/>
          <w:color w:val="auto"/>
        </w:rPr>
      </w:pPr>
    </w:p>
    <w:p>
      <w:pPr>
        <w:ind w:right="60" w:firstLine="546"/>
        <w:spacing w:after="0" w:line="290" w:lineRule="auto"/>
        <w:rPr>
          <w:sz w:val="20"/>
          <w:szCs w:val="20"/>
          <w:color w:val="auto"/>
        </w:rPr>
      </w:pPr>
      <w:r>
        <w:rPr>
          <w:rFonts w:ascii="Arial" w:cs="Arial" w:eastAsia="Arial" w:hAnsi="Arial"/>
          <w:sz w:val="15"/>
          <w:szCs w:val="15"/>
          <w:color w:val="auto"/>
        </w:rPr>
        <w:t>The Human Resources &amp; Compensation Committee, composed entirely of independent directors in accordance with applicable laws, regulations, NYSE listing requirements and the Governance Guidelines, sets and administers policies that govern the Company’s executive compensation programs, and various incentive and stock programs. As members of the Human Resources &amp; Compensation Committee, we have reviewed and discussed the Compensation Discussion and Analysis to be included in the Company’s 2022 Proxy Statement with management and, based on these discussions, recommended to the Company’s Board (and the Board subsequently approved the recommendation) that the Compensation Discussion and Analysis be included in such Proxy Statement.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submitted by the members of the Human Resources &amp; Compensation Committee,</w:t>
      </w:r>
    </w:p>
    <w:p>
      <w:pPr>
        <w:spacing w:after="0" w:line="23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Robert W. Wo, Chairman</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Joshua D. Feldman</w:t>
      </w:r>
    </w:p>
    <w:p>
      <w:pPr>
        <w:spacing w:after="0" w:line="4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Michelle E. Hulst</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Elliot K. Mills</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Barbara J. Tanabe</w:t>
      </w:r>
    </w:p>
    <w:p>
      <w:pPr>
        <w:spacing w:after="0" w:line="4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Raymond P. Vara, Jr.</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35" w:lineRule="exact"/>
        <w:rPr>
          <w:sz w:val="20"/>
          <w:szCs w:val="20"/>
          <w:color w:val="auto"/>
        </w:rPr>
      </w:pPr>
    </w:p>
    <w:p>
      <w:pPr>
        <w:ind w:right="20" w:firstLine="546"/>
        <w:spacing w:after="0" w:line="289" w:lineRule="auto"/>
        <w:rPr>
          <w:sz w:val="20"/>
          <w:szCs w:val="20"/>
          <w:color w:val="auto"/>
        </w:rPr>
      </w:pPr>
      <w:r>
        <w:rPr>
          <w:rFonts w:ascii="Arial" w:cs="Arial" w:eastAsia="Arial" w:hAnsi="Arial"/>
          <w:sz w:val="16"/>
          <w:szCs w:val="16"/>
          <w:color w:val="auto"/>
        </w:rPr>
        <w:t>This Compensation Discussion and Analysis (“CD&amp;A”) describes the compensation structure, process and implementation in 2021 for our Named Executive Officers (“NEOs”). The NEOs in 2021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123825</wp:posOffset>
            </wp:positionV>
            <wp:extent cx="71335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1720" w:type="dxa"/>
            <w:vAlign w:val="bottom"/>
          </w:tcPr>
          <w:p>
            <w:pPr>
              <w:spacing w:after="0"/>
              <w:rPr>
                <w:sz w:val="20"/>
                <w:szCs w:val="20"/>
                <w:color w:val="auto"/>
              </w:rPr>
            </w:pPr>
            <w:r>
              <w:rPr>
                <w:rFonts w:ascii="Arial" w:cs="Arial" w:eastAsia="Arial" w:hAnsi="Arial"/>
                <w:sz w:val="16"/>
                <w:szCs w:val="16"/>
                <w:color w:val="auto"/>
              </w:rPr>
              <w:t>Peter S. Ho</w:t>
            </w:r>
          </w:p>
        </w:tc>
        <w:tc>
          <w:tcPr>
            <w:tcW w:w="5300" w:type="dxa"/>
            <w:vAlign w:val="bottom"/>
          </w:tcPr>
          <w:p>
            <w:pPr>
              <w:ind w:left="460"/>
              <w:spacing w:after="0"/>
              <w:rPr>
                <w:sz w:val="20"/>
                <w:szCs w:val="20"/>
                <w:color w:val="auto"/>
              </w:rPr>
            </w:pPr>
            <w:r>
              <w:rPr>
                <w:rFonts w:ascii="Arial" w:cs="Arial" w:eastAsia="Arial" w:hAnsi="Arial"/>
                <w:sz w:val="16"/>
                <w:szCs w:val="16"/>
                <w:i w:val="1"/>
                <w:iCs w:val="1"/>
                <w:color w:val="auto"/>
                <w:w w:val="91"/>
              </w:rPr>
              <w:t>Chairman of the Board of Directors, Chief Executive Officer, and President</w:t>
            </w:r>
          </w:p>
        </w:tc>
      </w:tr>
      <w:tr>
        <w:trPr>
          <w:trHeight w:val="254"/>
        </w:trPr>
        <w:tc>
          <w:tcPr>
            <w:tcW w:w="1720" w:type="dxa"/>
            <w:vAlign w:val="bottom"/>
          </w:tcPr>
          <w:p>
            <w:pPr>
              <w:spacing w:after="0"/>
              <w:rPr>
                <w:sz w:val="20"/>
                <w:szCs w:val="20"/>
                <w:color w:val="auto"/>
              </w:rPr>
            </w:pPr>
            <w:r>
              <w:rPr>
                <w:rFonts w:ascii="Arial" w:cs="Arial" w:eastAsia="Arial" w:hAnsi="Arial"/>
                <w:sz w:val="16"/>
                <w:szCs w:val="16"/>
                <w:color w:val="auto"/>
              </w:rPr>
              <w:t>Dean Y. Shigemura</w:t>
            </w:r>
          </w:p>
        </w:tc>
        <w:tc>
          <w:tcPr>
            <w:tcW w:w="5300" w:type="dxa"/>
            <w:vAlign w:val="bottom"/>
          </w:tcPr>
          <w:p>
            <w:pPr>
              <w:ind w:left="460"/>
              <w:spacing w:after="0"/>
              <w:rPr>
                <w:sz w:val="20"/>
                <w:szCs w:val="20"/>
                <w:color w:val="auto"/>
              </w:rPr>
            </w:pPr>
            <w:r>
              <w:rPr>
                <w:rFonts w:ascii="Arial" w:cs="Arial" w:eastAsia="Arial" w:hAnsi="Arial"/>
                <w:sz w:val="16"/>
                <w:szCs w:val="16"/>
                <w:i w:val="1"/>
                <w:iCs w:val="1"/>
                <w:color w:val="auto"/>
              </w:rPr>
              <w:t>Vice Chair, Chief Financial Officer</w:t>
            </w:r>
          </w:p>
        </w:tc>
      </w:tr>
      <w:tr>
        <w:trPr>
          <w:trHeight w:val="254"/>
        </w:trPr>
        <w:tc>
          <w:tcPr>
            <w:tcW w:w="1720" w:type="dxa"/>
            <w:vAlign w:val="bottom"/>
          </w:tcPr>
          <w:p>
            <w:pPr>
              <w:spacing w:after="0"/>
              <w:rPr>
                <w:sz w:val="20"/>
                <w:szCs w:val="20"/>
                <w:color w:val="auto"/>
              </w:rPr>
            </w:pPr>
            <w:r>
              <w:rPr>
                <w:rFonts w:ascii="Arial" w:cs="Arial" w:eastAsia="Arial" w:hAnsi="Arial"/>
                <w:sz w:val="16"/>
                <w:szCs w:val="16"/>
                <w:color w:val="auto"/>
              </w:rPr>
              <w:t>Sharon M. Crofts</w:t>
            </w:r>
          </w:p>
        </w:tc>
        <w:tc>
          <w:tcPr>
            <w:tcW w:w="5300" w:type="dxa"/>
            <w:vAlign w:val="bottom"/>
          </w:tcPr>
          <w:p>
            <w:pPr>
              <w:ind w:left="460"/>
              <w:spacing w:after="0"/>
              <w:rPr>
                <w:sz w:val="20"/>
                <w:szCs w:val="20"/>
                <w:color w:val="auto"/>
              </w:rPr>
            </w:pPr>
            <w:r>
              <w:rPr>
                <w:rFonts w:ascii="Arial" w:cs="Arial" w:eastAsia="Arial" w:hAnsi="Arial"/>
                <w:sz w:val="16"/>
                <w:szCs w:val="16"/>
                <w:i w:val="1"/>
                <w:iCs w:val="1"/>
                <w:color w:val="auto"/>
              </w:rPr>
              <w:t>Vice Chair, Client Solutions Group</w:t>
            </w:r>
          </w:p>
        </w:tc>
      </w:tr>
      <w:tr>
        <w:trPr>
          <w:trHeight w:val="254"/>
        </w:trPr>
        <w:tc>
          <w:tcPr>
            <w:tcW w:w="1720" w:type="dxa"/>
            <w:vAlign w:val="bottom"/>
          </w:tcPr>
          <w:p>
            <w:pPr>
              <w:spacing w:after="0"/>
              <w:rPr>
                <w:sz w:val="20"/>
                <w:szCs w:val="20"/>
                <w:color w:val="auto"/>
              </w:rPr>
            </w:pPr>
            <w:r>
              <w:rPr>
                <w:rFonts w:ascii="Arial" w:cs="Arial" w:eastAsia="Arial" w:hAnsi="Arial"/>
                <w:sz w:val="16"/>
                <w:szCs w:val="16"/>
                <w:color w:val="auto"/>
              </w:rPr>
              <w:t>James C. Polk</w:t>
            </w:r>
          </w:p>
        </w:tc>
        <w:tc>
          <w:tcPr>
            <w:tcW w:w="5300" w:type="dxa"/>
            <w:vAlign w:val="bottom"/>
          </w:tcPr>
          <w:p>
            <w:pPr>
              <w:ind w:left="460"/>
              <w:spacing w:after="0"/>
              <w:rPr>
                <w:sz w:val="20"/>
                <w:szCs w:val="20"/>
                <w:color w:val="auto"/>
              </w:rPr>
            </w:pPr>
            <w:r>
              <w:rPr>
                <w:rFonts w:ascii="Arial" w:cs="Arial" w:eastAsia="Arial" w:hAnsi="Arial"/>
                <w:sz w:val="16"/>
                <w:szCs w:val="16"/>
                <w:i w:val="1"/>
                <w:iCs w:val="1"/>
                <w:color w:val="auto"/>
              </w:rPr>
              <w:t>Vice Chair, Chief Commercial Officer</w:t>
            </w:r>
          </w:p>
        </w:tc>
      </w:tr>
      <w:tr>
        <w:trPr>
          <w:trHeight w:val="241"/>
        </w:trPr>
        <w:tc>
          <w:tcPr>
            <w:tcW w:w="1720" w:type="dxa"/>
            <w:vAlign w:val="bottom"/>
          </w:tcPr>
          <w:p>
            <w:pPr>
              <w:spacing w:after="0"/>
              <w:rPr>
                <w:sz w:val="20"/>
                <w:szCs w:val="20"/>
                <w:color w:val="auto"/>
              </w:rPr>
            </w:pPr>
            <w:r>
              <w:rPr>
                <w:rFonts w:ascii="Arial" w:cs="Arial" w:eastAsia="Arial" w:hAnsi="Arial"/>
                <w:sz w:val="16"/>
                <w:szCs w:val="16"/>
                <w:color w:val="auto"/>
              </w:rPr>
              <w:t>Mary E. Sellers</w:t>
            </w:r>
          </w:p>
        </w:tc>
        <w:tc>
          <w:tcPr>
            <w:tcW w:w="5300" w:type="dxa"/>
            <w:vAlign w:val="bottom"/>
          </w:tcPr>
          <w:p>
            <w:pPr>
              <w:ind w:left="460"/>
              <w:spacing w:after="0"/>
              <w:rPr>
                <w:sz w:val="20"/>
                <w:szCs w:val="20"/>
                <w:color w:val="auto"/>
              </w:rPr>
            </w:pPr>
            <w:r>
              <w:rPr>
                <w:rFonts w:ascii="Arial" w:cs="Arial" w:eastAsia="Arial" w:hAnsi="Arial"/>
                <w:sz w:val="16"/>
                <w:szCs w:val="16"/>
                <w:i w:val="1"/>
                <w:iCs w:val="1"/>
                <w:color w:val="auto"/>
              </w:rPr>
              <w:t>Vice Chair, Chief Risk Officer</w:t>
            </w:r>
          </w:p>
        </w:tc>
      </w:tr>
      <w:tr>
        <w:trPr>
          <w:trHeight w:val="468"/>
        </w:trPr>
        <w:tc>
          <w:tcPr>
            <w:tcW w:w="1720" w:type="dxa"/>
            <w:vAlign w:val="bottom"/>
          </w:tcPr>
          <w:p>
            <w:pPr>
              <w:spacing w:after="0"/>
              <w:rPr>
                <w:sz w:val="24"/>
                <w:szCs w:val="24"/>
                <w:color w:val="auto"/>
              </w:rPr>
            </w:pPr>
          </w:p>
        </w:tc>
        <w:tc>
          <w:tcPr>
            <w:tcW w:w="5300" w:type="dxa"/>
            <w:vAlign w:val="bottom"/>
          </w:tcPr>
          <w:p>
            <w:pPr>
              <w:ind w:left="2780"/>
              <w:spacing w:after="0"/>
              <w:rPr>
                <w:sz w:val="20"/>
                <w:szCs w:val="20"/>
                <w:color w:val="auto"/>
              </w:rPr>
            </w:pPr>
            <w:r>
              <w:rPr>
                <w:rFonts w:ascii="Arial" w:cs="Arial" w:eastAsia="Arial" w:hAnsi="Arial"/>
                <w:sz w:val="16"/>
                <w:szCs w:val="16"/>
                <w:color w:val="auto"/>
              </w:rPr>
              <w:t>CD&amp;A TABLE OF CONTENTS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-276225</wp:posOffset>
            </wp:positionV>
            <wp:extent cx="71335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CD&amp;A is organized as follows:</w:t>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6"/>
          <w:szCs w:val="16"/>
          <w:b w:val="1"/>
          <w:bCs w:val="1"/>
          <w:u w:val="single" w:color="auto"/>
          <w:color w:val="0000EE"/>
        </w:rPr>
      </w:pPr>
      <w:hyperlink w:anchor="page42">
        <w:r>
          <w:rPr>
            <w:rFonts w:ascii="Arial" w:cs="Arial" w:eastAsia="Arial" w:hAnsi="Arial"/>
            <w:sz w:val="16"/>
            <w:szCs w:val="16"/>
            <w:b w:val="1"/>
            <w:bCs w:val="1"/>
            <w:u w:val="single" w:color="auto"/>
            <w:color w:val="0000EE"/>
          </w:rPr>
          <w:t>Compensation-Related Highlights</w:t>
        </w:r>
      </w:hyperlink>
    </w:p>
    <w:p>
      <w:pPr>
        <w:spacing w:after="0" w:line="70" w:lineRule="exact"/>
        <w:rPr>
          <w:sz w:val="20"/>
          <w:szCs w:val="20"/>
          <w:color w:val="auto"/>
        </w:rPr>
      </w:pPr>
    </w:p>
    <w:p>
      <w:pPr>
        <w:spacing w:after="0"/>
        <w:rPr>
          <w:rFonts w:ascii="Arial" w:cs="Arial" w:eastAsia="Arial" w:hAnsi="Arial"/>
          <w:sz w:val="16"/>
          <w:szCs w:val="16"/>
          <w:b w:val="1"/>
          <w:bCs w:val="1"/>
          <w:u w:val="single" w:color="auto"/>
          <w:color w:val="0000EE"/>
        </w:rPr>
      </w:pPr>
      <w:hyperlink w:anchor="page44">
        <w:r>
          <w:rPr>
            <w:rFonts w:ascii="Arial" w:cs="Arial" w:eastAsia="Arial" w:hAnsi="Arial"/>
            <w:sz w:val="16"/>
            <w:szCs w:val="16"/>
            <w:b w:val="1"/>
            <w:bCs w:val="1"/>
            <w:u w:val="single" w:color="auto"/>
            <w:color w:val="0000EE"/>
          </w:rPr>
          <w:t>Executive Summary</w:t>
        </w:r>
      </w:hyperlink>
    </w:p>
    <w:p>
      <w:pPr>
        <w:spacing w:after="0" w:line="74" w:lineRule="exact"/>
        <w:rPr>
          <w:sz w:val="20"/>
          <w:szCs w:val="20"/>
          <w:color w:val="auto"/>
        </w:rPr>
      </w:pPr>
    </w:p>
    <w:p>
      <w:pPr>
        <w:ind w:left="360"/>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2021 Executive Compensation Program Design</w:t>
        </w:r>
      </w:hyperlink>
    </w:p>
    <w:p>
      <w:pPr>
        <w:spacing w:after="0" w:line="70" w:lineRule="exact"/>
        <w:rPr>
          <w:sz w:val="20"/>
          <w:szCs w:val="20"/>
          <w:color w:val="auto"/>
        </w:rPr>
      </w:pPr>
    </w:p>
    <w:p>
      <w:pPr>
        <w:ind w:left="360"/>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Compensation Policies and Practices</w:t>
        </w:r>
      </w:hyperlink>
    </w:p>
    <w:p>
      <w:pPr>
        <w:spacing w:after="0" w:line="70" w:lineRule="exact"/>
        <w:rPr>
          <w:sz w:val="20"/>
          <w:szCs w:val="20"/>
          <w:color w:val="auto"/>
        </w:rPr>
      </w:pPr>
    </w:p>
    <w:p>
      <w:pPr>
        <w:ind w:left="360"/>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Business and Performance Overview</w:t>
        </w:r>
      </w:hyperlink>
    </w:p>
    <w:p>
      <w:pPr>
        <w:spacing w:after="0" w:line="66" w:lineRule="exact"/>
        <w:rPr>
          <w:sz w:val="20"/>
          <w:szCs w:val="20"/>
          <w:color w:val="auto"/>
        </w:rPr>
      </w:pPr>
    </w:p>
    <w:p>
      <w:pPr>
        <w:spacing w:after="0"/>
        <w:rPr>
          <w:rFonts w:ascii="Arial" w:cs="Arial" w:eastAsia="Arial" w:hAnsi="Arial"/>
          <w:sz w:val="16"/>
          <w:szCs w:val="16"/>
          <w:b w:val="1"/>
          <w:bCs w:val="1"/>
          <w:u w:val="single" w:color="auto"/>
          <w:color w:val="0000EE"/>
        </w:rPr>
      </w:pPr>
      <w:hyperlink w:anchor="page49">
        <w:r>
          <w:rPr>
            <w:rFonts w:ascii="Arial" w:cs="Arial" w:eastAsia="Arial" w:hAnsi="Arial"/>
            <w:sz w:val="16"/>
            <w:szCs w:val="16"/>
            <w:b w:val="1"/>
            <w:bCs w:val="1"/>
            <w:u w:val="single" w:color="auto"/>
            <w:color w:val="0000EE"/>
          </w:rPr>
          <w:t>Detailed Discussion and Analysis</w:t>
        </w:r>
      </w:hyperlink>
    </w:p>
    <w:p>
      <w:pPr>
        <w:spacing w:after="0" w:line="74" w:lineRule="exact"/>
        <w:rPr>
          <w:sz w:val="20"/>
          <w:szCs w:val="20"/>
          <w:color w:val="auto"/>
        </w:rPr>
      </w:pPr>
    </w:p>
    <w:p>
      <w:pPr>
        <w:ind w:left="360"/>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Executive Compensation Philosophy</w:t>
        </w:r>
      </w:hyperlink>
    </w:p>
    <w:p>
      <w:pPr>
        <w:spacing w:after="0" w:line="70" w:lineRule="exact"/>
        <w:rPr>
          <w:sz w:val="20"/>
          <w:szCs w:val="20"/>
          <w:color w:val="auto"/>
        </w:rPr>
      </w:pPr>
    </w:p>
    <w:p>
      <w:pPr>
        <w:ind w:left="360"/>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Executive Compensation Philosophy Drives Performance</w:t>
        </w:r>
      </w:hyperlink>
    </w:p>
    <w:p>
      <w:pPr>
        <w:spacing w:after="0" w:line="70" w:lineRule="exact"/>
        <w:rPr>
          <w:sz w:val="20"/>
          <w:szCs w:val="20"/>
          <w:color w:val="auto"/>
        </w:rPr>
      </w:pPr>
    </w:p>
    <w:p>
      <w:pPr>
        <w:ind w:left="360"/>
        <w:spacing w:after="0"/>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Executive Compensation Process</w:t>
        </w:r>
      </w:hyperlink>
    </w:p>
    <w:p>
      <w:pPr>
        <w:spacing w:after="0" w:line="70" w:lineRule="exact"/>
        <w:rPr>
          <w:sz w:val="20"/>
          <w:szCs w:val="20"/>
          <w:color w:val="auto"/>
        </w:rPr>
      </w:pPr>
    </w:p>
    <w:p>
      <w:pPr>
        <w:ind w:left="360"/>
        <w:spacing w:after="0"/>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Peer Group and the Market Check</w:t>
        </w:r>
      </w:hyperlink>
    </w:p>
    <w:p>
      <w:pPr>
        <w:spacing w:after="0" w:line="70" w:lineRule="exact"/>
        <w:rPr>
          <w:sz w:val="20"/>
          <w:szCs w:val="20"/>
          <w:color w:val="auto"/>
        </w:rPr>
      </w:pPr>
    </w:p>
    <w:p>
      <w:pPr>
        <w:ind w:left="360"/>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S&amp;P Supercomposite Regional Bank Index</w:t>
        </w:r>
      </w:hyperlink>
    </w:p>
    <w:p>
      <w:pPr>
        <w:spacing w:after="0" w:line="70" w:lineRule="exact"/>
        <w:rPr>
          <w:sz w:val="20"/>
          <w:szCs w:val="20"/>
          <w:color w:val="auto"/>
        </w:rPr>
      </w:pPr>
    </w:p>
    <w:p>
      <w:pPr>
        <w:ind w:left="360"/>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Role of the Compensation Consultant</w:t>
        </w:r>
      </w:hyperlink>
    </w:p>
    <w:p>
      <w:pPr>
        <w:spacing w:after="0" w:line="70" w:lineRule="exact"/>
        <w:rPr>
          <w:sz w:val="20"/>
          <w:szCs w:val="20"/>
          <w:color w:val="auto"/>
        </w:rPr>
      </w:pPr>
    </w:p>
    <w:p>
      <w:pPr>
        <w:ind w:left="360"/>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Compensation and Risk Management</w:t>
        </w:r>
      </w:hyperlink>
    </w:p>
    <w:p>
      <w:pPr>
        <w:spacing w:after="0" w:line="70" w:lineRule="exact"/>
        <w:rPr>
          <w:sz w:val="20"/>
          <w:szCs w:val="20"/>
          <w:color w:val="auto"/>
        </w:rPr>
      </w:pPr>
    </w:p>
    <w:p>
      <w:pPr>
        <w:ind w:left="360"/>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Elements of the Compensation Program</w:t>
        </w:r>
      </w:hyperlink>
    </w:p>
    <w:p>
      <w:pPr>
        <w:spacing w:after="0" w:line="110" w:lineRule="exact"/>
        <w:rPr>
          <w:sz w:val="20"/>
          <w:szCs w:val="20"/>
          <w:color w:val="auto"/>
        </w:rPr>
      </w:pPr>
    </w:p>
    <w:p>
      <w:pPr>
        <w:ind w:left="740"/>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2021 Base Salary</w:t>
        </w:r>
      </w:hyperlink>
    </w:p>
    <w:p>
      <w:pPr>
        <w:spacing w:after="0" w:line="70" w:lineRule="exact"/>
        <w:rPr>
          <w:sz w:val="20"/>
          <w:szCs w:val="20"/>
          <w:color w:val="auto"/>
        </w:rPr>
      </w:pPr>
    </w:p>
    <w:p>
      <w:pPr>
        <w:ind w:left="740"/>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2021 Short-Term Incentive Compensation</w:t>
        </w:r>
      </w:hyperlink>
    </w:p>
    <w:p>
      <w:pPr>
        <w:spacing w:after="0" w:line="70" w:lineRule="exact"/>
        <w:rPr>
          <w:sz w:val="20"/>
          <w:szCs w:val="20"/>
          <w:color w:val="auto"/>
        </w:rPr>
      </w:pPr>
    </w:p>
    <w:p>
      <w:pPr>
        <w:ind w:left="740"/>
        <w:spacing w:after="0"/>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2021 Long-Term Incentive Compensation</w:t>
        </w:r>
      </w:hyperlink>
    </w:p>
    <w:p>
      <w:pPr>
        <w:spacing w:after="0" w:line="30" w:lineRule="exact"/>
        <w:rPr>
          <w:sz w:val="20"/>
          <w:szCs w:val="20"/>
          <w:color w:val="auto"/>
        </w:rPr>
      </w:pPr>
    </w:p>
    <w:p>
      <w:pPr>
        <w:ind w:left="740"/>
        <w:spacing w:after="0"/>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Compensatory Retention Arrangements of Certain Officers</w:t>
        </w:r>
      </w:hyperlink>
    </w:p>
    <w:p>
      <w:pPr>
        <w:spacing w:after="0" w:line="70" w:lineRule="exact"/>
        <w:rPr>
          <w:sz w:val="20"/>
          <w:szCs w:val="20"/>
          <w:color w:val="auto"/>
        </w:rPr>
      </w:pPr>
    </w:p>
    <w:p>
      <w:pPr>
        <w:ind w:left="740"/>
        <w:spacing w:after="0"/>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Benefits and Retirement Plans Sponsored by the Company</w:t>
        </w:r>
      </w:hyperlink>
    </w:p>
    <w:p>
      <w:pPr>
        <w:spacing w:after="0" w:line="70" w:lineRule="exact"/>
        <w:rPr>
          <w:sz w:val="20"/>
          <w:szCs w:val="20"/>
          <w:color w:val="auto"/>
        </w:rPr>
      </w:pPr>
    </w:p>
    <w:p>
      <w:pPr>
        <w:ind w:left="740"/>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Perquisites</w:t>
        </w:r>
      </w:hyperlink>
    </w:p>
    <w:p>
      <w:pPr>
        <w:spacing w:after="0" w:line="70" w:lineRule="exact"/>
        <w:rPr>
          <w:sz w:val="20"/>
          <w:szCs w:val="20"/>
          <w:color w:val="auto"/>
        </w:rPr>
      </w:pPr>
    </w:p>
    <w:p>
      <w:pPr>
        <w:ind w:left="740"/>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Change-in-Control and Severance Arrangements</w:t>
        </w:r>
      </w:hyperlink>
    </w:p>
    <w:p>
      <w:pPr>
        <w:spacing w:after="0" w:line="70" w:lineRule="exact"/>
        <w:rPr>
          <w:sz w:val="20"/>
          <w:szCs w:val="20"/>
          <w:color w:val="auto"/>
        </w:rPr>
      </w:pPr>
    </w:p>
    <w:p>
      <w:pPr>
        <w:ind w:left="740"/>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No Excise Tax Gross-Ups</w:t>
        </w:r>
      </w:hyperlink>
    </w:p>
    <w:p>
      <w:pPr>
        <w:spacing w:after="0" w:line="70" w:lineRule="exact"/>
        <w:rPr>
          <w:sz w:val="20"/>
          <w:szCs w:val="20"/>
          <w:color w:val="auto"/>
        </w:rPr>
      </w:pPr>
    </w:p>
    <w:p>
      <w:pPr>
        <w:jc w:val="right"/>
        <w:ind w:right="4120"/>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Vesting of Equity Incentive Compensation on Change-in-Control (Double-Trigger)</w:t>
        </w:r>
      </w:hyperlink>
    </w:p>
    <w:p>
      <w:pPr>
        <w:spacing w:after="0" w:line="66" w:lineRule="exact"/>
        <w:rPr>
          <w:sz w:val="20"/>
          <w:szCs w:val="20"/>
          <w:color w:val="auto"/>
        </w:rPr>
      </w:pPr>
    </w:p>
    <w:p>
      <w:pPr>
        <w:spacing w:after="0"/>
        <w:rPr>
          <w:rFonts w:ascii="Arial" w:cs="Arial" w:eastAsia="Arial" w:hAnsi="Arial"/>
          <w:sz w:val="16"/>
          <w:szCs w:val="16"/>
          <w:b w:val="1"/>
          <w:bCs w:val="1"/>
          <w:u w:val="single" w:color="auto"/>
          <w:color w:val="0000EE"/>
        </w:rPr>
      </w:pPr>
      <w:hyperlink w:anchor="page60">
        <w:r>
          <w:rPr>
            <w:rFonts w:ascii="Arial" w:cs="Arial" w:eastAsia="Arial" w:hAnsi="Arial"/>
            <w:sz w:val="16"/>
            <w:szCs w:val="16"/>
            <w:b w:val="1"/>
            <w:bCs w:val="1"/>
            <w:u w:val="single" w:color="auto"/>
            <w:color w:val="0000EE"/>
          </w:rPr>
          <w:t>Other Matters</w:t>
        </w:r>
      </w:hyperlink>
    </w:p>
    <w:p>
      <w:pPr>
        <w:spacing w:after="0" w:line="74" w:lineRule="exact"/>
        <w:rPr>
          <w:sz w:val="20"/>
          <w:szCs w:val="20"/>
          <w:color w:val="auto"/>
        </w:rPr>
      </w:pPr>
    </w:p>
    <w:p>
      <w:pPr>
        <w:ind w:left="360"/>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Stock Ownership Requirements</w:t>
        </w:r>
      </w:hyperlink>
    </w:p>
    <w:p>
      <w:pPr>
        <w:spacing w:after="0" w:line="70" w:lineRule="exact"/>
        <w:rPr>
          <w:sz w:val="20"/>
          <w:szCs w:val="20"/>
          <w:color w:val="auto"/>
        </w:rPr>
      </w:pPr>
    </w:p>
    <w:p>
      <w:pPr>
        <w:ind w:left="360"/>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Clawback Policy</w:t>
        </w:r>
      </w:hyperlink>
    </w:p>
    <w:p>
      <w:pPr>
        <w:spacing w:after="0" w:line="70" w:lineRule="exact"/>
        <w:rPr>
          <w:sz w:val="20"/>
          <w:szCs w:val="20"/>
          <w:color w:val="auto"/>
        </w:rPr>
      </w:pPr>
    </w:p>
    <w:p>
      <w:pPr>
        <w:ind w:left="360"/>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Anti-Hedging and Pledging Policies</w:t>
        </w:r>
      </w:hyperlink>
    </w:p>
    <w:p>
      <w:pPr>
        <w:spacing w:after="0" w:line="70" w:lineRule="exact"/>
        <w:rPr>
          <w:sz w:val="20"/>
          <w:szCs w:val="20"/>
          <w:color w:val="auto"/>
        </w:rPr>
      </w:pPr>
    </w:p>
    <w:p>
      <w:pPr>
        <w:ind w:left="360"/>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Tax Considerations</w:t>
        </w:r>
      </w:hyperlink>
    </w:p>
    <w:p>
      <w:pPr>
        <w:spacing w:after="0" w:line="66" w:lineRule="exact"/>
        <w:rPr>
          <w:sz w:val="20"/>
          <w:szCs w:val="20"/>
          <w:color w:val="auto"/>
        </w:rPr>
      </w:pPr>
    </w:p>
    <w:p>
      <w:pPr>
        <w:spacing w:after="0"/>
        <w:rPr>
          <w:rFonts w:ascii="Arial" w:cs="Arial" w:eastAsia="Arial" w:hAnsi="Arial"/>
          <w:sz w:val="16"/>
          <w:szCs w:val="16"/>
          <w:b w:val="1"/>
          <w:bCs w:val="1"/>
          <w:u w:val="single" w:color="auto"/>
          <w:color w:val="0000EE"/>
        </w:rPr>
      </w:pPr>
      <w:hyperlink w:anchor="page61">
        <w:r>
          <w:rPr>
            <w:rFonts w:ascii="Arial" w:cs="Arial" w:eastAsia="Arial" w:hAnsi="Arial"/>
            <w:sz w:val="16"/>
            <w:szCs w:val="16"/>
            <w:b w:val="1"/>
            <w:bCs w:val="1"/>
            <w:u w:val="single" w:color="auto"/>
            <w:color w:val="0000EE"/>
          </w:rPr>
          <w:t>Executive Compensation Tables</w:t>
        </w:r>
      </w:hyperlink>
    </w:p>
    <w:p>
      <w:pPr>
        <w:spacing w:after="0" w:line="74" w:lineRule="exact"/>
        <w:rPr>
          <w:sz w:val="20"/>
          <w:szCs w:val="20"/>
          <w:color w:val="auto"/>
        </w:rPr>
      </w:pPr>
    </w:p>
    <w:p>
      <w:pPr>
        <w:ind w:left="360"/>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Summary Compensation Table</w:t>
        </w:r>
      </w:hyperlink>
    </w:p>
    <w:p>
      <w:pPr>
        <w:spacing w:after="0" w:line="70" w:lineRule="exact"/>
        <w:rPr>
          <w:sz w:val="20"/>
          <w:szCs w:val="20"/>
          <w:color w:val="auto"/>
        </w:rPr>
      </w:pPr>
    </w:p>
    <w:p>
      <w:pPr>
        <w:ind w:left="360"/>
        <w:spacing w:after="0"/>
        <w:rPr>
          <w:rFonts w:ascii="Arial" w:cs="Arial" w:eastAsia="Arial" w:hAnsi="Arial"/>
          <w:sz w:val="16"/>
          <w:szCs w:val="16"/>
          <w:u w:val="single" w:color="auto"/>
          <w:color w:val="0000EE"/>
        </w:rPr>
      </w:pPr>
      <w:hyperlink w:anchor="page62">
        <w:r>
          <w:rPr>
            <w:rFonts w:ascii="Arial" w:cs="Arial" w:eastAsia="Arial" w:hAnsi="Arial"/>
            <w:sz w:val="16"/>
            <w:szCs w:val="16"/>
            <w:u w:val="single" w:color="auto"/>
            <w:color w:val="0000EE"/>
          </w:rPr>
          <w:t>All Other Compensation Table</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Page</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37</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39</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39</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40</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40</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44</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44</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44</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45</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46</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47</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47</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47</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47</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47</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48</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52</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53</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53</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54</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54</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54</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54</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55</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55</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55</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55</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55</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56</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56</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57</w:t>
      </w:r>
    </w:p>
    <w:p>
      <w:pPr>
        <w:spacing w:after="0" w:line="200" w:lineRule="exact"/>
        <w:rPr>
          <w:sz w:val="20"/>
          <w:szCs w:val="20"/>
          <w:color w:val="auto"/>
        </w:rPr>
      </w:pPr>
    </w:p>
    <w:p>
      <w:pPr>
        <w:sectPr>
          <w:pgSz w:w="11900" w:h="16838" w:orient="portrait"/>
          <w:cols w:equalWidth="0" w:num="2">
            <w:col w:w="10200" w:space="720"/>
            <w:col w:w="320"/>
          </w:cols>
          <w:pgMar w:left="320" w:top="130" w:right="339" w:bottom="1440" w:gutter="0" w:footer="0" w:header="0"/>
          <w:type w:val="continuous"/>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86360</wp:posOffset>
            </wp:positionV>
            <wp:extent cx="717613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1" w:name="page42"/>
    <w:bookmarkEnd w:id="4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Compensation-Related Highlights</w:t>
      </w:r>
    </w:p>
    <w:p>
      <w:pPr>
        <w:spacing w:after="0" w:line="231" w:lineRule="exact"/>
        <w:rPr>
          <w:sz w:val="20"/>
          <w:szCs w:val="20"/>
          <w:color w:val="auto"/>
        </w:rPr>
      </w:pPr>
    </w:p>
    <w:p>
      <w:pPr>
        <w:ind w:left="400" w:hanging="393"/>
        <w:spacing w:after="0"/>
        <w:tabs>
          <w:tab w:leader="none" w:pos="400"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2021 Compensation Program</w:t>
      </w:r>
    </w:p>
    <w:p>
      <w:pPr>
        <w:spacing w:after="0" w:line="127" w:lineRule="exact"/>
        <w:rPr>
          <w:rFonts w:ascii="Arial" w:cs="Arial" w:eastAsia="Arial" w:hAnsi="Arial"/>
          <w:sz w:val="16"/>
          <w:szCs w:val="16"/>
          <w:b w:val="1"/>
          <w:bCs w:val="1"/>
          <w:color w:val="auto"/>
        </w:rPr>
      </w:pPr>
    </w:p>
    <w:p>
      <w:pPr>
        <w:ind w:left="920" w:hanging="525"/>
        <w:spacing w:after="0"/>
        <w:tabs>
          <w:tab w:leader="none" w:pos="920" w:val="left"/>
        </w:tabs>
        <w:numPr>
          <w:ilvl w:val="1"/>
          <w:numId w:val="62"/>
        </w:numPr>
        <w:rPr>
          <w:rFonts w:ascii="Arial" w:cs="Arial" w:eastAsia="Arial" w:hAnsi="Arial"/>
          <w:sz w:val="16"/>
          <w:szCs w:val="16"/>
          <w:b w:val="1"/>
          <w:bCs w:val="1"/>
          <w:color w:val="auto"/>
        </w:rPr>
      </w:pPr>
      <w:r>
        <w:rPr>
          <w:rFonts w:ascii="Arial" w:cs="Arial" w:eastAsia="Arial" w:hAnsi="Arial"/>
          <w:sz w:val="16"/>
          <w:szCs w:val="16"/>
          <w:color w:val="auto"/>
        </w:rPr>
        <w:t>Short- and long-term incentive plans are 100% performance-based.</w:t>
      </w:r>
    </w:p>
    <w:p>
      <w:pPr>
        <w:spacing w:after="0" w:line="163" w:lineRule="exact"/>
        <w:rPr>
          <w:rFonts w:ascii="Arial" w:cs="Arial" w:eastAsia="Arial" w:hAnsi="Arial"/>
          <w:sz w:val="16"/>
          <w:szCs w:val="16"/>
          <w:b w:val="1"/>
          <w:bCs w:val="1"/>
          <w:color w:val="auto"/>
        </w:rPr>
      </w:pPr>
    </w:p>
    <w:p>
      <w:pPr>
        <w:ind w:left="920" w:hanging="525"/>
        <w:spacing w:after="0"/>
        <w:tabs>
          <w:tab w:leader="none" w:pos="920" w:val="left"/>
        </w:tabs>
        <w:numPr>
          <w:ilvl w:val="1"/>
          <w:numId w:val="62"/>
        </w:numPr>
        <w:rPr>
          <w:rFonts w:ascii="Arial" w:cs="Arial" w:eastAsia="Arial" w:hAnsi="Arial"/>
          <w:sz w:val="16"/>
          <w:szCs w:val="16"/>
          <w:b w:val="1"/>
          <w:bCs w:val="1"/>
          <w:color w:val="auto"/>
        </w:rPr>
      </w:pPr>
      <w:r>
        <w:rPr>
          <w:rFonts w:ascii="Arial" w:cs="Arial" w:eastAsia="Arial" w:hAnsi="Arial"/>
          <w:sz w:val="16"/>
          <w:szCs w:val="16"/>
          <w:color w:val="auto"/>
        </w:rPr>
        <w:t>The short-term incentive plan provides for 80% quantitative and 20% qualitative performance measures.</w:t>
      </w:r>
    </w:p>
    <w:p>
      <w:pPr>
        <w:spacing w:after="0" w:line="163" w:lineRule="exact"/>
        <w:rPr>
          <w:rFonts w:ascii="Arial" w:cs="Arial" w:eastAsia="Arial" w:hAnsi="Arial"/>
          <w:sz w:val="16"/>
          <w:szCs w:val="16"/>
          <w:b w:val="1"/>
          <w:bCs w:val="1"/>
          <w:color w:val="auto"/>
        </w:rPr>
      </w:pPr>
    </w:p>
    <w:p>
      <w:pPr>
        <w:ind w:left="920" w:hanging="525"/>
        <w:spacing w:after="0"/>
        <w:tabs>
          <w:tab w:leader="none" w:pos="920" w:val="left"/>
        </w:tabs>
        <w:numPr>
          <w:ilvl w:val="1"/>
          <w:numId w:val="62"/>
        </w:numPr>
        <w:rPr>
          <w:rFonts w:ascii="Arial" w:cs="Arial" w:eastAsia="Arial" w:hAnsi="Arial"/>
          <w:sz w:val="15"/>
          <w:szCs w:val="15"/>
          <w:b w:val="1"/>
          <w:bCs w:val="1"/>
          <w:color w:val="auto"/>
        </w:rPr>
      </w:pPr>
      <w:r>
        <w:rPr>
          <w:rFonts w:ascii="Arial" w:cs="Arial" w:eastAsia="Arial" w:hAnsi="Arial"/>
          <w:sz w:val="15"/>
          <w:szCs w:val="15"/>
          <w:color w:val="auto"/>
        </w:rPr>
        <w:t>The long-term incentive plan provides for a three-year performance period, with a 3-year cliff vesting period, for the 2021-2023 performance period.</w:t>
      </w:r>
    </w:p>
    <w:p>
      <w:pPr>
        <w:spacing w:after="0" w:line="175" w:lineRule="exact"/>
        <w:rPr>
          <w:rFonts w:ascii="Arial" w:cs="Arial" w:eastAsia="Arial" w:hAnsi="Arial"/>
          <w:sz w:val="15"/>
          <w:szCs w:val="15"/>
          <w:b w:val="1"/>
          <w:bCs w:val="1"/>
          <w:color w:val="auto"/>
        </w:rPr>
      </w:pPr>
    </w:p>
    <w:p>
      <w:pPr>
        <w:ind w:left="920" w:hanging="525"/>
        <w:spacing w:after="0"/>
        <w:tabs>
          <w:tab w:leader="none" w:pos="920" w:val="left"/>
        </w:tabs>
        <w:numPr>
          <w:ilvl w:val="1"/>
          <w:numId w:val="62"/>
        </w:numPr>
        <w:rPr>
          <w:rFonts w:ascii="Arial" w:cs="Arial" w:eastAsia="Arial" w:hAnsi="Arial"/>
          <w:sz w:val="14"/>
          <w:szCs w:val="14"/>
          <w:color w:val="auto"/>
        </w:rPr>
      </w:pPr>
      <w:r>
        <w:rPr>
          <w:rFonts w:ascii="Arial" w:cs="Arial" w:eastAsia="Arial" w:hAnsi="Arial"/>
          <w:sz w:val="14"/>
          <w:szCs w:val="14"/>
          <w:color w:val="auto"/>
        </w:rPr>
        <w:t>The short- and long-term incentive plan quantitative performance metrics are measured relative to the identified peer group performance and are not absolute.</w:t>
      </w:r>
    </w:p>
    <w:p>
      <w:pPr>
        <w:spacing w:after="0" w:line="289" w:lineRule="exact"/>
        <w:rPr>
          <w:rFonts w:ascii="Arial" w:cs="Arial" w:eastAsia="Arial" w:hAnsi="Arial"/>
          <w:sz w:val="14"/>
          <w:szCs w:val="14"/>
          <w:color w:val="auto"/>
        </w:rPr>
      </w:pPr>
    </w:p>
    <w:p>
      <w:pPr>
        <w:ind w:left="400" w:hanging="393"/>
        <w:spacing w:after="0"/>
        <w:tabs>
          <w:tab w:leader="none" w:pos="400"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Strong Operational Performance</w:t>
      </w:r>
    </w:p>
    <w:p>
      <w:pPr>
        <w:spacing w:after="0" w:line="127" w:lineRule="exact"/>
        <w:rPr>
          <w:rFonts w:ascii="Arial" w:cs="Arial" w:eastAsia="Arial" w:hAnsi="Arial"/>
          <w:sz w:val="16"/>
          <w:szCs w:val="16"/>
          <w:b w:val="1"/>
          <w:bCs w:val="1"/>
          <w:color w:val="auto"/>
        </w:rPr>
      </w:pPr>
    </w:p>
    <w:p>
      <w:pPr>
        <w:ind w:left="920" w:hanging="525"/>
        <w:spacing w:after="0" w:line="275" w:lineRule="auto"/>
        <w:tabs>
          <w:tab w:leader="none" w:pos="920" w:val="left"/>
        </w:tabs>
        <w:numPr>
          <w:ilvl w:val="1"/>
          <w:numId w:val="62"/>
        </w:numPr>
        <w:rPr>
          <w:rFonts w:ascii="Arial" w:cs="Arial" w:eastAsia="Arial" w:hAnsi="Arial"/>
          <w:sz w:val="16"/>
          <w:szCs w:val="16"/>
          <w:color w:val="auto"/>
        </w:rPr>
      </w:pPr>
      <w:r>
        <w:rPr>
          <w:rFonts w:ascii="Arial" w:cs="Arial" w:eastAsia="Arial" w:hAnsi="Arial"/>
          <w:sz w:val="16"/>
          <w:szCs w:val="16"/>
          <w:color w:val="auto"/>
        </w:rPr>
        <w:t>Return-on-Common-Equity and Stock Price-to-Book Ratio are key measures of the Company’s financial health and are key performance metrics in the executive compensation program. Return-on-Common-Equity was 17.92% and Stock Price-to-Book Ratio was 2.35 as of December 31, 2021, both in the top quartile of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131445</wp:posOffset>
            </wp:positionV>
            <wp:extent cx="3626485" cy="2420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626485" cy="2420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0" w:hanging="525"/>
        <w:spacing w:after="0" w:line="259" w:lineRule="auto"/>
        <w:tabs>
          <w:tab w:leader="none" w:pos="920" w:val="left"/>
        </w:tabs>
        <w:numPr>
          <w:ilvl w:val="0"/>
          <w:numId w:val="63"/>
        </w:numPr>
        <w:rPr>
          <w:rFonts w:ascii="Arial" w:cs="Arial" w:eastAsia="Arial" w:hAnsi="Arial"/>
          <w:sz w:val="18"/>
          <w:szCs w:val="18"/>
          <w:color w:val="auto"/>
        </w:rPr>
      </w:pPr>
      <w:r>
        <w:rPr>
          <w:rFonts w:ascii="Arial" w:cs="Arial" w:eastAsia="Arial" w:hAnsi="Arial"/>
          <w:sz w:val="16"/>
          <w:szCs w:val="16"/>
          <w:color w:val="auto"/>
        </w:rPr>
        <w:t>History of consistent dividends, even through the financial crisis and during the COVID-19 pandemic in 2021. The Company increased its quarterly dividend to $0.70 per common share in the third quarter of 2021.</w:t>
      </w:r>
    </w:p>
    <w:p>
      <w:pPr>
        <w:spacing w:after="0" w:line="84" w:lineRule="exact"/>
        <w:rPr>
          <w:rFonts w:ascii="Arial" w:cs="Arial" w:eastAsia="Arial" w:hAnsi="Arial"/>
          <w:sz w:val="18"/>
          <w:szCs w:val="18"/>
          <w:color w:val="auto"/>
        </w:rPr>
      </w:pPr>
    </w:p>
    <w:p>
      <w:pPr>
        <w:ind w:left="920" w:hanging="525"/>
        <w:spacing w:after="0"/>
        <w:tabs>
          <w:tab w:leader="none" w:pos="920" w:val="left"/>
        </w:tabs>
        <w:numPr>
          <w:ilvl w:val="0"/>
          <w:numId w:val="63"/>
        </w:numPr>
        <w:rPr>
          <w:rFonts w:ascii="Arial" w:cs="Arial" w:eastAsia="Arial" w:hAnsi="Arial"/>
          <w:sz w:val="18"/>
          <w:szCs w:val="18"/>
          <w:color w:val="auto"/>
        </w:rPr>
      </w:pPr>
      <w:r>
        <w:rPr>
          <w:rFonts w:ascii="Arial" w:cs="Arial" w:eastAsia="Arial" w:hAnsi="Arial"/>
          <w:sz w:val="16"/>
          <w:szCs w:val="16"/>
          <w:color w:val="auto"/>
        </w:rPr>
        <w:t>Recognition For Excellence</w:t>
      </w:r>
    </w:p>
    <w:p>
      <w:pPr>
        <w:spacing w:after="0" w:line="142" w:lineRule="exact"/>
        <w:rPr>
          <w:rFonts w:ascii="Arial" w:cs="Arial" w:eastAsia="Arial" w:hAnsi="Arial"/>
          <w:sz w:val="18"/>
          <w:szCs w:val="18"/>
          <w:color w:val="auto"/>
        </w:rPr>
      </w:pPr>
    </w:p>
    <w:p>
      <w:pPr>
        <w:ind w:left="1340" w:right="20" w:hanging="544"/>
        <w:spacing w:after="0" w:line="289" w:lineRule="auto"/>
        <w:tabs>
          <w:tab w:leader="none" w:pos="13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Rated as Hawaii's Best Bank by the readers of </w:t>
      </w:r>
      <w:r>
        <w:rPr>
          <w:rFonts w:ascii="Arial" w:cs="Arial" w:eastAsia="Arial" w:hAnsi="Arial"/>
          <w:sz w:val="16"/>
          <w:szCs w:val="16"/>
          <w:i w:val="1"/>
          <w:iCs w:val="1"/>
          <w:color w:val="auto"/>
        </w:rPr>
        <w:t>Honolulu Star-Advertiser, Hawaii Tribune-Herald, West Hawaii Today, and Hawaii Home + Remodeling</w:t>
      </w:r>
      <w:r>
        <w:rPr>
          <w:rFonts w:ascii="Arial" w:cs="Arial" w:eastAsia="Arial" w:hAnsi="Arial"/>
          <w:sz w:val="16"/>
          <w:szCs w:val="16"/>
          <w:color w:val="auto"/>
        </w:rPr>
        <w:t xml:space="preserve"> </w:t>
      </w:r>
      <w:r>
        <w:rPr>
          <w:rFonts w:ascii="Arial" w:cs="Arial" w:eastAsia="Arial" w:hAnsi="Arial"/>
          <w:sz w:val="16"/>
          <w:szCs w:val="16"/>
          <w:i w:val="1"/>
          <w:iCs w:val="1"/>
          <w:color w:val="auto"/>
        </w:rPr>
        <w:t>Magazine</w:t>
      </w:r>
    </w:p>
    <w:p>
      <w:pPr>
        <w:spacing w:after="0" w:line="65" w:lineRule="exact"/>
        <w:rPr>
          <w:rFonts w:ascii="Arial" w:cs="Arial" w:eastAsia="Arial" w:hAnsi="Arial"/>
          <w:sz w:val="16"/>
          <w:szCs w:val="16"/>
          <w:color w:val="auto"/>
        </w:rPr>
      </w:pPr>
    </w:p>
    <w:p>
      <w:pPr>
        <w:ind w:left="1340" w:hanging="544"/>
        <w:spacing w:after="0"/>
        <w:tabs>
          <w:tab w:leader="none" w:pos="13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Deposits are rated Aa3 by Moody’s Investor Service, reflecting our strong financial profile and conservative credit risk management.</w:t>
      </w:r>
    </w:p>
    <w:p>
      <w:pPr>
        <w:spacing w:after="0" w:line="200" w:lineRule="exact"/>
        <w:rPr>
          <w:sz w:val="20"/>
          <w:szCs w:val="20"/>
          <w:color w:val="auto"/>
        </w:rPr>
      </w:pP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080"/>
          </w:cols>
          <w:pgMar w:left="320" w:top="130" w:right="49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0" w:hanging="393"/>
        <w:spacing w:after="0"/>
        <w:tabs>
          <w:tab w:leader="none" w:pos="40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Continued Alignment of Executive Pay with Company Performance</w:t>
      </w:r>
    </w:p>
    <w:p>
      <w:pPr>
        <w:spacing w:after="0" w:line="127" w:lineRule="exact"/>
        <w:rPr>
          <w:rFonts w:ascii="Arial" w:cs="Arial" w:eastAsia="Arial" w:hAnsi="Arial"/>
          <w:sz w:val="16"/>
          <w:szCs w:val="16"/>
          <w:b w:val="1"/>
          <w:bCs w:val="1"/>
          <w:color w:val="auto"/>
        </w:rPr>
      </w:pPr>
    </w:p>
    <w:p>
      <w:pPr>
        <w:ind w:left="920" w:right="160" w:hanging="525"/>
        <w:spacing w:after="0" w:line="289" w:lineRule="auto"/>
        <w:tabs>
          <w:tab w:leader="none" w:pos="9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Approximately 80% of CEO total compensation (salary, stock awards (long-term incentives), non-equity incentive plan compensation (short-term incentives), and all other compensation) is performance-based; 100% of short- and long-term incentives are performance-based.</w:t>
      </w:r>
    </w:p>
    <w:p>
      <w:pPr>
        <w:spacing w:after="0" w:line="65" w:lineRule="exact"/>
        <w:rPr>
          <w:rFonts w:ascii="Arial" w:cs="Arial" w:eastAsia="Arial" w:hAnsi="Arial"/>
          <w:sz w:val="16"/>
          <w:szCs w:val="16"/>
          <w:color w:val="auto"/>
        </w:rPr>
      </w:pPr>
    </w:p>
    <w:p>
      <w:pPr>
        <w:ind w:left="920" w:right="340" w:hanging="525"/>
        <w:spacing w:after="0" w:line="289" w:lineRule="auto"/>
        <w:tabs>
          <w:tab w:leader="none" w:pos="9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Short-term and long-term incentives are tied to rigorous performance metrics, 80% of short-term incentives and 100% of long-term incentives are based on quantitative and relative criteria.</w:t>
      </w:r>
    </w:p>
    <w:p>
      <w:pPr>
        <w:spacing w:after="0" w:line="65" w:lineRule="exact"/>
        <w:rPr>
          <w:rFonts w:ascii="Arial" w:cs="Arial" w:eastAsia="Arial" w:hAnsi="Arial"/>
          <w:sz w:val="16"/>
          <w:szCs w:val="16"/>
          <w:color w:val="auto"/>
        </w:rPr>
      </w:pPr>
    </w:p>
    <w:p>
      <w:pPr>
        <w:ind w:left="920" w:hanging="525"/>
        <w:spacing w:after="0"/>
        <w:tabs>
          <w:tab w:leader="none" w:pos="9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Significant stock ownership requirements (5x base salary for CEO and 2x base salary for other NEOs).</w:t>
      </w:r>
    </w:p>
    <w:p>
      <w:pPr>
        <w:spacing w:after="0" w:line="266" w:lineRule="exact"/>
        <w:rPr>
          <w:rFonts w:ascii="Arial" w:cs="Arial" w:eastAsia="Arial" w:hAnsi="Arial"/>
          <w:sz w:val="16"/>
          <w:szCs w:val="16"/>
          <w:color w:val="auto"/>
        </w:rPr>
      </w:pPr>
    </w:p>
    <w:p>
      <w:pPr>
        <w:ind w:left="400" w:hanging="393"/>
        <w:spacing w:after="0"/>
        <w:tabs>
          <w:tab w:leader="none" w:pos="40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Consistent Shareholder Engagement</w:t>
      </w:r>
    </w:p>
    <w:p>
      <w:pPr>
        <w:spacing w:after="0" w:line="127" w:lineRule="exact"/>
        <w:rPr>
          <w:rFonts w:ascii="Arial" w:cs="Arial" w:eastAsia="Arial" w:hAnsi="Arial"/>
          <w:sz w:val="16"/>
          <w:szCs w:val="16"/>
          <w:b w:val="1"/>
          <w:bCs w:val="1"/>
          <w:color w:val="auto"/>
        </w:rPr>
      </w:pPr>
    </w:p>
    <w:p>
      <w:pPr>
        <w:ind w:left="920" w:hanging="525"/>
        <w:spacing w:after="0" w:line="324" w:lineRule="auto"/>
        <w:tabs>
          <w:tab w:leader="none" w:pos="920" w:val="left"/>
        </w:tabs>
        <w:numPr>
          <w:ilvl w:val="1"/>
          <w:numId w:val="64"/>
        </w:numPr>
        <w:rPr>
          <w:rFonts w:ascii="Arial" w:cs="Arial" w:eastAsia="Arial" w:hAnsi="Arial"/>
          <w:sz w:val="15"/>
          <w:szCs w:val="15"/>
          <w:color w:val="auto"/>
        </w:rPr>
      </w:pPr>
      <w:r>
        <w:rPr>
          <w:rFonts w:ascii="Arial" w:cs="Arial" w:eastAsia="Arial" w:hAnsi="Arial"/>
          <w:sz w:val="15"/>
          <w:szCs w:val="15"/>
          <w:color w:val="auto"/>
        </w:rPr>
        <w:t>During 2021, we again reached out to some of our top institutional investors to solicit their input regarding the design, or any other aspects, of our compensation program. We received no suggestions for changing our approach to compensation, evidencing strong shareholder support for the program.</w:t>
      </w:r>
    </w:p>
    <w:p>
      <w:pPr>
        <w:spacing w:after="0" w:line="145" w:lineRule="exact"/>
        <w:rPr>
          <w:rFonts w:ascii="Arial" w:cs="Arial" w:eastAsia="Arial" w:hAnsi="Arial"/>
          <w:sz w:val="15"/>
          <w:szCs w:val="15"/>
          <w:color w:val="auto"/>
        </w:rPr>
      </w:pPr>
    </w:p>
    <w:p>
      <w:pPr>
        <w:ind w:left="400" w:hanging="393"/>
        <w:spacing w:after="0"/>
        <w:tabs>
          <w:tab w:leader="none" w:pos="40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Say-on-Pay Results</w:t>
      </w:r>
    </w:p>
    <w:p>
      <w:pPr>
        <w:spacing w:after="0" w:line="127" w:lineRule="exact"/>
        <w:rPr>
          <w:rFonts w:ascii="Arial" w:cs="Arial" w:eastAsia="Arial" w:hAnsi="Arial"/>
          <w:sz w:val="16"/>
          <w:szCs w:val="16"/>
          <w:b w:val="1"/>
          <w:bCs w:val="1"/>
          <w:color w:val="auto"/>
        </w:rPr>
      </w:pPr>
    </w:p>
    <w:p>
      <w:pPr>
        <w:ind w:left="920" w:hanging="525"/>
        <w:spacing w:after="0"/>
        <w:tabs>
          <w:tab w:leader="none" w:pos="9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At the 2021 Annual Meeting, our say-on-pay proposal received support from 94% of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186690</wp:posOffset>
            </wp:positionV>
            <wp:extent cx="7133590" cy="21228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3590" cy="2122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Summary</w:t>
      </w:r>
    </w:p>
    <w:p>
      <w:pPr>
        <w:spacing w:after="0" w:line="23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2021 Executive Compensation Program Design</w:t>
      </w:r>
    </w:p>
    <w:p>
      <w:pPr>
        <w:spacing w:after="0" w:line="238" w:lineRule="exact"/>
        <w:rPr>
          <w:sz w:val="20"/>
          <w:szCs w:val="20"/>
          <w:color w:val="auto"/>
        </w:rPr>
      </w:pPr>
    </w:p>
    <w:tbl>
      <w:tblPr>
        <w:tblLayout w:type="fixed"/>
        <w:tblInd w:w="30" w:type="dxa"/>
        <w:tblCellMar>
          <w:top w:w="0" w:type="dxa"/>
          <w:left w:w="0" w:type="dxa"/>
          <w:bottom w:w="0" w:type="dxa"/>
          <w:right w:w="0" w:type="dxa"/>
        </w:tblCellMar>
      </w:tblPr>
      <w:tr>
        <w:trPr>
          <w:trHeight w:val="259"/>
        </w:trPr>
        <w:tc>
          <w:tcPr>
            <w:tcW w:w="3020" w:type="dxa"/>
            <w:vAlign w:val="bottom"/>
            <w:tcBorders>
              <w:top w:val="single" w:sz="8" w:color="00000A"/>
              <w:left w:val="single" w:sz="8" w:color="00000A"/>
              <w:bottom w:val="single" w:sz="8" w:color="086FB8"/>
              <w:right w:val="single" w:sz="8" w:color="00000A"/>
            </w:tcBorders>
            <w:shd w:val="clear" w:color="auto" w:fill="086FB8"/>
          </w:tcPr>
          <w:p>
            <w:pPr>
              <w:ind w:left="1040"/>
              <w:spacing w:after="0"/>
              <w:rPr>
                <w:sz w:val="20"/>
                <w:szCs w:val="20"/>
                <w:color w:val="auto"/>
              </w:rPr>
            </w:pPr>
            <w:r>
              <w:rPr>
                <w:rFonts w:ascii="Arial" w:cs="Arial" w:eastAsia="Arial" w:hAnsi="Arial"/>
                <w:sz w:val="16"/>
                <w:szCs w:val="16"/>
                <w:b w:val="1"/>
                <w:bCs w:val="1"/>
                <w:color w:val="FFFFFF"/>
              </w:rPr>
              <w:t>Pay Elements</w:t>
            </w:r>
          </w:p>
        </w:tc>
        <w:tc>
          <w:tcPr>
            <w:tcW w:w="120" w:type="dxa"/>
            <w:vAlign w:val="bottom"/>
            <w:tcBorders>
              <w:top w:val="single" w:sz="8" w:color="00000A"/>
              <w:bottom w:val="single" w:sz="8" w:color="086FB8"/>
            </w:tcBorders>
            <w:shd w:val="clear" w:color="auto" w:fill="086FB8"/>
          </w:tcPr>
          <w:p>
            <w:pPr>
              <w:spacing w:after="0"/>
              <w:rPr>
                <w:sz w:val="22"/>
                <w:szCs w:val="22"/>
                <w:color w:val="auto"/>
              </w:rPr>
            </w:pPr>
          </w:p>
        </w:tc>
        <w:tc>
          <w:tcPr>
            <w:tcW w:w="8080" w:type="dxa"/>
            <w:vAlign w:val="bottom"/>
            <w:tcBorders>
              <w:top w:val="single" w:sz="8" w:color="00000A"/>
              <w:bottom w:val="single" w:sz="8" w:color="086FB8"/>
              <w:right w:val="single" w:sz="8" w:color="00000A"/>
            </w:tcBorders>
            <w:shd w:val="clear" w:color="auto" w:fill="086FB8"/>
          </w:tcPr>
          <w:p>
            <w:pPr>
              <w:ind w:left="3220"/>
              <w:spacing w:after="0"/>
              <w:rPr>
                <w:sz w:val="20"/>
                <w:szCs w:val="20"/>
                <w:color w:val="auto"/>
              </w:rPr>
            </w:pPr>
            <w:r>
              <w:rPr>
                <w:rFonts w:ascii="Arial" w:cs="Arial" w:eastAsia="Arial" w:hAnsi="Arial"/>
                <w:sz w:val="16"/>
                <w:szCs w:val="16"/>
                <w:b w:val="1"/>
                <w:bCs w:val="1"/>
                <w:color w:val="FFFFFF"/>
              </w:rPr>
              <w:t>2021 Design Elements</w:t>
            </w:r>
          </w:p>
        </w:tc>
        <w:tc>
          <w:tcPr>
            <w:tcW w:w="0" w:type="dxa"/>
            <w:vAlign w:val="bottom"/>
          </w:tcPr>
          <w:p>
            <w:pPr>
              <w:spacing w:after="0"/>
              <w:rPr>
                <w:sz w:val="1"/>
                <w:szCs w:val="1"/>
                <w:color w:val="auto"/>
              </w:rPr>
            </w:pPr>
          </w:p>
        </w:tc>
      </w:tr>
      <w:tr>
        <w:trPr>
          <w:trHeight w:val="135"/>
        </w:trPr>
        <w:tc>
          <w:tcPr>
            <w:tcW w:w="3020" w:type="dxa"/>
            <w:vAlign w:val="bottom"/>
            <w:tcBorders>
              <w:top w:val="single" w:sz="8" w:color="00000A"/>
              <w:left w:val="single" w:sz="8" w:color="00000A"/>
              <w:right w:val="single" w:sz="8" w:color="00000A"/>
            </w:tcBorders>
          </w:tcPr>
          <w:p>
            <w:pPr>
              <w:spacing w:after="0"/>
              <w:rPr>
                <w:sz w:val="11"/>
                <w:szCs w:val="11"/>
                <w:color w:val="auto"/>
              </w:rPr>
            </w:pPr>
          </w:p>
        </w:tc>
        <w:tc>
          <w:tcPr>
            <w:tcW w:w="120" w:type="dxa"/>
            <w:vAlign w:val="bottom"/>
            <w:tcBorders>
              <w:top w:val="single" w:sz="8" w:color="00000A"/>
            </w:tcBorders>
          </w:tcPr>
          <w:p>
            <w:pPr>
              <w:ind w:left="40"/>
              <w:spacing w:after="0" w:line="135" w:lineRule="exact"/>
              <w:rPr>
                <w:sz w:val="20"/>
                <w:szCs w:val="20"/>
                <w:color w:val="auto"/>
              </w:rPr>
            </w:pPr>
            <w:r>
              <w:rPr>
                <w:rFonts w:ascii="Arial" w:cs="Arial" w:eastAsia="Arial" w:hAnsi="Arial"/>
                <w:sz w:val="14"/>
                <w:szCs w:val="14"/>
                <w:color w:val="auto"/>
              </w:rPr>
              <w:t>•</w:t>
            </w:r>
          </w:p>
        </w:tc>
        <w:tc>
          <w:tcPr>
            <w:tcW w:w="8080" w:type="dxa"/>
            <w:vAlign w:val="bottom"/>
            <w:tcBorders>
              <w:top w:val="single" w:sz="8" w:color="00000A"/>
              <w:right w:val="single" w:sz="8" w:color="00000A"/>
            </w:tcBorders>
          </w:tcPr>
          <w:p>
            <w:pPr>
              <w:ind w:left="40"/>
              <w:spacing w:after="0" w:line="135" w:lineRule="exact"/>
              <w:rPr>
                <w:sz w:val="20"/>
                <w:szCs w:val="20"/>
                <w:color w:val="auto"/>
              </w:rPr>
            </w:pPr>
            <w:r>
              <w:rPr>
                <w:rFonts w:ascii="Arial" w:cs="Arial" w:eastAsia="Arial" w:hAnsi="Arial"/>
                <w:sz w:val="14"/>
                <w:szCs w:val="14"/>
                <w:color w:val="auto"/>
              </w:rPr>
              <w:t>80% quantitative performance metrics</w:t>
            </w:r>
          </w:p>
        </w:tc>
        <w:tc>
          <w:tcPr>
            <w:tcW w:w="0" w:type="dxa"/>
            <w:vAlign w:val="bottom"/>
          </w:tcPr>
          <w:p>
            <w:pPr>
              <w:spacing w:after="0"/>
              <w:rPr>
                <w:sz w:val="1"/>
                <w:szCs w:val="1"/>
                <w:color w:val="auto"/>
              </w:rPr>
            </w:pPr>
          </w:p>
        </w:tc>
      </w:tr>
      <w:tr>
        <w:trPr>
          <w:trHeight w:val="147"/>
        </w:trPr>
        <w:tc>
          <w:tcPr>
            <w:tcW w:w="3020" w:type="dxa"/>
            <w:vAlign w:val="bottom"/>
            <w:tcBorders>
              <w:left w:val="single" w:sz="8" w:color="00000A"/>
              <w:right w:val="single" w:sz="8" w:color="00000A"/>
            </w:tcBorders>
          </w:tcPr>
          <w:p>
            <w:pPr>
              <w:spacing w:after="0"/>
              <w:rPr>
                <w:sz w:val="12"/>
                <w:szCs w:val="12"/>
                <w:color w:val="auto"/>
              </w:rPr>
            </w:pPr>
          </w:p>
        </w:tc>
        <w:tc>
          <w:tcPr>
            <w:tcW w:w="120" w:type="dxa"/>
            <w:vAlign w:val="bottom"/>
          </w:tcPr>
          <w:p>
            <w:pPr>
              <w:spacing w:after="0"/>
              <w:rPr>
                <w:sz w:val="12"/>
                <w:szCs w:val="12"/>
                <w:color w:val="auto"/>
              </w:rPr>
            </w:pPr>
          </w:p>
        </w:tc>
        <w:tc>
          <w:tcPr>
            <w:tcW w:w="8080" w:type="dxa"/>
            <w:vAlign w:val="bottom"/>
            <w:tcBorders>
              <w:right w:val="single" w:sz="8" w:color="00000A"/>
            </w:tcBorders>
          </w:tcPr>
          <w:p>
            <w:pPr>
              <w:ind w:left="160"/>
              <w:spacing w:after="0" w:line="147" w:lineRule="exact"/>
              <w:rPr>
                <w:sz w:val="20"/>
                <w:szCs w:val="20"/>
                <w:color w:val="auto"/>
              </w:rPr>
            </w:pPr>
            <w:r>
              <w:rPr>
                <w:rFonts w:ascii="Arial" w:cs="Arial" w:eastAsia="Arial" w:hAnsi="Arial"/>
                <w:sz w:val="14"/>
                <w:szCs w:val="14"/>
                <w:color w:val="auto"/>
              </w:rPr>
              <w:t>◦   Two performance metrics set at challenging levels relative to peers* weighted as follows:</w:t>
            </w:r>
          </w:p>
        </w:tc>
        <w:tc>
          <w:tcPr>
            <w:tcW w:w="0" w:type="dxa"/>
            <w:vAlign w:val="bottom"/>
          </w:tcPr>
          <w:p>
            <w:pPr>
              <w:spacing w:after="0"/>
              <w:rPr>
                <w:sz w:val="1"/>
                <w:szCs w:val="1"/>
                <w:color w:val="auto"/>
              </w:rPr>
            </w:pPr>
          </w:p>
        </w:tc>
      </w:tr>
      <w:tr>
        <w:trPr>
          <w:trHeight w:val="147"/>
        </w:trPr>
        <w:tc>
          <w:tcPr>
            <w:tcW w:w="3020" w:type="dxa"/>
            <w:vAlign w:val="bottom"/>
            <w:tcBorders>
              <w:left w:val="single" w:sz="8" w:color="00000A"/>
              <w:right w:val="single" w:sz="8" w:color="00000A"/>
            </w:tcBorders>
            <w:vMerge w:val="restart"/>
          </w:tcPr>
          <w:p>
            <w:pPr>
              <w:ind w:left="60"/>
              <w:spacing w:after="0"/>
              <w:rPr>
                <w:sz w:val="20"/>
                <w:szCs w:val="20"/>
                <w:color w:val="auto"/>
              </w:rPr>
            </w:pPr>
            <w:r>
              <w:rPr>
                <w:rFonts w:ascii="Arial" w:cs="Arial" w:eastAsia="Arial" w:hAnsi="Arial"/>
                <w:sz w:val="16"/>
                <w:szCs w:val="16"/>
                <w:b w:val="1"/>
                <w:bCs w:val="1"/>
                <w:color w:val="auto"/>
              </w:rPr>
              <w:t>Short-Term Incentive Plan</w:t>
            </w:r>
          </w:p>
        </w:tc>
        <w:tc>
          <w:tcPr>
            <w:tcW w:w="120" w:type="dxa"/>
            <w:vAlign w:val="bottom"/>
          </w:tcPr>
          <w:p>
            <w:pPr>
              <w:spacing w:after="0"/>
              <w:rPr>
                <w:sz w:val="12"/>
                <w:szCs w:val="12"/>
                <w:color w:val="auto"/>
              </w:rPr>
            </w:pPr>
          </w:p>
        </w:tc>
        <w:tc>
          <w:tcPr>
            <w:tcW w:w="8080" w:type="dxa"/>
            <w:vAlign w:val="bottom"/>
            <w:tcBorders>
              <w:right w:val="single" w:sz="8" w:color="00000A"/>
            </w:tcBorders>
          </w:tcPr>
          <w:p>
            <w:pPr>
              <w:ind w:left="400"/>
              <w:spacing w:after="0" w:line="147" w:lineRule="exact"/>
              <w:rPr>
                <w:sz w:val="20"/>
                <w:szCs w:val="20"/>
                <w:color w:val="auto"/>
              </w:rPr>
            </w:pPr>
            <w:r>
              <w:rPr>
                <w:rFonts w:ascii="Arial" w:cs="Arial" w:eastAsia="Arial" w:hAnsi="Arial"/>
                <w:sz w:val="14"/>
                <w:szCs w:val="14"/>
                <w:color w:val="auto"/>
              </w:rPr>
              <w:t>▪ Return-on-Common-Equity (40%); and</w:t>
            </w:r>
          </w:p>
        </w:tc>
        <w:tc>
          <w:tcPr>
            <w:tcW w:w="0" w:type="dxa"/>
            <w:vAlign w:val="bottom"/>
          </w:tcPr>
          <w:p>
            <w:pPr>
              <w:spacing w:after="0"/>
              <w:rPr>
                <w:sz w:val="1"/>
                <w:szCs w:val="1"/>
                <w:color w:val="auto"/>
              </w:rPr>
            </w:pPr>
          </w:p>
        </w:tc>
      </w:tr>
      <w:tr>
        <w:trPr>
          <w:trHeight w:val="147"/>
        </w:trPr>
        <w:tc>
          <w:tcPr>
            <w:tcW w:w="3020" w:type="dxa"/>
            <w:vAlign w:val="bottom"/>
            <w:tcBorders>
              <w:left w:val="single" w:sz="8" w:color="00000A"/>
              <w:right w:val="single" w:sz="8" w:color="00000A"/>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8080" w:type="dxa"/>
            <w:vAlign w:val="bottom"/>
            <w:tcBorders>
              <w:right w:val="single" w:sz="8" w:color="00000A"/>
            </w:tcBorders>
          </w:tcPr>
          <w:p>
            <w:pPr>
              <w:ind w:left="400"/>
              <w:spacing w:after="0" w:line="147" w:lineRule="exact"/>
              <w:rPr>
                <w:sz w:val="20"/>
                <w:szCs w:val="20"/>
                <w:color w:val="auto"/>
              </w:rPr>
            </w:pPr>
            <w:r>
              <w:rPr>
                <w:rFonts w:ascii="Arial" w:cs="Arial" w:eastAsia="Arial" w:hAnsi="Arial"/>
                <w:sz w:val="14"/>
                <w:szCs w:val="14"/>
                <w:color w:val="auto"/>
              </w:rPr>
              <w:t>▪ Stock Price-to-Book Ratio (40%).</w:t>
            </w:r>
          </w:p>
        </w:tc>
        <w:tc>
          <w:tcPr>
            <w:tcW w:w="0" w:type="dxa"/>
            <w:vAlign w:val="bottom"/>
          </w:tcPr>
          <w:p>
            <w:pPr>
              <w:spacing w:after="0"/>
              <w:rPr>
                <w:sz w:val="1"/>
                <w:szCs w:val="1"/>
                <w:color w:val="auto"/>
              </w:rPr>
            </w:pPr>
          </w:p>
        </w:tc>
      </w:tr>
      <w:tr>
        <w:trPr>
          <w:trHeight w:val="179"/>
        </w:trPr>
        <w:tc>
          <w:tcPr>
            <w:tcW w:w="3020" w:type="dxa"/>
            <w:vAlign w:val="bottom"/>
            <w:tcBorders>
              <w:left w:val="single" w:sz="8" w:color="00000A"/>
              <w:right w:val="single" w:sz="8" w:color="00000A"/>
            </w:tcBorders>
          </w:tcPr>
          <w:p>
            <w:pPr>
              <w:ind w:left="60"/>
              <w:spacing w:after="0" w:line="179" w:lineRule="exact"/>
              <w:rPr>
                <w:sz w:val="20"/>
                <w:szCs w:val="20"/>
                <w:color w:val="auto"/>
              </w:rPr>
            </w:pPr>
            <w:r>
              <w:rPr>
                <w:rFonts w:ascii="Arial" w:cs="Arial" w:eastAsia="Arial" w:hAnsi="Arial"/>
                <w:sz w:val="16"/>
                <w:szCs w:val="16"/>
                <w:b w:val="1"/>
                <w:bCs w:val="1"/>
                <w:color w:val="auto"/>
              </w:rPr>
              <w:t>100% Performance-Based</w:t>
            </w:r>
          </w:p>
        </w:tc>
        <w:tc>
          <w:tcPr>
            <w:tcW w:w="120" w:type="dxa"/>
            <w:vAlign w:val="bottom"/>
          </w:tcPr>
          <w:p>
            <w:pPr>
              <w:spacing w:after="0"/>
              <w:rPr>
                <w:sz w:val="15"/>
                <w:szCs w:val="15"/>
                <w:color w:val="auto"/>
              </w:rPr>
            </w:pPr>
          </w:p>
        </w:tc>
        <w:tc>
          <w:tcPr>
            <w:tcW w:w="8080" w:type="dxa"/>
            <w:vAlign w:val="bottom"/>
            <w:tcBorders>
              <w:right w:val="single" w:sz="8" w:color="00000A"/>
            </w:tcBorders>
          </w:tcPr>
          <w:p>
            <w:pPr>
              <w:ind w:left="160"/>
              <w:spacing w:after="0"/>
              <w:rPr>
                <w:sz w:val="20"/>
                <w:szCs w:val="20"/>
                <w:color w:val="auto"/>
              </w:rPr>
            </w:pPr>
            <w:r>
              <w:rPr>
                <w:rFonts w:ascii="Arial" w:cs="Arial" w:eastAsia="Arial" w:hAnsi="Arial"/>
                <w:sz w:val="14"/>
                <w:szCs w:val="14"/>
                <w:color w:val="auto"/>
              </w:rPr>
              <w:t>◦   To achieve full payout, top quartile performance in Return-on-Common-Equity, Stock Price-to-Book Ratio must occur</w:t>
            </w:r>
          </w:p>
        </w:tc>
        <w:tc>
          <w:tcPr>
            <w:tcW w:w="0" w:type="dxa"/>
            <w:vAlign w:val="bottom"/>
          </w:tcPr>
          <w:p>
            <w:pPr>
              <w:spacing w:after="0"/>
              <w:rPr>
                <w:sz w:val="1"/>
                <w:szCs w:val="1"/>
                <w:color w:val="auto"/>
              </w:rPr>
            </w:pPr>
          </w:p>
        </w:tc>
      </w:tr>
      <w:tr>
        <w:trPr>
          <w:trHeight w:val="115"/>
        </w:trPr>
        <w:tc>
          <w:tcPr>
            <w:tcW w:w="3020" w:type="dxa"/>
            <w:vAlign w:val="bottom"/>
            <w:tcBorders>
              <w:left w:val="single" w:sz="8" w:color="00000A"/>
              <w:right w:val="single" w:sz="8" w:color="00000A"/>
            </w:tcBorders>
          </w:tcPr>
          <w:p>
            <w:pPr>
              <w:spacing w:after="0"/>
              <w:rPr>
                <w:sz w:val="10"/>
                <w:szCs w:val="10"/>
                <w:color w:val="auto"/>
              </w:rPr>
            </w:pPr>
          </w:p>
        </w:tc>
        <w:tc>
          <w:tcPr>
            <w:tcW w:w="120" w:type="dxa"/>
            <w:vAlign w:val="bottom"/>
          </w:tcPr>
          <w:p>
            <w:pPr>
              <w:spacing w:after="0"/>
              <w:rPr>
                <w:sz w:val="10"/>
                <w:szCs w:val="10"/>
                <w:color w:val="auto"/>
              </w:rPr>
            </w:pPr>
          </w:p>
        </w:tc>
        <w:tc>
          <w:tcPr>
            <w:tcW w:w="8080" w:type="dxa"/>
            <w:vAlign w:val="bottom"/>
            <w:tcBorders>
              <w:right w:val="single" w:sz="8" w:color="00000A"/>
            </w:tcBorders>
          </w:tcPr>
          <w:p>
            <w:pPr>
              <w:ind w:left="160"/>
              <w:spacing w:after="0" w:line="115" w:lineRule="exact"/>
              <w:rPr>
                <w:sz w:val="20"/>
                <w:szCs w:val="20"/>
                <w:color w:val="auto"/>
              </w:rPr>
            </w:pPr>
            <w:r>
              <w:rPr>
                <w:rFonts w:ascii="Arial" w:cs="Arial" w:eastAsia="Arial" w:hAnsi="Arial"/>
                <w:sz w:val="13"/>
                <w:szCs w:val="13"/>
                <w:color w:val="auto"/>
              </w:rPr>
              <w:t>◦   To achieve any payout, top two quartile performance must occur with the actual payout determined by performance and metric</w:t>
            </w:r>
          </w:p>
        </w:tc>
        <w:tc>
          <w:tcPr>
            <w:tcW w:w="0" w:type="dxa"/>
            <w:vAlign w:val="bottom"/>
          </w:tcPr>
          <w:p>
            <w:pPr>
              <w:spacing w:after="0"/>
              <w:rPr>
                <w:sz w:val="1"/>
                <w:szCs w:val="1"/>
                <w:color w:val="auto"/>
              </w:rPr>
            </w:pPr>
          </w:p>
        </w:tc>
      </w:tr>
      <w:tr>
        <w:trPr>
          <w:trHeight w:val="174"/>
        </w:trPr>
        <w:tc>
          <w:tcPr>
            <w:tcW w:w="3020" w:type="dxa"/>
            <w:vAlign w:val="bottom"/>
            <w:tcBorders>
              <w:left w:val="single" w:sz="8" w:color="00000A"/>
              <w:right w:val="single" w:sz="8" w:color="00000A"/>
            </w:tcBorders>
          </w:tcPr>
          <w:p>
            <w:pPr>
              <w:spacing w:after="0"/>
              <w:rPr>
                <w:sz w:val="15"/>
                <w:szCs w:val="15"/>
                <w:color w:val="auto"/>
              </w:rPr>
            </w:pPr>
          </w:p>
        </w:tc>
        <w:tc>
          <w:tcPr>
            <w:tcW w:w="120" w:type="dxa"/>
            <w:vAlign w:val="bottom"/>
          </w:tcPr>
          <w:p>
            <w:pPr>
              <w:spacing w:after="0"/>
              <w:rPr>
                <w:sz w:val="15"/>
                <w:szCs w:val="15"/>
                <w:color w:val="auto"/>
              </w:rPr>
            </w:pPr>
          </w:p>
        </w:tc>
        <w:tc>
          <w:tcPr>
            <w:tcW w:w="8080" w:type="dxa"/>
            <w:vAlign w:val="bottom"/>
            <w:tcBorders>
              <w:right w:val="single" w:sz="8" w:color="00000A"/>
            </w:tcBorders>
          </w:tcPr>
          <w:p>
            <w:pPr>
              <w:ind w:left="400"/>
              <w:spacing w:after="0"/>
              <w:rPr>
                <w:sz w:val="20"/>
                <w:szCs w:val="20"/>
                <w:color w:val="auto"/>
              </w:rPr>
            </w:pPr>
            <w:r>
              <w:rPr>
                <w:rFonts w:ascii="Arial" w:cs="Arial" w:eastAsia="Arial" w:hAnsi="Arial"/>
                <w:sz w:val="14"/>
                <w:szCs w:val="14"/>
                <w:color w:val="auto"/>
              </w:rPr>
              <w:t>weighting</w:t>
            </w:r>
          </w:p>
        </w:tc>
        <w:tc>
          <w:tcPr>
            <w:tcW w:w="0" w:type="dxa"/>
            <w:vAlign w:val="bottom"/>
          </w:tcPr>
          <w:p>
            <w:pPr>
              <w:spacing w:after="0"/>
              <w:rPr>
                <w:sz w:val="1"/>
                <w:szCs w:val="1"/>
                <w:color w:val="auto"/>
              </w:rPr>
            </w:pPr>
          </w:p>
        </w:tc>
      </w:tr>
      <w:tr>
        <w:trPr>
          <w:trHeight w:val="187"/>
        </w:trPr>
        <w:tc>
          <w:tcPr>
            <w:tcW w:w="3020" w:type="dxa"/>
            <w:vAlign w:val="bottom"/>
            <w:tcBorders>
              <w:left w:val="single" w:sz="8" w:color="00000A"/>
              <w:bottom w:val="single" w:sz="8" w:color="00000A"/>
              <w:right w:val="single" w:sz="8" w:color="00000A"/>
            </w:tcBorders>
          </w:tcPr>
          <w:p>
            <w:pPr>
              <w:spacing w:after="0"/>
              <w:rPr>
                <w:sz w:val="16"/>
                <w:szCs w:val="16"/>
                <w:color w:val="auto"/>
              </w:rPr>
            </w:pPr>
          </w:p>
        </w:tc>
        <w:tc>
          <w:tcPr>
            <w:tcW w:w="120" w:type="dxa"/>
            <w:vAlign w:val="bottom"/>
            <w:tcBorders>
              <w:bottom w:val="single" w:sz="8" w:color="00000A"/>
            </w:tcBorders>
          </w:tcPr>
          <w:p>
            <w:pPr>
              <w:ind w:left="40"/>
              <w:spacing w:after="0"/>
              <w:rPr>
                <w:sz w:val="20"/>
                <w:szCs w:val="20"/>
                <w:color w:val="auto"/>
              </w:rPr>
            </w:pPr>
            <w:r>
              <w:rPr>
                <w:rFonts w:ascii="Arial" w:cs="Arial" w:eastAsia="Arial" w:hAnsi="Arial"/>
                <w:sz w:val="14"/>
                <w:szCs w:val="14"/>
                <w:color w:val="auto"/>
              </w:rPr>
              <w:t>•</w:t>
            </w:r>
          </w:p>
        </w:tc>
        <w:tc>
          <w:tcPr>
            <w:tcW w:w="808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14"/>
                <w:szCs w:val="14"/>
                <w:color w:val="auto"/>
              </w:rPr>
              <w:t>20% qualitative performance metrics</w:t>
            </w:r>
          </w:p>
        </w:tc>
        <w:tc>
          <w:tcPr>
            <w:tcW w:w="0" w:type="dxa"/>
            <w:vAlign w:val="bottom"/>
          </w:tcPr>
          <w:p>
            <w:pPr>
              <w:spacing w:after="0"/>
              <w:rPr>
                <w:sz w:val="1"/>
                <w:szCs w:val="1"/>
                <w:color w:val="auto"/>
              </w:rPr>
            </w:pPr>
          </w:p>
        </w:tc>
      </w:tr>
      <w:tr>
        <w:trPr>
          <w:trHeight w:val="141"/>
        </w:trPr>
        <w:tc>
          <w:tcPr>
            <w:tcW w:w="3020" w:type="dxa"/>
            <w:vAlign w:val="bottom"/>
            <w:tcBorders>
              <w:left w:val="single" w:sz="8" w:color="00000A"/>
              <w:right w:val="single" w:sz="8" w:color="00000A"/>
            </w:tcBorders>
          </w:tcPr>
          <w:p>
            <w:pPr>
              <w:spacing w:after="0"/>
              <w:rPr>
                <w:sz w:val="12"/>
                <w:szCs w:val="12"/>
                <w:color w:val="auto"/>
              </w:rPr>
            </w:pPr>
          </w:p>
        </w:tc>
        <w:tc>
          <w:tcPr>
            <w:tcW w:w="120" w:type="dxa"/>
            <w:vAlign w:val="bottom"/>
          </w:tcPr>
          <w:p>
            <w:pPr>
              <w:ind w:left="40"/>
              <w:spacing w:after="0" w:line="141" w:lineRule="exact"/>
              <w:rPr>
                <w:sz w:val="20"/>
                <w:szCs w:val="20"/>
                <w:color w:val="auto"/>
              </w:rPr>
            </w:pPr>
            <w:r>
              <w:rPr>
                <w:rFonts w:ascii="Arial" w:cs="Arial" w:eastAsia="Arial" w:hAnsi="Arial"/>
                <w:sz w:val="14"/>
                <w:szCs w:val="14"/>
                <w:color w:val="auto"/>
              </w:rPr>
              <w:t>•</w:t>
            </w:r>
          </w:p>
        </w:tc>
        <w:tc>
          <w:tcPr>
            <w:tcW w:w="8080" w:type="dxa"/>
            <w:vAlign w:val="bottom"/>
            <w:tcBorders>
              <w:right w:val="single" w:sz="8" w:color="00000A"/>
            </w:tcBorders>
          </w:tcPr>
          <w:p>
            <w:pPr>
              <w:ind w:left="40"/>
              <w:spacing w:after="0" w:line="141" w:lineRule="exact"/>
              <w:rPr>
                <w:sz w:val="20"/>
                <w:szCs w:val="20"/>
                <w:color w:val="auto"/>
              </w:rPr>
            </w:pPr>
            <w:r>
              <w:rPr>
                <w:rFonts w:ascii="Arial" w:cs="Arial" w:eastAsia="Arial" w:hAnsi="Arial"/>
                <w:sz w:val="14"/>
                <w:szCs w:val="14"/>
                <w:color w:val="auto"/>
              </w:rPr>
              <w:t>Three-year plan</w:t>
            </w:r>
          </w:p>
        </w:tc>
        <w:tc>
          <w:tcPr>
            <w:tcW w:w="0" w:type="dxa"/>
            <w:vAlign w:val="bottom"/>
          </w:tcPr>
          <w:p>
            <w:pPr>
              <w:spacing w:after="0"/>
              <w:rPr>
                <w:sz w:val="1"/>
                <w:szCs w:val="1"/>
                <w:color w:val="auto"/>
              </w:rPr>
            </w:pPr>
          </w:p>
        </w:tc>
      </w:tr>
      <w:tr>
        <w:trPr>
          <w:trHeight w:val="147"/>
        </w:trPr>
        <w:tc>
          <w:tcPr>
            <w:tcW w:w="3020" w:type="dxa"/>
            <w:vAlign w:val="bottom"/>
            <w:tcBorders>
              <w:left w:val="single" w:sz="8" w:color="00000A"/>
              <w:right w:val="single" w:sz="8" w:color="00000A"/>
            </w:tcBorders>
          </w:tcPr>
          <w:p>
            <w:pPr>
              <w:spacing w:after="0"/>
              <w:rPr>
                <w:sz w:val="12"/>
                <w:szCs w:val="12"/>
                <w:color w:val="auto"/>
              </w:rPr>
            </w:pPr>
          </w:p>
        </w:tc>
        <w:tc>
          <w:tcPr>
            <w:tcW w:w="120" w:type="dxa"/>
            <w:vAlign w:val="bottom"/>
          </w:tcPr>
          <w:p>
            <w:pPr>
              <w:ind w:left="40"/>
              <w:spacing w:after="0" w:line="147" w:lineRule="exact"/>
              <w:rPr>
                <w:sz w:val="20"/>
                <w:szCs w:val="20"/>
                <w:color w:val="auto"/>
              </w:rPr>
            </w:pPr>
            <w:r>
              <w:rPr>
                <w:rFonts w:ascii="Arial" w:cs="Arial" w:eastAsia="Arial" w:hAnsi="Arial"/>
                <w:sz w:val="14"/>
                <w:szCs w:val="14"/>
                <w:color w:val="auto"/>
              </w:rPr>
              <w:t>•</w:t>
            </w:r>
          </w:p>
        </w:tc>
        <w:tc>
          <w:tcPr>
            <w:tcW w:w="8080" w:type="dxa"/>
            <w:vAlign w:val="bottom"/>
            <w:tcBorders>
              <w:right w:val="single" w:sz="8" w:color="00000A"/>
            </w:tcBorders>
          </w:tcPr>
          <w:p>
            <w:pPr>
              <w:ind w:left="40"/>
              <w:spacing w:after="0" w:line="147" w:lineRule="exact"/>
              <w:rPr>
                <w:sz w:val="20"/>
                <w:szCs w:val="20"/>
                <w:color w:val="auto"/>
              </w:rPr>
            </w:pPr>
            <w:r>
              <w:rPr>
                <w:rFonts w:ascii="Arial" w:cs="Arial" w:eastAsia="Arial" w:hAnsi="Arial"/>
                <w:sz w:val="14"/>
                <w:szCs w:val="14"/>
                <w:color w:val="auto"/>
              </w:rPr>
              <w:t>Three-year sustained performance period</w:t>
            </w:r>
          </w:p>
        </w:tc>
        <w:tc>
          <w:tcPr>
            <w:tcW w:w="0" w:type="dxa"/>
            <w:vAlign w:val="bottom"/>
          </w:tcPr>
          <w:p>
            <w:pPr>
              <w:spacing w:after="0"/>
              <w:rPr>
                <w:sz w:val="1"/>
                <w:szCs w:val="1"/>
                <w:color w:val="auto"/>
              </w:rPr>
            </w:pPr>
          </w:p>
        </w:tc>
      </w:tr>
      <w:tr>
        <w:trPr>
          <w:trHeight w:val="147"/>
        </w:trPr>
        <w:tc>
          <w:tcPr>
            <w:tcW w:w="3020" w:type="dxa"/>
            <w:vAlign w:val="bottom"/>
            <w:tcBorders>
              <w:left w:val="single" w:sz="8" w:color="00000A"/>
              <w:right w:val="single" w:sz="8" w:color="00000A"/>
            </w:tcBorders>
          </w:tcPr>
          <w:p>
            <w:pPr>
              <w:spacing w:after="0"/>
              <w:rPr>
                <w:sz w:val="12"/>
                <w:szCs w:val="12"/>
                <w:color w:val="auto"/>
              </w:rPr>
            </w:pPr>
          </w:p>
        </w:tc>
        <w:tc>
          <w:tcPr>
            <w:tcW w:w="120" w:type="dxa"/>
            <w:vAlign w:val="bottom"/>
          </w:tcPr>
          <w:p>
            <w:pPr>
              <w:ind w:left="40"/>
              <w:spacing w:after="0" w:line="147" w:lineRule="exact"/>
              <w:rPr>
                <w:sz w:val="20"/>
                <w:szCs w:val="20"/>
                <w:color w:val="auto"/>
              </w:rPr>
            </w:pPr>
            <w:r>
              <w:rPr>
                <w:rFonts w:ascii="Arial" w:cs="Arial" w:eastAsia="Arial" w:hAnsi="Arial"/>
                <w:sz w:val="14"/>
                <w:szCs w:val="14"/>
                <w:color w:val="auto"/>
              </w:rPr>
              <w:t>•</w:t>
            </w:r>
          </w:p>
        </w:tc>
        <w:tc>
          <w:tcPr>
            <w:tcW w:w="8080" w:type="dxa"/>
            <w:vAlign w:val="bottom"/>
            <w:tcBorders>
              <w:right w:val="single" w:sz="8" w:color="00000A"/>
            </w:tcBorders>
          </w:tcPr>
          <w:p>
            <w:pPr>
              <w:ind w:left="40"/>
              <w:spacing w:after="0" w:line="147" w:lineRule="exact"/>
              <w:rPr>
                <w:sz w:val="20"/>
                <w:szCs w:val="20"/>
                <w:color w:val="auto"/>
              </w:rPr>
            </w:pPr>
            <w:r>
              <w:rPr>
                <w:rFonts w:ascii="Arial" w:cs="Arial" w:eastAsia="Arial" w:hAnsi="Arial"/>
                <w:sz w:val="14"/>
                <w:szCs w:val="14"/>
                <w:color w:val="auto"/>
              </w:rPr>
              <w:t>Three-year cliff vesting</w:t>
            </w:r>
          </w:p>
        </w:tc>
        <w:tc>
          <w:tcPr>
            <w:tcW w:w="0" w:type="dxa"/>
            <w:vAlign w:val="bottom"/>
          </w:tcPr>
          <w:p>
            <w:pPr>
              <w:spacing w:after="0"/>
              <w:rPr>
                <w:sz w:val="1"/>
                <w:szCs w:val="1"/>
                <w:color w:val="auto"/>
              </w:rPr>
            </w:pPr>
          </w:p>
        </w:tc>
      </w:tr>
      <w:tr>
        <w:trPr>
          <w:trHeight w:val="193"/>
        </w:trPr>
        <w:tc>
          <w:tcPr>
            <w:tcW w:w="30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6"/>
                <w:szCs w:val="16"/>
                <w:b w:val="1"/>
                <w:bCs w:val="1"/>
                <w:color w:val="auto"/>
              </w:rPr>
              <w:t>Long-Term Incentive Plan</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8080" w:type="dxa"/>
            <w:vAlign w:val="bottom"/>
            <w:tcBorders>
              <w:right w:val="single" w:sz="8" w:color="00000A"/>
            </w:tcBorders>
          </w:tcPr>
          <w:p>
            <w:pPr>
              <w:ind w:left="40"/>
              <w:spacing w:after="0"/>
              <w:rPr>
                <w:sz w:val="20"/>
                <w:szCs w:val="20"/>
                <w:color w:val="auto"/>
              </w:rPr>
            </w:pPr>
            <w:r>
              <w:rPr>
                <w:rFonts w:ascii="Arial" w:cs="Arial" w:eastAsia="Arial" w:hAnsi="Arial"/>
                <w:sz w:val="14"/>
                <w:szCs w:val="14"/>
                <w:color w:val="auto"/>
              </w:rPr>
              <w:t>100% quantitative performance metrics</w:t>
            </w:r>
          </w:p>
        </w:tc>
        <w:tc>
          <w:tcPr>
            <w:tcW w:w="0" w:type="dxa"/>
            <w:vAlign w:val="bottom"/>
          </w:tcPr>
          <w:p>
            <w:pPr>
              <w:spacing w:after="0"/>
              <w:rPr>
                <w:sz w:val="1"/>
                <w:szCs w:val="1"/>
                <w:color w:val="auto"/>
              </w:rPr>
            </w:pPr>
          </w:p>
        </w:tc>
      </w:tr>
      <w:tr>
        <w:trPr>
          <w:trHeight w:val="102"/>
        </w:trPr>
        <w:tc>
          <w:tcPr>
            <w:tcW w:w="3020" w:type="dxa"/>
            <w:vAlign w:val="bottom"/>
            <w:tcBorders>
              <w:left w:val="single" w:sz="8" w:color="00000A"/>
              <w:right w:val="single" w:sz="8" w:color="00000A"/>
            </w:tcBorders>
            <w:vMerge w:val="restart"/>
          </w:tcPr>
          <w:p>
            <w:pPr>
              <w:ind w:left="60"/>
              <w:spacing w:after="0"/>
              <w:rPr>
                <w:sz w:val="20"/>
                <w:szCs w:val="20"/>
                <w:color w:val="auto"/>
              </w:rPr>
            </w:pPr>
            <w:r>
              <w:rPr>
                <w:rFonts w:ascii="Arial" w:cs="Arial" w:eastAsia="Arial" w:hAnsi="Arial"/>
                <w:sz w:val="16"/>
                <w:szCs w:val="16"/>
                <w:b w:val="1"/>
                <w:bCs w:val="1"/>
                <w:color w:val="auto"/>
              </w:rPr>
              <w:t>100% Performance-Based</w:t>
            </w:r>
          </w:p>
        </w:tc>
        <w:tc>
          <w:tcPr>
            <w:tcW w:w="120" w:type="dxa"/>
            <w:vAlign w:val="bottom"/>
          </w:tcPr>
          <w:p>
            <w:pPr>
              <w:spacing w:after="0"/>
              <w:rPr>
                <w:sz w:val="8"/>
                <w:szCs w:val="8"/>
                <w:color w:val="auto"/>
              </w:rPr>
            </w:pPr>
          </w:p>
        </w:tc>
        <w:tc>
          <w:tcPr>
            <w:tcW w:w="8080" w:type="dxa"/>
            <w:vAlign w:val="bottom"/>
            <w:tcBorders>
              <w:right w:val="single" w:sz="8" w:color="00000A"/>
            </w:tcBorders>
          </w:tcPr>
          <w:p>
            <w:pPr>
              <w:ind w:left="160"/>
              <w:spacing w:after="0" w:line="102" w:lineRule="exact"/>
              <w:rPr>
                <w:sz w:val="20"/>
                <w:szCs w:val="20"/>
                <w:color w:val="auto"/>
              </w:rPr>
            </w:pPr>
            <w:r>
              <w:rPr>
                <w:rFonts w:ascii="Arial" w:cs="Arial" w:eastAsia="Arial" w:hAnsi="Arial"/>
                <w:sz w:val="11"/>
                <w:szCs w:val="11"/>
                <w:color w:val="auto"/>
              </w:rPr>
              <w:t>◦   Two performance metrics set at challenging levels relative to peers* weighted as follows:</w:t>
            </w:r>
          </w:p>
        </w:tc>
        <w:tc>
          <w:tcPr>
            <w:tcW w:w="0" w:type="dxa"/>
            <w:vAlign w:val="bottom"/>
          </w:tcPr>
          <w:p>
            <w:pPr>
              <w:spacing w:after="0"/>
              <w:rPr>
                <w:sz w:val="1"/>
                <w:szCs w:val="1"/>
                <w:color w:val="auto"/>
              </w:rPr>
            </w:pPr>
          </w:p>
        </w:tc>
      </w:tr>
      <w:tr>
        <w:trPr>
          <w:trHeight w:val="147"/>
        </w:trPr>
        <w:tc>
          <w:tcPr>
            <w:tcW w:w="3020" w:type="dxa"/>
            <w:vAlign w:val="bottom"/>
            <w:tcBorders>
              <w:left w:val="single" w:sz="8" w:color="00000A"/>
              <w:right w:val="single" w:sz="8" w:color="00000A"/>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8080" w:type="dxa"/>
            <w:vAlign w:val="bottom"/>
            <w:tcBorders>
              <w:right w:val="single" w:sz="8" w:color="00000A"/>
            </w:tcBorders>
          </w:tcPr>
          <w:p>
            <w:pPr>
              <w:ind w:left="400"/>
              <w:spacing w:after="0" w:line="147" w:lineRule="exact"/>
              <w:rPr>
                <w:sz w:val="20"/>
                <w:szCs w:val="20"/>
                <w:color w:val="auto"/>
              </w:rPr>
            </w:pPr>
            <w:r>
              <w:rPr>
                <w:rFonts w:ascii="Arial" w:cs="Arial" w:eastAsia="Arial" w:hAnsi="Arial"/>
                <w:sz w:val="14"/>
                <w:szCs w:val="14"/>
                <w:color w:val="auto"/>
              </w:rPr>
              <w:t>▪ Return-on-Common-Equity (50%); and</w:t>
            </w:r>
          </w:p>
        </w:tc>
        <w:tc>
          <w:tcPr>
            <w:tcW w:w="0" w:type="dxa"/>
            <w:vAlign w:val="bottom"/>
          </w:tcPr>
          <w:p>
            <w:pPr>
              <w:spacing w:after="0"/>
              <w:rPr>
                <w:sz w:val="1"/>
                <w:szCs w:val="1"/>
                <w:color w:val="auto"/>
              </w:rPr>
            </w:pPr>
          </w:p>
        </w:tc>
      </w:tr>
      <w:tr>
        <w:trPr>
          <w:trHeight w:val="147"/>
        </w:trPr>
        <w:tc>
          <w:tcPr>
            <w:tcW w:w="3020" w:type="dxa"/>
            <w:vAlign w:val="bottom"/>
            <w:tcBorders>
              <w:left w:val="single" w:sz="8" w:color="00000A"/>
              <w:right w:val="single" w:sz="8" w:color="00000A"/>
            </w:tcBorders>
          </w:tcPr>
          <w:p>
            <w:pPr>
              <w:spacing w:after="0"/>
              <w:rPr>
                <w:sz w:val="12"/>
                <w:szCs w:val="12"/>
                <w:color w:val="auto"/>
              </w:rPr>
            </w:pPr>
          </w:p>
        </w:tc>
        <w:tc>
          <w:tcPr>
            <w:tcW w:w="120" w:type="dxa"/>
            <w:vAlign w:val="bottom"/>
          </w:tcPr>
          <w:p>
            <w:pPr>
              <w:spacing w:after="0"/>
              <w:rPr>
                <w:sz w:val="12"/>
                <w:szCs w:val="12"/>
                <w:color w:val="auto"/>
              </w:rPr>
            </w:pPr>
          </w:p>
        </w:tc>
        <w:tc>
          <w:tcPr>
            <w:tcW w:w="8080" w:type="dxa"/>
            <w:vAlign w:val="bottom"/>
            <w:tcBorders>
              <w:right w:val="single" w:sz="8" w:color="00000A"/>
            </w:tcBorders>
          </w:tcPr>
          <w:p>
            <w:pPr>
              <w:ind w:left="400"/>
              <w:spacing w:after="0" w:line="147" w:lineRule="exact"/>
              <w:rPr>
                <w:sz w:val="20"/>
                <w:szCs w:val="20"/>
                <w:color w:val="auto"/>
              </w:rPr>
            </w:pPr>
            <w:r>
              <w:rPr>
                <w:rFonts w:ascii="Arial" w:cs="Arial" w:eastAsia="Arial" w:hAnsi="Arial"/>
                <w:sz w:val="14"/>
                <w:szCs w:val="14"/>
                <w:color w:val="auto"/>
              </w:rPr>
              <w:t>▪ Stock Price-to-Book Ratio (50%).</w:t>
            </w:r>
          </w:p>
        </w:tc>
        <w:tc>
          <w:tcPr>
            <w:tcW w:w="0" w:type="dxa"/>
            <w:vAlign w:val="bottom"/>
          </w:tcPr>
          <w:p>
            <w:pPr>
              <w:spacing w:after="0"/>
              <w:rPr>
                <w:sz w:val="1"/>
                <w:szCs w:val="1"/>
                <w:color w:val="auto"/>
              </w:rPr>
            </w:pPr>
          </w:p>
        </w:tc>
      </w:tr>
      <w:tr>
        <w:trPr>
          <w:trHeight w:val="147"/>
        </w:trPr>
        <w:tc>
          <w:tcPr>
            <w:tcW w:w="3020" w:type="dxa"/>
            <w:vAlign w:val="bottom"/>
            <w:tcBorders>
              <w:left w:val="single" w:sz="8" w:color="00000A"/>
              <w:right w:val="single" w:sz="8" w:color="00000A"/>
            </w:tcBorders>
          </w:tcPr>
          <w:p>
            <w:pPr>
              <w:spacing w:after="0"/>
              <w:rPr>
                <w:sz w:val="12"/>
                <w:szCs w:val="12"/>
                <w:color w:val="auto"/>
              </w:rPr>
            </w:pPr>
          </w:p>
        </w:tc>
        <w:tc>
          <w:tcPr>
            <w:tcW w:w="120" w:type="dxa"/>
            <w:vAlign w:val="bottom"/>
          </w:tcPr>
          <w:p>
            <w:pPr>
              <w:ind w:left="40"/>
              <w:spacing w:after="0" w:line="147" w:lineRule="exact"/>
              <w:rPr>
                <w:sz w:val="20"/>
                <w:szCs w:val="20"/>
                <w:color w:val="auto"/>
              </w:rPr>
            </w:pPr>
            <w:r>
              <w:rPr>
                <w:rFonts w:ascii="Arial" w:cs="Arial" w:eastAsia="Arial" w:hAnsi="Arial"/>
                <w:sz w:val="14"/>
                <w:szCs w:val="14"/>
                <w:color w:val="auto"/>
              </w:rPr>
              <w:t>•</w:t>
            </w:r>
          </w:p>
        </w:tc>
        <w:tc>
          <w:tcPr>
            <w:tcW w:w="8080" w:type="dxa"/>
            <w:vAlign w:val="bottom"/>
            <w:tcBorders>
              <w:right w:val="single" w:sz="8" w:color="00000A"/>
            </w:tcBorders>
          </w:tcPr>
          <w:p>
            <w:pPr>
              <w:ind w:left="40"/>
              <w:spacing w:after="0" w:line="147" w:lineRule="exact"/>
              <w:rPr>
                <w:sz w:val="20"/>
                <w:szCs w:val="20"/>
                <w:color w:val="auto"/>
              </w:rPr>
            </w:pPr>
            <w:r>
              <w:rPr>
                <w:rFonts w:ascii="Arial" w:cs="Arial" w:eastAsia="Arial" w:hAnsi="Arial"/>
                <w:sz w:val="14"/>
                <w:szCs w:val="14"/>
                <w:color w:val="auto"/>
              </w:rPr>
              <w:t>To achieve full payout, top quartile performance in Return-on-Common-Equity and Stock Price-to-Book Ratio must occur</w:t>
            </w:r>
          </w:p>
        </w:tc>
        <w:tc>
          <w:tcPr>
            <w:tcW w:w="0" w:type="dxa"/>
            <w:vAlign w:val="bottom"/>
          </w:tcPr>
          <w:p>
            <w:pPr>
              <w:spacing w:after="0"/>
              <w:rPr>
                <w:sz w:val="1"/>
                <w:szCs w:val="1"/>
                <w:color w:val="auto"/>
              </w:rPr>
            </w:pPr>
          </w:p>
        </w:tc>
      </w:tr>
      <w:tr>
        <w:trPr>
          <w:trHeight w:val="181"/>
        </w:trPr>
        <w:tc>
          <w:tcPr>
            <w:tcW w:w="3020" w:type="dxa"/>
            <w:vAlign w:val="bottom"/>
            <w:tcBorders>
              <w:left w:val="single" w:sz="8" w:color="00000A"/>
              <w:right w:val="single" w:sz="8" w:color="00000A"/>
            </w:tcBorders>
          </w:tcPr>
          <w:p>
            <w:pPr>
              <w:spacing w:after="0"/>
              <w:rPr>
                <w:sz w:val="15"/>
                <w:szCs w:val="15"/>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8080" w:type="dxa"/>
            <w:vAlign w:val="bottom"/>
            <w:tcBorders>
              <w:right w:val="single" w:sz="8" w:color="00000A"/>
            </w:tcBorders>
          </w:tcPr>
          <w:p>
            <w:pPr>
              <w:ind w:left="40"/>
              <w:spacing w:after="0"/>
              <w:rPr>
                <w:sz w:val="20"/>
                <w:szCs w:val="20"/>
                <w:color w:val="auto"/>
              </w:rPr>
            </w:pPr>
            <w:r>
              <w:rPr>
                <w:rFonts w:ascii="Arial" w:cs="Arial" w:eastAsia="Arial" w:hAnsi="Arial"/>
                <w:sz w:val="14"/>
                <w:szCs w:val="14"/>
                <w:color w:val="auto"/>
                <w:w w:val="94"/>
              </w:rPr>
              <w:t>To achieve any payout, top two quartile performance must occur with the actual payout determined by performance and metric weighting</w:t>
            </w:r>
          </w:p>
        </w:tc>
        <w:tc>
          <w:tcPr>
            <w:tcW w:w="0" w:type="dxa"/>
            <w:vAlign w:val="bottom"/>
          </w:tcPr>
          <w:p>
            <w:pPr>
              <w:spacing w:after="0"/>
              <w:rPr>
                <w:sz w:val="1"/>
                <w:szCs w:val="1"/>
                <w:color w:val="auto"/>
              </w:rPr>
            </w:pPr>
          </w:p>
        </w:tc>
      </w:tr>
      <w:tr>
        <w:trPr>
          <w:trHeight w:val="25"/>
        </w:trPr>
        <w:tc>
          <w:tcPr>
            <w:tcW w:w="3020" w:type="dxa"/>
            <w:vAlign w:val="bottom"/>
            <w:tcBorders>
              <w:left w:val="single" w:sz="8" w:color="00000A"/>
              <w:bottom w:val="single" w:sz="8" w:color="auto"/>
              <w:right w:val="single" w:sz="8" w:color="00000A"/>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80" w:type="dxa"/>
            <w:vAlign w:val="bottom"/>
            <w:tcBorders>
              <w:bottom w:val="single" w:sz="8" w:color="auto"/>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60"/>
        <w:spacing w:after="0"/>
        <w:rPr>
          <w:sz w:val="20"/>
          <w:szCs w:val="20"/>
          <w:color w:val="auto"/>
        </w:rPr>
      </w:pPr>
      <w:r>
        <w:rPr>
          <w:rFonts w:ascii="Arial" w:cs="Arial" w:eastAsia="Arial" w:hAnsi="Arial"/>
          <w:sz w:val="13"/>
          <w:szCs w:val="13"/>
          <w:color w:val="auto"/>
        </w:rPr>
        <w:t>*S&amp;P Supercomposite Regional Bank Index (excluding banks with assets &gt; $50.0 billion) as of January 4, 2021.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Weighting of Performance Metrics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(100%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301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3590" cy="2301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Compensation Policies and Practices</w:t>
      </w:r>
    </w:p>
    <w:p>
      <w:pPr>
        <w:spacing w:after="0" w:line="235" w:lineRule="exact"/>
        <w:rPr>
          <w:sz w:val="20"/>
          <w:szCs w:val="20"/>
          <w:color w:val="auto"/>
        </w:rPr>
      </w:pPr>
    </w:p>
    <w:p>
      <w:pPr>
        <w:ind w:right="80" w:firstLine="546"/>
        <w:spacing w:after="0" w:line="364" w:lineRule="auto"/>
        <w:rPr>
          <w:sz w:val="20"/>
          <w:szCs w:val="20"/>
          <w:color w:val="auto"/>
        </w:rPr>
      </w:pPr>
      <w:r>
        <w:rPr>
          <w:rFonts w:ascii="Arial" w:cs="Arial" w:eastAsia="Arial" w:hAnsi="Arial"/>
          <w:sz w:val="14"/>
          <w:szCs w:val="14"/>
          <w:color w:val="auto"/>
        </w:rPr>
        <w:t>Our executive compensation and corporate governance programs are designed to closely link pay with operational performance and increases in long-term shareholder value while minimizing excessive risk taking. To help us accomplish these important objectives, we have adopted the following policies and practices over time:</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Compensation Program Governance Summary</w:t>
      </w:r>
    </w:p>
    <w:p>
      <w:pPr>
        <w:spacing w:after="0" w:line="338"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What we do</w:t>
      </w:r>
    </w:p>
    <w:p>
      <w:pPr>
        <w:spacing w:after="0" w:line="128" w:lineRule="exact"/>
        <w:rPr>
          <w:sz w:val="20"/>
          <w:szCs w:val="20"/>
          <w:color w:val="auto"/>
        </w:rPr>
      </w:pPr>
    </w:p>
    <w:p>
      <w:pPr>
        <w:ind w:left="1020" w:hanging="291"/>
        <w:spacing w:after="0"/>
        <w:tabs>
          <w:tab w:leader="none" w:pos="10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Maintain a robust shareholder engagement process</w:t>
      </w:r>
    </w:p>
    <w:p>
      <w:pPr>
        <w:spacing w:after="0" w:line="123" w:lineRule="exact"/>
        <w:rPr>
          <w:rFonts w:ascii="Arial" w:cs="Arial" w:eastAsia="Arial" w:hAnsi="Arial"/>
          <w:sz w:val="16"/>
          <w:szCs w:val="16"/>
          <w:color w:val="auto"/>
        </w:rPr>
      </w:pPr>
    </w:p>
    <w:p>
      <w:pPr>
        <w:ind w:left="1020" w:hanging="291"/>
        <w:spacing w:after="0"/>
        <w:tabs>
          <w:tab w:leader="none" w:pos="10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Demonstrate responsiveness to shareholder concerns and general feedback</w:t>
      </w:r>
    </w:p>
    <w:p>
      <w:pPr>
        <w:spacing w:after="0" w:line="123" w:lineRule="exact"/>
        <w:rPr>
          <w:rFonts w:ascii="Arial" w:cs="Arial" w:eastAsia="Arial" w:hAnsi="Arial"/>
          <w:sz w:val="16"/>
          <w:szCs w:val="16"/>
          <w:color w:val="auto"/>
        </w:rPr>
      </w:pPr>
    </w:p>
    <w:p>
      <w:pPr>
        <w:ind w:left="1020" w:hanging="291"/>
        <w:spacing w:after="0"/>
        <w:tabs>
          <w:tab w:leader="none" w:pos="10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Pay for performance by tying a substantial portion of executive compensation to performance goals</w:t>
      </w:r>
    </w:p>
    <w:p>
      <w:pPr>
        <w:spacing w:after="0" w:line="123" w:lineRule="exact"/>
        <w:rPr>
          <w:rFonts w:ascii="Arial" w:cs="Arial" w:eastAsia="Arial" w:hAnsi="Arial"/>
          <w:sz w:val="16"/>
          <w:szCs w:val="16"/>
          <w:color w:val="auto"/>
        </w:rPr>
      </w:pPr>
    </w:p>
    <w:p>
      <w:pPr>
        <w:ind w:left="1060" w:right="120" w:hanging="331"/>
        <w:spacing w:after="0" w:line="289" w:lineRule="auto"/>
        <w:tabs>
          <w:tab w:leader="none" w:pos="1036" w:val="left"/>
        </w:tabs>
        <w:numPr>
          <w:ilvl w:val="0"/>
          <w:numId w:val="65"/>
        </w:numPr>
        <w:rPr>
          <w:rFonts w:ascii="Arial" w:cs="Arial" w:eastAsia="Arial" w:hAnsi="Arial"/>
          <w:sz w:val="16"/>
          <w:szCs w:val="16"/>
          <w:color w:val="auto"/>
        </w:rPr>
      </w:pPr>
      <w:r>
        <w:rPr>
          <w:rFonts w:ascii="Arial" w:cs="Arial" w:eastAsia="Arial" w:hAnsi="Arial"/>
          <w:sz w:val="16"/>
          <w:szCs w:val="16"/>
          <w:color w:val="auto"/>
        </w:rPr>
        <w:t>Evaluate executive compensation data and practices of our peer group companies as selected annually by the Committee with guidance from the independent compensation consultant</w:t>
      </w:r>
    </w:p>
    <w:p>
      <w:pPr>
        <w:spacing w:after="0" w:line="65" w:lineRule="exact"/>
        <w:rPr>
          <w:rFonts w:ascii="Arial" w:cs="Arial" w:eastAsia="Arial" w:hAnsi="Arial"/>
          <w:sz w:val="16"/>
          <w:szCs w:val="16"/>
          <w:color w:val="auto"/>
        </w:rPr>
      </w:pPr>
    </w:p>
    <w:p>
      <w:pPr>
        <w:ind w:left="1020" w:hanging="291"/>
        <w:spacing w:after="0"/>
        <w:tabs>
          <w:tab w:leader="none" w:pos="10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Regularly conduct assessments to identify and mitigate risk in compensation programs</w:t>
      </w:r>
    </w:p>
    <w:p>
      <w:pPr>
        <w:spacing w:after="0" w:line="123" w:lineRule="exact"/>
        <w:rPr>
          <w:rFonts w:ascii="Arial" w:cs="Arial" w:eastAsia="Arial" w:hAnsi="Arial"/>
          <w:sz w:val="16"/>
          <w:szCs w:val="16"/>
          <w:color w:val="auto"/>
        </w:rPr>
      </w:pPr>
    </w:p>
    <w:p>
      <w:pPr>
        <w:ind w:left="1020" w:hanging="291"/>
        <w:spacing w:after="0"/>
        <w:tabs>
          <w:tab w:leader="none" w:pos="10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Maintain significant stock ownership requirements (5x base salary for CEO, 2x for other NEOs)</w:t>
      </w:r>
    </w:p>
    <w:p>
      <w:pPr>
        <w:spacing w:after="0" w:line="123" w:lineRule="exact"/>
        <w:rPr>
          <w:rFonts w:ascii="Arial" w:cs="Arial" w:eastAsia="Arial" w:hAnsi="Arial"/>
          <w:sz w:val="16"/>
          <w:szCs w:val="16"/>
          <w:color w:val="auto"/>
        </w:rPr>
      </w:pPr>
    </w:p>
    <w:p>
      <w:pPr>
        <w:ind w:left="1020" w:hanging="291"/>
        <w:spacing w:after="0"/>
        <w:tabs>
          <w:tab w:leader="none" w:pos="10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Maintain a clawback policy</w:t>
      </w:r>
    </w:p>
    <w:p>
      <w:pPr>
        <w:spacing w:after="0" w:line="123" w:lineRule="exact"/>
        <w:rPr>
          <w:rFonts w:ascii="Arial" w:cs="Arial" w:eastAsia="Arial" w:hAnsi="Arial"/>
          <w:sz w:val="16"/>
          <w:szCs w:val="16"/>
          <w:color w:val="auto"/>
        </w:rPr>
      </w:pPr>
    </w:p>
    <w:p>
      <w:pPr>
        <w:ind w:left="1020" w:hanging="291"/>
        <w:spacing w:after="0"/>
        <w:tabs>
          <w:tab w:leader="none" w:pos="1020" w:val="left"/>
        </w:tabs>
        <w:numPr>
          <w:ilvl w:val="0"/>
          <w:numId w:val="65"/>
        </w:numPr>
        <w:rPr>
          <w:rFonts w:ascii="Arial" w:cs="Arial" w:eastAsia="Arial" w:hAnsi="Arial"/>
          <w:sz w:val="15"/>
          <w:szCs w:val="15"/>
          <w:color w:val="auto"/>
        </w:rPr>
      </w:pPr>
      <w:r>
        <w:rPr>
          <w:rFonts w:ascii="Arial" w:cs="Arial" w:eastAsia="Arial" w:hAnsi="Arial"/>
          <w:sz w:val="15"/>
          <w:szCs w:val="15"/>
          <w:color w:val="auto"/>
        </w:rPr>
        <w:t>Engage an independent compensation consultant to evaluate and advise the Committee on executive compensation program design and pay decisions</w:t>
      </w:r>
    </w:p>
    <w:p>
      <w:pPr>
        <w:spacing w:after="0" w:line="135" w:lineRule="exact"/>
        <w:rPr>
          <w:rFonts w:ascii="Arial" w:cs="Arial" w:eastAsia="Arial" w:hAnsi="Arial"/>
          <w:sz w:val="15"/>
          <w:szCs w:val="15"/>
          <w:color w:val="auto"/>
        </w:rPr>
      </w:pPr>
    </w:p>
    <w:p>
      <w:pPr>
        <w:ind w:left="1020" w:hanging="291"/>
        <w:spacing w:after="0"/>
        <w:tabs>
          <w:tab w:leader="none" w:pos="10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Maintain an independent committee</w:t>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What we don’t do</w:t>
      </w:r>
    </w:p>
    <w:p>
      <w:pPr>
        <w:spacing w:after="0" w:line="128" w:lineRule="exact"/>
        <w:rPr>
          <w:sz w:val="20"/>
          <w:szCs w:val="20"/>
          <w:color w:val="auto"/>
        </w:rPr>
      </w:pPr>
    </w:p>
    <w:p>
      <w:pPr>
        <w:ind w:left="1020" w:hanging="291"/>
        <w:spacing w:after="0"/>
        <w:tabs>
          <w:tab w:leader="none" w:pos="10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 employment agreements with NEOs</w:t>
      </w:r>
    </w:p>
    <w:p>
      <w:pPr>
        <w:spacing w:after="0" w:line="123" w:lineRule="exact"/>
        <w:rPr>
          <w:rFonts w:ascii="Arial" w:cs="Arial" w:eastAsia="Arial" w:hAnsi="Arial"/>
          <w:sz w:val="16"/>
          <w:szCs w:val="16"/>
          <w:color w:val="auto"/>
        </w:rPr>
      </w:pPr>
    </w:p>
    <w:p>
      <w:pPr>
        <w:ind w:left="1020" w:hanging="291"/>
        <w:spacing w:after="0"/>
        <w:tabs>
          <w:tab w:leader="none" w:pos="10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 single-trigger change-in-control provisions</w:t>
      </w:r>
    </w:p>
    <w:p>
      <w:pPr>
        <w:spacing w:after="0" w:line="123" w:lineRule="exact"/>
        <w:rPr>
          <w:rFonts w:ascii="Arial" w:cs="Arial" w:eastAsia="Arial" w:hAnsi="Arial"/>
          <w:sz w:val="16"/>
          <w:szCs w:val="16"/>
          <w:color w:val="auto"/>
        </w:rPr>
      </w:pPr>
    </w:p>
    <w:p>
      <w:pPr>
        <w:ind w:left="1020" w:hanging="291"/>
        <w:spacing w:after="0"/>
        <w:tabs>
          <w:tab w:leader="none" w:pos="10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 tax gross-ups</w:t>
      </w:r>
    </w:p>
    <w:p>
      <w:pPr>
        <w:spacing w:after="0" w:line="123" w:lineRule="exact"/>
        <w:rPr>
          <w:rFonts w:ascii="Arial" w:cs="Arial" w:eastAsia="Arial" w:hAnsi="Arial"/>
          <w:sz w:val="16"/>
          <w:szCs w:val="16"/>
          <w:color w:val="auto"/>
        </w:rPr>
      </w:pPr>
    </w:p>
    <w:p>
      <w:pPr>
        <w:ind w:left="1020" w:hanging="291"/>
        <w:spacing w:after="0"/>
        <w:tabs>
          <w:tab w:leader="none" w:pos="10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 excessive perquisites</w:t>
      </w:r>
    </w:p>
    <w:p>
      <w:pPr>
        <w:spacing w:after="0" w:line="123" w:lineRule="exact"/>
        <w:rPr>
          <w:rFonts w:ascii="Arial" w:cs="Arial" w:eastAsia="Arial" w:hAnsi="Arial"/>
          <w:sz w:val="16"/>
          <w:szCs w:val="16"/>
          <w:color w:val="auto"/>
        </w:rPr>
      </w:pPr>
    </w:p>
    <w:p>
      <w:pPr>
        <w:ind w:left="1020" w:hanging="291"/>
        <w:spacing w:after="0"/>
        <w:tabs>
          <w:tab w:leader="none" w:pos="10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 hedging and pledging stock transactions by executives and directors</w:t>
      </w:r>
    </w:p>
    <w:p>
      <w:pPr>
        <w:spacing w:after="0" w:line="123" w:lineRule="exact"/>
        <w:rPr>
          <w:rFonts w:ascii="Arial" w:cs="Arial" w:eastAsia="Arial" w:hAnsi="Arial"/>
          <w:sz w:val="16"/>
          <w:szCs w:val="16"/>
          <w:color w:val="auto"/>
        </w:rPr>
      </w:pPr>
    </w:p>
    <w:p>
      <w:pPr>
        <w:ind w:left="1020" w:hanging="291"/>
        <w:spacing w:after="0"/>
        <w:tabs>
          <w:tab w:leader="none" w:pos="10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 repricing of equity incentive awards</w:t>
      </w:r>
    </w:p>
    <w:p>
      <w:pPr>
        <w:spacing w:after="0" w:line="200" w:lineRule="exact"/>
        <w:rPr>
          <w:sz w:val="20"/>
          <w:szCs w:val="20"/>
          <w:color w:val="auto"/>
        </w:rPr>
      </w:pPr>
    </w:p>
    <w:p>
      <w:pPr>
        <w:spacing w:after="0" w:line="227"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Business and Performance Overview</w:t>
      </w:r>
    </w:p>
    <w:p>
      <w:pPr>
        <w:spacing w:after="0" w:line="23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We are organized into three business segments for management reporting purposes: Consumer Banking, Commercial Banking, and Treasury and Other.</w:t>
      </w:r>
    </w:p>
    <w:p>
      <w:pPr>
        <w:spacing w:after="0" w:line="242" w:lineRule="exact"/>
        <w:rPr>
          <w:sz w:val="20"/>
          <w:szCs w:val="20"/>
          <w:color w:val="auto"/>
        </w:rPr>
      </w:pPr>
    </w:p>
    <w:p>
      <w:pPr>
        <w:ind w:right="80" w:firstLine="546"/>
        <w:spacing w:after="0" w:line="308" w:lineRule="auto"/>
        <w:rPr>
          <w:sz w:val="20"/>
          <w:szCs w:val="20"/>
          <w:color w:val="auto"/>
        </w:rPr>
      </w:pPr>
      <w:r>
        <w:rPr>
          <w:rFonts w:ascii="Arial" w:cs="Arial" w:eastAsia="Arial" w:hAnsi="Arial"/>
          <w:sz w:val="14"/>
          <w:szCs w:val="14"/>
          <w:color w:val="auto"/>
        </w:rPr>
        <w:t>Consumer Banking offers a broad range of financial products and services, including loan, deposit and insurance products; private banking and international client banking services; trust services; investment management; and institutional investment advisory services. Consumer Banking also provides a full service brokerage offering equities, mutual funds, life insurance, and annuity products. Loan and lease products include residential mortgage loans, home equity lines of credit, automobile loans and leases, personal lines of credit, installment loans, and small business loans and leases. Deposit products include checking, savings, and time deposit accounts. Private banking and personal trust groups assist individuals and families in building and preserving their wealth by providing investment, credit, and trust services to high-net-worth individuals. The investment management group manages portfolios utilizing a variety of investment products. Also within Consumer Banking, institutional client services offer investment advice to corporations, government entities, and foundations. Products and services from Consumer Banking are delivered to customers through 54 branch locations and 307 ATMs throughout Hawaii and the Pacific Islands, e-Bankoh (online banking service), a customer service center, and a mobile banking service.</w:t>
      </w:r>
    </w:p>
    <w:p>
      <w:pPr>
        <w:spacing w:after="0" w:line="166" w:lineRule="exact"/>
        <w:rPr>
          <w:sz w:val="20"/>
          <w:szCs w:val="20"/>
          <w:color w:val="auto"/>
        </w:rPr>
      </w:pPr>
    </w:p>
    <w:p>
      <w:pPr>
        <w:ind w:firstLine="546"/>
        <w:spacing w:after="0" w:line="294" w:lineRule="auto"/>
        <w:rPr>
          <w:sz w:val="20"/>
          <w:szCs w:val="20"/>
          <w:color w:val="auto"/>
        </w:rPr>
      </w:pPr>
      <w:r>
        <w:rPr>
          <w:rFonts w:ascii="Arial" w:cs="Arial" w:eastAsia="Arial" w:hAnsi="Arial"/>
          <w:sz w:val="15"/>
          <w:szCs w:val="15"/>
          <w:color w:val="auto"/>
        </w:rPr>
        <w:t>Commercial Banking offers products including corporate banking, commercial real estate loans, commercial lease financing, auto dealer financing, and deposit products. Commercial lending and deposit products are offered to middle-market and large companies in Hawaii and the Pacific Islands. In addition, Commercial Banking offers deposit products to government entities in Hawaii. Commercial real estate mortgages focus on customers that include investors, developers, and builders predominantly domiciled in Hawaii. Commercial Banking also includes international banking and provides merchant services to its customers.</w:t>
      </w:r>
    </w:p>
    <w:p>
      <w:pPr>
        <w:spacing w:after="0" w:line="171" w:lineRule="exact"/>
        <w:rPr>
          <w:sz w:val="20"/>
          <w:szCs w:val="20"/>
          <w:color w:val="auto"/>
        </w:rPr>
      </w:pPr>
    </w:p>
    <w:p>
      <w:pPr>
        <w:ind w:right="120" w:firstLine="546"/>
        <w:spacing w:after="0" w:line="270" w:lineRule="auto"/>
        <w:rPr>
          <w:sz w:val="20"/>
          <w:szCs w:val="20"/>
          <w:color w:val="auto"/>
        </w:rPr>
      </w:pPr>
      <w:r>
        <w:rPr>
          <w:rFonts w:ascii="Arial" w:cs="Arial" w:eastAsia="Arial" w:hAnsi="Arial"/>
          <w:sz w:val="16"/>
          <w:szCs w:val="16"/>
          <w:color w:val="auto"/>
        </w:rPr>
        <w:t>Treasury consists of corporate asset and liability management activities, including interest rate risk management and a foreign currency exchange business. This segment’s assets and liabilities (and related interest income and expense) consist of interest-bearing deposits, investment securities, federal funds sold and purchased, and short and long-term borrowings. The primary sources of noninterest income are from bank-owned life insurance, net gains from the sale of investment securities, and foreign exchange income related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customer-driven currency requests from merchants and island visitors. The net residual effect of the transfer pricing of assets and liabilities is included in Treasury, along with the elimination of intercompany transactions.</w:t>
      </w:r>
    </w:p>
    <w:p>
      <w:pPr>
        <w:spacing w:after="0" w:line="172" w:lineRule="exact"/>
        <w:rPr>
          <w:sz w:val="20"/>
          <w:szCs w:val="20"/>
          <w:color w:val="auto"/>
        </w:rPr>
      </w:pPr>
    </w:p>
    <w:p>
      <w:pPr>
        <w:ind w:right="20" w:firstLine="546"/>
        <w:spacing w:after="0" w:line="270" w:lineRule="auto"/>
        <w:rPr>
          <w:sz w:val="20"/>
          <w:szCs w:val="20"/>
          <w:color w:val="auto"/>
        </w:rPr>
      </w:pPr>
      <w:r>
        <w:rPr>
          <w:rFonts w:ascii="Arial" w:cs="Arial" w:eastAsia="Arial" w:hAnsi="Arial"/>
          <w:sz w:val="16"/>
          <w:szCs w:val="16"/>
          <w:color w:val="auto"/>
        </w:rPr>
        <w:t>We concluded 2021 with solid financial performance. Over the year our loan balances grew to $12.3 billion, an increase of 2.7% from 2020. Our deposit balances reached another record high, growing to $20.4 billion, up 11.8% from 2020, driven by increases in both consumer and commercial deposits. Our asset quality and capital and liquidity ratios remain strong. The Return-on-Common-Equity for the year increased to 17.92% from 2020, our Return-on-Assets increased to 1.14% from 2020, and our efficiency ratio was 58.86%.</w:t>
      </w:r>
    </w:p>
    <w:p>
      <w:pPr>
        <w:spacing w:after="0" w:line="184" w:lineRule="exact"/>
        <w:rPr>
          <w:sz w:val="20"/>
          <w:szCs w:val="20"/>
          <w:color w:val="auto"/>
        </w:rPr>
      </w:pPr>
    </w:p>
    <w:p>
      <w:pPr>
        <w:ind w:left="4440"/>
        <w:spacing w:after="0"/>
        <w:rPr>
          <w:sz w:val="20"/>
          <w:szCs w:val="20"/>
          <w:color w:val="auto"/>
        </w:rPr>
      </w:pPr>
      <w:r>
        <w:rPr>
          <w:rFonts w:ascii="Arial" w:cs="Arial" w:eastAsia="Arial" w:hAnsi="Arial"/>
          <w:sz w:val="16"/>
          <w:szCs w:val="16"/>
          <w:b w:val="1"/>
          <w:bCs w:val="1"/>
          <w:color w:val="auto"/>
        </w:rPr>
        <w:t>Company Performance Highlights</w:t>
      </w:r>
    </w:p>
    <w:p>
      <w:pPr>
        <w:spacing w:after="0" w:line="2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briefly summarizes the Company’s recent stock price and financial performance:</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Total Shareholder Return (“TSR”) and Other Key Performance Indicators</w:t>
      </w:r>
    </w:p>
    <w:p>
      <w:pPr>
        <w:spacing w:after="0" w:line="235" w:lineRule="exact"/>
        <w:rPr>
          <w:sz w:val="20"/>
          <w:szCs w:val="20"/>
          <w:color w:val="auto"/>
        </w:rPr>
      </w:pPr>
    </w:p>
    <w:p>
      <w:pPr>
        <w:ind w:right="100" w:firstLine="546"/>
        <w:spacing w:after="0" w:line="275" w:lineRule="auto"/>
        <w:rPr>
          <w:sz w:val="20"/>
          <w:szCs w:val="20"/>
          <w:color w:val="auto"/>
        </w:rPr>
      </w:pPr>
      <w:r>
        <w:rPr>
          <w:rFonts w:ascii="Arial" w:cs="Arial" w:eastAsia="Arial" w:hAnsi="Arial"/>
          <w:sz w:val="16"/>
          <w:szCs w:val="16"/>
          <w:color w:val="auto"/>
        </w:rPr>
        <w:t>The Company delivered solid financial performance in 2021 despite the continued impacts of the COVID-19 pandemic. Earnings per common share was $6.25 and net income was $253.4 million for the full year of 2021. The quarterly dividend to common shareholders was increased to $0.70 per share in the third quarter; overall dividends to common shareholders increased 2.2% compared with 2020.</w:t>
      </w:r>
    </w:p>
    <w:p>
      <w:pPr>
        <w:spacing w:after="0" w:line="183" w:lineRule="exact"/>
        <w:rPr>
          <w:sz w:val="20"/>
          <w:szCs w:val="20"/>
          <w:color w:val="auto"/>
        </w:rPr>
      </w:pPr>
    </w:p>
    <w:p>
      <w:pPr>
        <w:ind w:right="440" w:firstLine="546"/>
        <w:spacing w:after="0" w:line="275" w:lineRule="auto"/>
        <w:rPr>
          <w:sz w:val="20"/>
          <w:szCs w:val="20"/>
          <w:color w:val="auto"/>
        </w:rPr>
      </w:pPr>
      <w:r>
        <w:rPr>
          <w:rFonts w:ascii="Arial" w:cs="Arial" w:eastAsia="Arial" w:hAnsi="Arial"/>
          <w:sz w:val="16"/>
          <w:szCs w:val="16"/>
          <w:color w:val="auto"/>
        </w:rPr>
        <w:t>Our one-year TSR was 12.9%, which reflects the impact of the ongoing COVID-19 pandemic and its particular impact on the Hawaii economy. The average performance of the S&amp;P Supercomposite Regional Bank Index and the S&amp;P Supercomposite Bank Index in 2021 were 40.1% and 35.7%, respectively, and the average performance of the KBW Regional Bank Index was 36.7%.</w:t>
      </w:r>
    </w:p>
    <w:p>
      <w:pPr>
        <w:spacing w:after="0" w:line="183" w:lineRule="exact"/>
        <w:rPr>
          <w:sz w:val="20"/>
          <w:szCs w:val="20"/>
          <w:color w:val="auto"/>
        </w:rPr>
      </w:pPr>
    </w:p>
    <w:p>
      <w:pPr>
        <w:jc w:val="both"/>
        <w:ind w:right="160" w:firstLine="546"/>
        <w:spacing w:after="0" w:line="275" w:lineRule="auto"/>
        <w:rPr>
          <w:sz w:val="20"/>
          <w:szCs w:val="20"/>
          <w:color w:val="auto"/>
        </w:rPr>
      </w:pPr>
      <w:r>
        <w:rPr>
          <w:rFonts w:ascii="Arial" w:cs="Arial" w:eastAsia="Arial" w:hAnsi="Arial"/>
          <w:sz w:val="16"/>
          <w:szCs w:val="16"/>
          <w:color w:val="auto"/>
        </w:rPr>
        <w:t>The Company’s three-year TSR of 37.8% was also heavily impacted by the challenges of the ongoing COVID-19 pandemic and its particular impact on the Hawaii economy. The Company’s three-year TSR was below the average performance of the S&amp;P Supercomposite Regional Bank of 70.3%, the average performance of the S&amp;P Supercomposite Bank Index of 63.0%, and the average performance of the KBW Regional Bank Index of 54.6%.</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Key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7133590" cy="27006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3590"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ind w:right="3619"/>
        <w:spacing w:after="0"/>
        <w:rPr>
          <w:sz w:val="20"/>
          <w:szCs w:val="20"/>
          <w:color w:val="auto"/>
        </w:rPr>
      </w:pPr>
      <w:r>
        <w:rPr>
          <w:rFonts w:ascii="Arial" w:cs="Arial" w:eastAsia="Arial" w:hAnsi="Arial"/>
          <w:sz w:val="16"/>
          <w:szCs w:val="16"/>
          <w:b w:val="1"/>
          <w:bCs w:val="1"/>
          <w:color w:val="auto"/>
        </w:rPr>
        <w:t>Deposit and Loan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154940</wp:posOffset>
            </wp:positionV>
            <wp:extent cx="7133590" cy="28276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3590" cy="2827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Strong Credit 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154940</wp:posOffset>
            </wp:positionV>
            <wp:extent cx="7133590" cy="27006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3590"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 Balanced Approach to Capital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154940</wp:posOffset>
            </wp:positionV>
            <wp:extent cx="7133590" cy="27006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3590"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920" w:hanging="525"/>
        <w:spacing w:after="0"/>
        <w:tabs>
          <w:tab w:leader="none" w:pos="920"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Dividends</w:t>
      </w:r>
      <w:r>
        <w:rPr>
          <w:rFonts w:ascii="Arial" w:cs="Arial" w:eastAsia="Arial" w:hAnsi="Arial"/>
          <w:sz w:val="16"/>
          <w:szCs w:val="16"/>
          <w:color w:val="auto"/>
        </w:rPr>
        <w:t>: In 2021, the Company raised its quarterly dividend to common shareholders to $0.70 per share in the third quarter.</w:t>
      </w:r>
    </w:p>
    <w:p>
      <w:pPr>
        <w:spacing w:after="0" w:line="177" w:lineRule="exact"/>
        <w:rPr>
          <w:rFonts w:ascii="Arial" w:cs="Arial" w:eastAsia="Arial" w:hAnsi="Arial"/>
          <w:sz w:val="16"/>
          <w:szCs w:val="16"/>
          <w:b w:val="1"/>
          <w:bCs w:val="1"/>
          <w:color w:val="auto"/>
        </w:rPr>
      </w:pPr>
    </w:p>
    <w:p>
      <w:pPr>
        <w:ind w:left="920" w:hanging="525"/>
        <w:spacing w:after="0" w:line="329" w:lineRule="auto"/>
        <w:tabs>
          <w:tab w:leader="none" w:pos="920" w:val="left"/>
        </w:tabs>
        <w:numPr>
          <w:ilvl w:val="0"/>
          <w:numId w:val="67"/>
        </w:numPr>
        <w:rPr>
          <w:rFonts w:ascii="Arial" w:cs="Arial" w:eastAsia="Arial" w:hAnsi="Arial"/>
          <w:sz w:val="15"/>
          <w:szCs w:val="15"/>
          <w:b w:val="1"/>
          <w:bCs w:val="1"/>
          <w:color w:val="auto"/>
        </w:rPr>
      </w:pPr>
      <w:r>
        <w:rPr>
          <w:rFonts w:ascii="Arial" w:cs="Arial" w:eastAsia="Arial" w:hAnsi="Arial"/>
          <w:sz w:val="15"/>
          <w:szCs w:val="15"/>
          <w:b w:val="1"/>
          <w:bCs w:val="1"/>
          <w:color w:val="auto"/>
        </w:rPr>
        <w:t>Returning Value to Shareholders</w:t>
      </w:r>
      <w:r>
        <w:rPr>
          <w:rFonts w:ascii="Arial" w:cs="Arial" w:eastAsia="Arial" w:hAnsi="Arial"/>
          <w:sz w:val="15"/>
          <w:szCs w:val="15"/>
          <w:color w:val="auto"/>
        </w:rPr>
        <w:t>: The Company returned $27.3 million in capital to shareholders through share repurchases in 2021. The Company resumed</w:t>
      </w:r>
      <w:r>
        <w:rPr>
          <w:rFonts w:ascii="Arial" w:cs="Arial" w:eastAsia="Arial" w:hAnsi="Arial"/>
          <w:sz w:val="15"/>
          <w:szCs w:val="15"/>
          <w:b w:val="1"/>
          <w:bCs w:val="1"/>
          <w:color w:val="auto"/>
        </w:rPr>
        <w:t xml:space="preserve"> </w:t>
      </w:r>
      <w:r>
        <w:rPr>
          <w:rFonts w:ascii="Arial" w:cs="Arial" w:eastAsia="Arial" w:hAnsi="Arial"/>
          <w:sz w:val="15"/>
          <w:szCs w:val="15"/>
          <w:color w:val="auto"/>
        </w:rPr>
        <w:t>the share repurchase program in the third quarter of 2021 after temporarily suspending it in March 2020 due to the COVID-19 pandemic.</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Detailed Discussion and Analysis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 Philosophy</w:t>
      </w:r>
    </w:p>
    <w:p>
      <w:pPr>
        <w:spacing w:after="0" w:line="235" w:lineRule="exact"/>
        <w:rPr>
          <w:sz w:val="20"/>
          <w:szCs w:val="20"/>
          <w:color w:val="auto"/>
        </w:rPr>
      </w:pPr>
    </w:p>
    <w:p>
      <w:pPr>
        <w:ind w:firstLine="546"/>
        <w:spacing w:after="0" w:line="290" w:lineRule="auto"/>
        <w:rPr>
          <w:sz w:val="20"/>
          <w:szCs w:val="20"/>
          <w:color w:val="auto"/>
        </w:rPr>
      </w:pPr>
      <w:r>
        <w:rPr>
          <w:rFonts w:ascii="Arial" w:cs="Arial" w:eastAsia="Arial" w:hAnsi="Arial"/>
          <w:sz w:val="15"/>
          <w:szCs w:val="15"/>
          <w:color w:val="auto"/>
        </w:rPr>
        <w:t>At Bank of Hawaii, we believe that executive compensation should reflect strong alignment between pay, performance and shareholders' interests while maintaining a balanced approach to risk and reward. Compensation programs should reinforce support for our vision and be consistent with market compensation trends after taking into account the unique circumstances facing Bank of Hawaii in light of geographic, demographic, and economic conditions in the markets served by the Company. The Human Resources &amp; Compensation Committee (“the Committee”) believes that compensation should recognize short- and long-term performance by including both cash and equity components, and reflect inclusiveness and gender equality and recognize individual performance.</w:t>
      </w:r>
    </w:p>
    <w:p>
      <w:pPr>
        <w:spacing w:after="0" w:line="175" w:lineRule="exact"/>
        <w:rPr>
          <w:sz w:val="20"/>
          <w:szCs w:val="20"/>
          <w:color w:val="auto"/>
        </w:rPr>
      </w:pPr>
    </w:p>
    <w:p>
      <w:pPr>
        <w:ind w:right="20" w:firstLine="546"/>
        <w:spacing w:after="0" w:line="270" w:lineRule="auto"/>
        <w:rPr>
          <w:sz w:val="20"/>
          <w:szCs w:val="20"/>
          <w:color w:val="auto"/>
        </w:rPr>
      </w:pPr>
      <w:r>
        <w:rPr>
          <w:rFonts w:ascii="Arial" w:cs="Arial" w:eastAsia="Arial" w:hAnsi="Arial"/>
          <w:sz w:val="16"/>
          <w:szCs w:val="16"/>
          <w:color w:val="auto"/>
        </w:rPr>
        <w:t>The primary focus of the Company's executive compensation program is to encourage and reward performance that supports the Company's long-term business strategies and promotes sustainable growth in shareholder value. The Company believes that its goals are best supported by rewarding its NEOs for outstanding contributions to the Company's success, compensating those officers competitively with similarly situated executive officers, and providing its NEOs with equity to encourage and motivate them to focus on the Company's long-term growth and success.</w:t>
      </w:r>
    </w:p>
    <w:p>
      <w:pPr>
        <w:spacing w:after="0" w:line="188" w:lineRule="exact"/>
        <w:rPr>
          <w:sz w:val="20"/>
          <w:szCs w:val="20"/>
          <w:color w:val="auto"/>
        </w:rPr>
      </w:pPr>
    </w:p>
    <w:p>
      <w:pPr>
        <w:ind w:right="100" w:firstLine="546"/>
        <w:spacing w:after="0" w:line="289" w:lineRule="auto"/>
        <w:rPr>
          <w:sz w:val="20"/>
          <w:szCs w:val="20"/>
          <w:color w:val="auto"/>
        </w:rPr>
      </w:pPr>
      <w:r>
        <w:rPr>
          <w:rFonts w:ascii="Arial" w:cs="Arial" w:eastAsia="Arial" w:hAnsi="Arial"/>
          <w:sz w:val="16"/>
          <w:szCs w:val="16"/>
          <w:color w:val="auto"/>
        </w:rPr>
        <w:t>The Committee is responsible for developing and implementing the executive compensation program. With the support of its independent compensation consultant, the Committee has designed and implemented an executive compensation program that is structured to:</w:t>
      </w:r>
    </w:p>
    <w:p>
      <w:pPr>
        <w:spacing w:after="0" w:line="65" w:lineRule="exact"/>
        <w:rPr>
          <w:sz w:val="20"/>
          <w:szCs w:val="20"/>
          <w:color w:val="auto"/>
        </w:rPr>
      </w:pPr>
    </w:p>
    <w:p>
      <w:pPr>
        <w:ind w:left="920" w:hanging="525"/>
        <w:spacing w:after="0"/>
        <w:tabs>
          <w:tab w:leader="none" w:pos="9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Align executive compensation with shareholder value creation;</w:t>
      </w:r>
    </w:p>
    <w:p>
      <w:pPr>
        <w:spacing w:after="0" w:line="163" w:lineRule="exact"/>
        <w:rPr>
          <w:rFonts w:ascii="Arial" w:cs="Arial" w:eastAsia="Arial" w:hAnsi="Arial"/>
          <w:sz w:val="16"/>
          <w:szCs w:val="16"/>
          <w:color w:val="auto"/>
        </w:rPr>
      </w:pPr>
    </w:p>
    <w:p>
      <w:pPr>
        <w:ind w:left="920" w:hanging="525"/>
        <w:spacing w:after="0"/>
        <w:tabs>
          <w:tab w:leader="none" w:pos="9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Encourage retention and growth opportunities for executives;</w:t>
      </w:r>
    </w:p>
    <w:p>
      <w:pPr>
        <w:spacing w:after="0" w:line="163" w:lineRule="exact"/>
        <w:rPr>
          <w:rFonts w:ascii="Arial" w:cs="Arial" w:eastAsia="Arial" w:hAnsi="Arial"/>
          <w:sz w:val="16"/>
          <w:szCs w:val="16"/>
          <w:color w:val="auto"/>
        </w:rPr>
      </w:pPr>
    </w:p>
    <w:p>
      <w:pPr>
        <w:ind w:left="920" w:hanging="525"/>
        <w:spacing w:after="0"/>
        <w:tabs>
          <w:tab w:leader="none" w:pos="9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Compensate executives for measurable and meaningful levels of Company performance; and</w:t>
      </w:r>
    </w:p>
    <w:p>
      <w:pPr>
        <w:spacing w:after="0" w:line="163" w:lineRule="exact"/>
        <w:rPr>
          <w:rFonts w:ascii="Arial" w:cs="Arial" w:eastAsia="Arial" w:hAnsi="Arial"/>
          <w:sz w:val="16"/>
          <w:szCs w:val="16"/>
          <w:color w:val="auto"/>
        </w:rPr>
      </w:pPr>
    </w:p>
    <w:p>
      <w:pPr>
        <w:ind w:left="920" w:hanging="525"/>
        <w:spacing w:after="0"/>
        <w:tabs>
          <w:tab w:leader="none" w:pos="9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Balance performance incentives while not encouraging excessive risk taking by executives.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Impact on 2021 Compensation Expense</w:t>
      </w:r>
    </w:p>
    <w:p>
      <w:pPr>
        <w:spacing w:after="0" w:line="235" w:lineRule="exact"/>
        <w:rPr>
          <w:sz w:val="20"/>
          <w:szCs w:val="20"/>
          <w:color w:val="auto"/>
        </w:rPr>
      </w:pPr>
    </w:p>
    <w:p>
      <w:pPr>
        <w:ind w:firstLine="546"/>
        <w:spacing w:after="0" w:line="288" w:lineRule="auto"/>
        <w:rPr>
          <w:sz w:val="20"/>
          <w:szCs w:val="20"/>
          <w:color w:val="auto"/>
        </w:rPr>
      </w:pPr>
      <w:r>
        <w:rPr>
          <w:rFonts w:ascii="Arial" w:cs="Arial" w:eastAsia="Arial" w:hAnsi="Arial"/>
          <w:sz w:val="15"/>
          <w:szCs w:val="15"/>
          <w:color w:val="auto"/>
        </w:rPr>
        <w:t>In 2020, due to the effect of the COVID-19 pandemic on the performance of the Company and continued uncertainty surrounding the recovery of the Hawaii economy, the Committee determined that it was prudent to reduce compensation expense for 2020. The reduced 2020 Executive Incentive Plan payments were made half in cash and half in restricted stock equivalents granted on February 19, 2021, which will vest in thirds upon each of the first three anniversaries of the grant date. Accordingly, the restricted stock equivalents were not reported in last year’s proxy under 2020 compensation and are reported as a stock award, in addition to the annual performance-based restricted stock grant, in this year’s proxy as part of 2021 compensation. The timing and reporting of the restricted stock equivalents creates the appearance of an increase to compensation in 2021. In 2021, the Company returned compensation expense to 2019 payout levels.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 Philosophy Drives Performance</w:t>
      </w:r>
    </w:p>
    <w:p>
      <w:pPr>
        <w:spacing w:after="0" w:line="23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believe that the Company’s performance on key measures is evidence that the Company’s pay for performance approach to compensation facilitates consistent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strong performance and growth. The Company achieved solid financial results, despite the many challenges faced during 2021 due to the continuing COVID-19</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pandemic. Diluted earnings per common share was $6.25 for the full year of 2021, compared with $3.86 in 2020. Net income for the year was $253.4 million, an increase of</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64.7% from $153.8 million in the previous year. The return on average assets for the full year of 2021 was 1.14%, an increase compared with 0.79 % in 2020. The Return-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on-Common-Equity for the full year of 2021 was 17.92%, an increase compared with 11.38% in 2020. The efficiency ratio for the full year of 2021 was 58.86% compared</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with 54.91% during the full year of 2020.</w:t>
      </w:r>
    </w:p>
    <w:p>
      <w:pPr>
        <w:spacing w:after="0" w:line="226" w:lineRule="exact"/>
        <w:rPr>
          <w:sz w:val="20"/>
          <w:szCs w:val="20"/>
          <w:color w:val="auto"/>
        </w:rPr>
      </w:pPr>
    </w:p>
    <w:p>
      <w:pPr>
        <w:ind w:right="180" w:firstLine="546"/>
        <w:spacing w:after="0" w:line="294" w:lineRule="auto"/>
        <w:rPr>
          <w:sz w:val="20"/>
          <w:szCs w:val="20"/>
          <w:color w:val="auto"/>
        </w:rPr>
      </w:pPr>
      <w:r>
        <w:rPr>
          <w:rFonts w:ascii="Arial" w:cs="Arial" w:eastAsia="Arial" w:hAnsi="Arial"/>
          <w:sz w:val="15"/>
          <w:szCs w:val="15"/>
          <w:color w:val="auto"/>
        </w:rPr>
        <w:t>During 2021, loan balances continued to grow and reached $12.3 billion at December 31, 2021, up 2.7% from $11.9 billion at December 31, 2020. Total assets reached a new record high and finished 2021 at $22.8 billion, up 10.6% from $20.6 billion at December 31, 2020. Total deposits also reached new record high and finished 2021 at $20.4 billion, up 11.8% from $18.2 billion at December 31, 2020. The Company’s strong overall asset quality continued to remain stable during 2021. Total non-performing assets were $19.0 million at December 31, 2021, compared with $18.5 million at December 31, 2020.</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Company continued to return value to its shareholders through dividends and resumed share repurchases. The Company increased the quarterly dividend to</w:t>
      </w:r>
    </w:p>
    <w:p>
      <w:pPr>
        <w:spacing w:after="0" w:line="80" w:lineRule="exact"/>
        <w:rPr>
          <w:sz w:val="20"/>
          <w:szCs w:val="20"/>
          <w:color w:val="auto"/>
        </w:rPr>
      </w:pPr>
    </w:p>
    <w:p>
      <w:pPr>
        <w:ind w:right="280"/>
        <w:spacing w:after="0" w:line="294" w:lineRule="auto"/>
        <w:rPr>
          <w:sz w:val="20"/>
          <w:szCs w:val="20"/>
          <w:color w:val="auto"/>
        </w:rPr>
      </w:pPr>
      <w:r>
        <w:rPr>
          <w:rFonts w:ascii="Arial" w:cs="Arial" w:eastAsia="Arial" w:hAnsi="Arial"/>
          <w:sz w:val="15"/>
          <w:szCs w:val="15"/>
          <w:color w:val="auto"/>
        </w:rPr>
        <w:t>$0.70 per share in the third quarter of 2021. The Company purchased 328,832 shares in 2021 through its share repurchase program when it resumed in the third quarter of 2021 after temporarily suspending the program in March 2020 due to the COVID-19 pandemic. From the beginning of the share repurchase program initiated during July 2001 through December 31, 2021, the Company has repurchased 57.4 million shares and returned over $2.3 billion to shareholders at an average cost of $40.76 per share. Total shareholders’ equity was $1.6 billion at December 31, 2021, up from $1.4 billion at December 31, 2020.</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 Process</w:t>
      </w:r>
    </w:p>
    <w:p>
      <w:pPr>
        <w:spacing w:after="0" w:line="235" w:lineRule="exact"/>
        <w:rPr>
          <w:sz w:val="20"/>
          <w:szCs w:val="20"/>
          <w:color w:val="auto"/>
        </w:rPr>
      </w:pPr>
    </w:p>
    <w:p>
      <w:pPr>
        <w:jc w:val="both"/>
        <w:ind w:right="460" w:firstLine="546"/>
        <w:spacing w:after="0" w:line="331" w:lineRule="auto"/>
        <w:rPr>
          <w:sz w:val="20"/>
          <w:szCs w:val="20"/>
          <w:color w:val="auto"/>
        </w:rPr>
      </w:pPr>
      <w:r>
        <w:rPr>
          <w:rFonts w:ascii="Arial" w:cs="Arial" w:eastAsia="Arial" w:hAnsi="Arial"/>
          <w:sz w:val="14"/>
          <w:szCs w:val="14"/>
          <w:color w:val="auto"/>
        </w:rPr>
        <w:t>The Committee’s annual process for setting NEOs’ compensation begins in the fourth quarter of each year when the Company’s senior management team sets operating and financial goals for the coming year. Using data and analysis provided by an independent compensation consultant and considering senior management’s operating and financial goals, as well as the market environment, the Committee establishes compensation levels and challenging performance goals for the year.</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compensation program is designed and implemented as follows:</w:t>
      </w:r>
    </w:p>
    <w:p>
      <w:pPr>
        <w:spacing w:after="0" w:line="120" w:lineRule="exact"/>
        <w:rPr>
          <w:sz w:val="20"/>
          <w:szCs w:val="20"/>
          <w:color w:val="auto"/>
        </w:rPr>
      </w:pPr>
    </w:p>
    <w:p>
      <w:pPr>
        <w:ind w:left="920" w:right="60" w:hanging="525"/>
        <w:spacing w:after="0" w:line="272" w:lineRule="auto"/>
        <w:tabs>
          <w:tab w:leader="none" w:pos="92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The Committee leads a robust process to set and measure challenging goals</w:t>
      </w:r>
      <w:r>
        <w:rPr>
          <w:rFonts w:ascii="Arial" w:cs="Arial" w:eastAsia="Arial" w:hAnsi="Arial"/>
          <w:sz w:val="16"/>
          <w:szCs w:val="16"/>
          <w:color w:val="auto"/>
        </w:rPr>
        <w:t>: Company performance objectives are subject to a robust goal-setting process</w:t>
      </w:r>
      <w:r>
        <w:rPr>
          <w:rFonts w:ascii="Arial" w:cs="Arial" w:eastAsia="Arial" w:hAnsi="Arial"/>
          <w:sz w:val="16"/>
          <w:szCs w:val="16"/>
          <w:b w:val="1"/>
          <w:bCs w:val="1"/>
          <w:color w:val="auto"/>
        </w:rPr>
        <w:t xml:space="preserve"> </w:t>
      </w:r>
      <w:r>
        <w:rPr>
          <w:rFonts w:ascii="Arial" w:cs="Arial" w:eastAsia="Arial" w:hAnsi="Arial"/>
          <w:sz w:val="16"/>
          <w:szCs w:val="16"/>
          <w:color w:val="auto"/>
        </w:rPr>
        <w:t>in which the Committee considers business-driven bottom-up and corporate top-down budgets and market projections. In setting each NEO's total compensation, the Committee considers among other factors, Company performance, shareholder value creation, the competitive marketplace, and the awards given to NEOs in past years.</w:t>
      </w:r>
    </w:p>
    <w:p>
      <w:pPr>
        <w:spacing w:after="0" w:line="186" w:lineRule="exact"/>
        <w:rPr>
          <w:sz w:val="20"/>
          <w:szCs w:val="20"/>
          <w:color w:val="auto"/>
        </w:rPr>
      </w:pPr>
    </w:p>
    <w:p>
      <w:pPr>
        <w:ind w:left="960" w:right="200"/>
        <w:spacing w:after="0" w:line="294" w:lineRule="auto"/>
        <w:rPr>
          <w:sz w:val="20"/>
          <w:szCs w:val="20"/>
          <w:color w:val="auto"/>
        </w:rPr>
      </w:pPr>
      <w:r>
        <w:rPr>
          <w:rFonts w:ascii="Arial" w:cs="Arial" w:eastAsia="Arial" w:hAnsi="Arial"/>
          <w:sz w:val="15"/>
          <w:szCs w:val="15"/>
          <w:color w:val="auto"/>
        </w:rPr>
        <w:t>Commencing in February of each year, the Committee reviews the annual results of the Company compared to the business plan, and uses this review as the basis for the annual evaluation of the CEO. The Committee reviews the relative performance for the quantitative performance metrics. The CEO does not attend executive sessions of the Committee when his own compensation is being reviewed or determined. The Committee's evaluation is discussed with the full Board, excluding the CEO, and communicated to the CEO by the Lead Independent Director.</w:t>
      </w:r>
    </w:p>
    <w:p>
      <w:pPr>
        <w:spacing w:after="0" w:line="171" w:lineRule="exact"/>
        <w:rPr>
          <w:sz w:val="20"/>
          <w:szCs w:val="20"/>
          <w:color w:val="auto"/>
        </w:rPr>
      </w:pPr>
    </w:p>
    <w:p>
      <w:pPr>
        <w:jc w:val="both"/>
        <w:ind w:left="960" w:right="40"/>
        <w:spacing w:after="0" w:line="275" w:lineRule="auto"/>
        <w:rPr>
          <w:sz w:val="20"/>
          <w:szCs w:val="20"/>
          <w:color w:val="auto"/>
        </w:rPr>
      </w:pPr>
      <w:r>
        <w:rPr>
          <w:rFonts w:ascii="Arial" w:cs="Arial" w:eastAsia="Arial" w:hAnsi="Arial"/>
          <w:sz w:val="16"/>
          <w:szCs w:val="16"/>
          <w:color w:val="auto"/>
        </w:rPr>
        <w:t>Based on similar factors and individual objectives, including an assessment of effective risk management, the CEO annually reviews the performance of each of the other NEOs. The conclusions and recommendations based on those reviews, including any recommendations for salary adjustments, annual awards and equity components, are presented to the Committee for consideration.</w:t>
      </w:r>
    </w:p>
    <w:p>
      <w:pPr>
        <w:spacing w:after="0" w:line="183" w:lineRule="exact"/>
        <w:rPr>
          <w:sz w:val="20"/>
          <w:szCs w:val="20"/>
          <w:color w:val="auto"/>
        </w:rPr>
      </w:pPr>
    </w:p>
    <w:p>
      <w:pPr>
        <w:ind w:left="960"/>
        <w:spacing w:after="0" w:line="289" w:lineRule="auto"/>
        <w:rPr>
          <w:sz w:val="20"/>
          <w:szCs w:val="20"/>
          <w:color w:val="auto"/>
        </w:rPr>
      </w:pPr>
      <w:r>
        <w:rPr>
          <w:rFonts w:ascii="Arial" w:cs="Arial" w:eastAsia="Arial" w:hAnsi="Arial"/>
          <w:sz w:val="16"/>
          <w:szCs w:val="16"/>
          <w:color w:val="auto"/>
        </w:rPr>
        <w:t>The Committee believes that retaining discretion to assess the qualitative performance of the CEO and other NEOs gives the Committee members the ability to more accurately reflect individual contributions that cannot be quantified.</w:t>
      </w:r>
    </w:p>
    <w:p>
      <w:pPr>
        <w:spacing w:after="0" w:line="168" w:lineRule="exact"/>
        <w:rPr>
          <w:sz w:val="20"/>
          <w:szCs w:val="20"/>
          <w:color w:val="auto"/>
        </w:rPr>
      </w:pPr>
    </w:p>
    <w:p>
      <w:pPr>
        <w:ind w:left="920" w:right="80" w:hanging="525"/>
        <w:spacing w:after="0" w:line="277" w:lineRule="auto"/>
        <w:tabs>
          <w:tab w:leader="none" w:pos="92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Substantial ‘at risk’ and variable compensation</w:t>
      </w:r>
      <w:r>
        <w:rPr>
          <w:rFonts w:ascii="Arial" w:cs="Arial" w:eastAsia="Arial" w:hAnsi="Arial"/>
          <w:sz w:val="16"/>
          <w:szCs w:val="16"/>
          <w:color w:val="auto"/>
        </w:rPr>
        <w:t>: Approximately 85% of CEO and at least 80% of the other NEOs’ total compensation (salary, bonus, stock</w:t>
      </w:r>
      <w:r>
        <w:rPr>
          <w:rFonts w:ascii="Arial" w:cs="Arial" w:eastAsia="Arial" w:hAnsi="Arial"/>
          <w:sz w:val="16"/>
          <w:szCs w:val="16"/>
          <w:b w:val="1"/>
          <w:bCs w:val="1"/>
          <w:color w:val="auto"/>
        </w:rPr>
        <w:t xml:space="preserve"> </w:t>
      </w:r>
      <w:r>
        <w:rPr>
          <w:rFonts w:ascii="Arial" w:cs="Arial" w:eastAsia="Arial" w:hAnsi="Arial"/>
          <w:sz w:val="16"/>
          <w:szCs w:val="16"/>
          <w:color w:val="auto"/>
        </w:rPr>
        <w:t>awards (long-term incentives), non-equity incentive plan compensation (short-term incentives), and all other compensation) is variable and impacted by pre-established Company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1235710</wp:posOffset>
            </wp:positionH>
            <wp:positionV relativeFrom="paragraph">
              <wp:posOffset>130810</wp:posOffset>
            </wp:positionV>
            <wp:extent cx="4671060" cy="2428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671060" cy="2428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20" w:hanging="525"/>
        <w:spacing w:after="0" w:line="329" w:lineRule="auto"/>
        <w:tabs>
          <w:tab w:leader="none" w:pos="920" w:val="left"/>
        </w:tabs>
        <w:numPr>
          <w:ilvl w:val="0"/>
          <w:numId w:val="71"/>
        </w:numPr>
        <w:rPr>
          <w:rFonts w:ascii="Arial" w:cs="Arial" w:eastAsia="Arial" w:hAnsi="Arial"/>
          <w:sz w:val="15"/>
          <w:szCs w:val="15"/>
          <w:color w:val="auto"/>
        </w:rPr>
      </w:pPr>
      <w:r>
        <w:rPr>
          <w:rFonts w:ascii="Arial" w:cs="Arial" w:eastAsia="Arial" w:hAnsi="Arial"/>
          <w:sz w:val="15"/>
          <w:szCs w:val="15"/>
          <w:b w:val="1"/>
          <w:bCs w:val="1"/>
          <w:color w:val="auto"/>
        </w:rPr>
        <w:t xml:space="preserve">Alignment with shareholders: </w:t>
      </w:r>
      <w:r>
        <w:rPr>
          <w:rFonts w:ascii="Arial" w:cs="Arial" w:eastAsia="Arial" w:hAnsi="Arial"/>
          <w:sz w:val="15"/>
          <w:szCs w:val="15"/>
          <w:color w:val="auto"/>
        </w:rPr>
        <w:t>Each NEO is subject to robust stock ownership guidelines that require them to hold a significant number of company shares as</w:t>
      </w:r>
      <w:r>
        <w:rPr>
          <w:rFonts w:ascii="Arial" w:cs="Arial" w:eastAsia="Arial" w:hAnsi="Arial"/>
          <w:sz w:val="15"/>
          <w:szCs w:val="15"/>
          <w:b w:val="1"/>
          <w:bCs w:val="1"/>
          <w:color w:val="auto"/>
        </w:rPr>
        <w:t xml:space="preserve"> </w:t>
      </w:r>
      <w:r>
        <w:rPr>
          <w:rFonts w:ascii="Arial" w:cs="Arial" w:eastAsia="Arial" w:hAnsi="Arial"/>
          <w:sz w:val="15"/>
          <w:szCs w:val="15"/>
          <w:color w:val="auto"/>
        </w:rPr>
        <w:t>long as they remain employed at the Company, with the CEO’s requirement at 5x base salary and other NEOs at 2x base salary.</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Peer Group and the Market Check</w:t>
      </w:r>
    </w:p>
    <w:p>
      <w:pPr>
        <w:spacing w:after="0" w:line="235" w:lineRule="exact"/>
        <w:rPr>
          <w:sz w:val="20"/>
          <w:szCs w:val="20"/>
          <w:color w:val="auto"/>
        </w:rPr>
      </w:pPr>
    </w:p>
    <w:p>
      <w:pPr>
        <w:ind w:firstLine="546"/>
        <w:spacing w:after="0" w:line="301" w:lineRule="auto"/>
        <w:rPr>
          <w:sz w:val="20"/>
          <w:szCs w:val="20"/>
          <w:color w:val="auto"/>
        </w:rPr>
      </w:pPr>
      <w:r>
        <w:rPr>
          <w:rFonts w:ascii="Arial" w:cs="Arial" w:eastAsia="Arial" w:hAnsi="Arial"/>
          <w:sz w:val="15"/>
          <w:szCs w:val="15"/>
          <w:color w:val="auto"/>
        </w:rPr>
        <w:t>Each year, the Committee identifies companies to include in a peer group for purposes of benchmarking executive compensation levels and practices. The Committee selects peer companies with the support of Willis Towers Watson, an independent compensation consultant. For 2021, the Committee selected a bank peer group, consisting of regional banks that the Company competes against for capital and talent. Companies selected for the peer groups are:</w:t>
      </w:r>
    </w:p>
    <w:p>
      <w:pPr>
        <w:spacing w:after="0" w:line="60" w:lineRule="exact"/>
        <w:rPr>
          <w:sz w:val="20"/>
          <w:szCs w:val="20"/>
          <w:color w:val="auto"/>
        </w:rPr>
      </w:pPr>
    </w:p>
    <w:p>
      <w:pPr>
        <w:ind w:left="920" w:hanging="525"/>
        <w:spacing w:after="0"/>
        <w:tabs>
          <w:tab w:leader="none" w:pos="9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Possible sources of, or destinations for, talent.</w:t>
      </w:r>
    </w:p>
    <w:p>
      <w:pPr>
        <w:spacing w:after="0" w:line="163" w:lineRule="exact"/>
        <w:rPr>
          <w:rFonts w:ascii="Arial" w:cs="Arial" w:eastAsia="Arial" w:hAnsi="Arial"/>
          <w:sz w:val="16"/>
          <w:szCs w:val="16"/>
          <w:color w:val="auto"/>
        </w:rPr>
      </w:pPr>
    </w:p>
    <w:p>
      <w:pPr>
        <w:ind w:left="920" w:hanging="525"/>
        <w:spacing w:after="0"/>
        <w:tabs>
          <w:tab w:leader="none" w:pos="9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Comparable in:</w:t>
      </w:r>
    </w:p>
    <w:p>
      <w:pPr>
        <w:spacing w:after="0" w:line="163" w:lineRule="exact"/>
        <w:rPr>
          <w:rFonts w:ascii="Arial" w:cs="Arial" w:eastAsia="Arial" w:hAnsi="Arial"/>
          <w:sz w:val="16"/>
          <w:szCs w:val="16"/>
          <w:color w:val="auto"/>
        </w:rPr>
      </w:pPr>
    </w:p>
    <w:p>
      <w:pPr>
        <w:ind w:left="1340" w:hanging="544"/>
        <w:spacing w:after="0"/>
        <w:tabs>
          <w:tab w:leader="none" w:pos="1340" w:val="left"/>
        </w:tabs>
        <w:numPr>
          <w:ilvl w:val="1"/>
          <w:numId w:val="72"/>
        </w:numPr>
        <w:rPr>
          <w:rFonts w:ascii="Arial" w:cs="Arial" w:eastAsia="Arial" w:hAnsi="Arial"/>
          <w:sz w:val="16"/>
          <w:szCs w:val="16"/>
          <w:color w:val="auto"/>
        </w:rPr>
      </w:pPr>
      <w:r>
        <w:rPr>
          <w:rFonts w:ascii="Arial" w:cs="Arial" w:eastAsia="Arial" w:hAnsi="Arial"/>
          <w:sz w:val="16"/>
          <w:szCs w:val="16"/>
          <w:color w:val="auto"/>
        </w:rPr>
        <w:t>Size</w:t>
      </w:r>
    </w:p>
    <w:p>
      <w:pPr>
        <w:spacing w:after="0" w:line="163" w:lineRule="exact"/>
        <w:rPr>
          <w:rFonts w:ascii="Arial" w:cs="Arial" w:eastAsia="Arial" w:hAnsi="Arial"/>
          <w:sz w:val="16"/>
          <w:szCs w:val="16"/>
          <w:color w:val="auto"/>
        </w:rPr>
      </w:pPr>
    </w:p>
    <w:p>
      <w:pPr>
        <w:ind w:left="1340" w:hanging="544"/>
        <w:spacing w:after="0"/>
        <w:tabs>
          <w:tab w:leader="none" w:pos="1340" w:val="left"/>
        </w:tabs>
        <w:numPr>
          <w:ilvl w:val="1"/>
          <w:numId w:val="72"/>
        </w:numPr>
        <w:rPr>
          <w:rFonts w:ascii="Arial" w:cs="Arial" w:eastAsia="Arial" w:hAnsi="Arial"/>
          <w:sz w:val="16"/>
          <w:szCs w:val="16"/>
          <w:color w:val="auto"/>
        </w:rPr>
      </w:pPr>
      <w:r>
        <w:rPr>
          <w:rFonts w:ascii="Arial" w:cs="Arial" w:eastAsia="Arial" w:hAnsi="Arial"/>
          <w:sz w:val="16"/>
          <w:szCs w:val="16"/>
          <w:color w:val="auto"/>
        </w:rPr>
        <w:t>Complexity and organizational structure; and</w:t>
      </w:r>
    </w:p>
    <w:p>
      <w:pPr>
        <w:spacing w:after="0" w:line="163" w:lineRule="exact"/>
        <w:rPr>
          <w:rFonts w:ascii="Arial" w:cs="Arial" w:eastAsia="Arial" w:hAnsi="Arial"/>
          <w:sz w:val="16"/>
          <w:szCs w:val="16"/>
          <w:color w:val="auto"/>
        </w:rPr>
      </w:pPr>
    </w:p>
    <w:p>
      <w:pPr>
        <w:ind w:left="1340" w:hanging="544"/>
        <w:spacing w:after="0"/>
        <w:tabs>
          <w:tab w:leader="none" w:pos="1340" w:val="left"/>
        </w:tabs>
        <w:numPr>
          <w:ilvl w:val="1"/>
          <w:numId w:val="72"/>
        </w:numPr>
        <w:rPr>
          <w:rFonts w:ascii="Arial" w:cs="Arial" w:eastAsia="Arial" w:hAnsi="Arial"/>
          <w:sz w:val="16"/>
          <w:szCs w:val="16"/>
          <w:color w:val="auto"/>
        </w:rPr>
      </w:pPr>
      <w:r>
        <w:rPr>
          <w:rFonts w:ascii="Arial" w:cs="Arial" w:eastAsia="Arial" w:hAnsi="Arial"/>
          <w:sz w:val="16"/>
          <w:szCs w:val="16"/>
          <w:color w:val="auto"/>
        </w:rPr>
        <w:t>Compensation practices and structures.</w:t>
      </w:r>
    </w:p>
    <w:p>
      <w:pPr>
        <w:spacing w:after="0" w:line="163" w:lineRule="exact"/>
        <w:rPr>
          <w:rFonts w:ascii="Arial" w:cs="Arial" w:eastAsia="Arial" w:hAnsi="Arial"/>
          <w:sz w:val="16"/>
          <w:szCs w:val="16"/>
          <w:color w:val="auto"/>
        </w:rPr>
      </w:pPr>
    </w:p>
    <w:p>
      <w:pPr>
        <w:ind w:left="920" w:hanging="525"/>
        <w:spacing w:after="0"/>
        <w:tabs>
          <w:tab w:leader="none" w:pos="9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some cases, peers of our peer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7133590" cy="4211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3590" cy="4211955"/>
                    </a:xfrm>
                    <a:prstGeom prst="rect">
                      <a:avLst/>
                    </a:prstGeom>
                    <a:noFill/>
                  </pic:spPr>
                </pic:pic>
              </a:graphicData>
            </a:graphic>
          </wp:anchor>
        </w:drawing>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Peer Group Companies*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20" w:type="dxa"/>
            <w:vAlign w:val="bottom"/>
          </w:tcPr>
          <w:p>
            <w:pPr>
              <w:jc w:val="center"/>
              <w:ind w:left="8"/>
              <w:spacing w:after="0"/>
              <w:rPr>
                <w:sz w:val="20"/>
                <w:szCs w:val="20"/>
                <w:color w:val="auto"/>
              </w:rPr>
            </w:pPr>
            <w:r>
              <w:rPr>
                <w:rFonts w:ascii="Arial" w:cs="Arial" w:eastAsia="Arial" w:hAnsi="Arial"/>
                <w:sz w:val="16"/>
                <w:szCs w:val="16"/>
                <w:b w:val="1"/>
                <w:bCs w:val="1"/>
                <w:color w:val="auto"/>
                <w:w w:val="89"/>
              </w:rPr>
              <w:t>Employee</w:t>
            </w:r>
          </w:p>
        </w:tc>
        <w:tc>
          <w:tcPr>
            <w:tcW w:w="20" w:type="dxa"/>
            <w:vAlign w:val="bottom"/>
          </w:tcPr>
          <w:p>
            <w:pPr>
              <w:spacing w:after="0"/>
              <w:rPr>
                <w:sz w:val="17"/>
                <w:szCs w:val="17"/>
                <w:color w:val="auto"/>
              </w:rPr>
            </w:pPr>
          </w:p>
        </w:tc>
      </w:tr>
      <w:tr>
        <w:trPr>
          <w:trHeight w:val="201"/>
        </w:trPr>
        <w:tc>
          <w:tcPr>
            <w:tcW w:w="4780" w:type="dxa"/>
            <w:vAlign w:val="bottom"/>
          </w:tcPr>
          <w:p>
            <w:pPr>
              <w:spacing w:after="0"/>
              <w:rPr>
                <w:sz w:val="17"/>
                <w:szCs w:val="17"/>
                <w:color w:val="auto"/>
              </w:rPr>
            </w:pPr>
          </w:p>
        </w:tc>
        <w:tc>
          <w:tcPr>
            <w:tcW w:w="1540" w:type="dxa"/>
            <w:vAlign w:val="bottom"/>
          </w:tcPr>
          <w:p>
            <w:pPr>
              <w:jc w:val="right"/>
              <w:ind w:right="508"/>
              <w:spacing w:after="0"/>
              <w:rPr>
                <w:sz w:val="20"/>
                <w:szCs w:val="20"/>
                <w:color w:val="auto"/>
              </w:rPr>
            </w:pPr>
            <w:r>
              <w:rPr>
                <w:rFonts w:ascii="Arial" w:cs="Arial" w:eastAsia="Arial" w:hAnsi="Arial"/>
                <w:sz w:val="16"/>
                <w:szCs w:val="16"/>
                <w:b w:val="1"/>
                <w:bCs w:val="1"/>
                <w:color w:val="auto"/>
              </w:rPr>
              <w:t>Market</w:t>
            </w:r>
          </w:p>
        </w:tc>
        <w:tc>
          <w:tcPr>
            <w:tcW w:w="1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9"/>
              </w:rPr>
              <w:t>Population</w:t>
            </w:r>
          </w:p>
        </w:tc>
        <w:tc>
          <w:tcPr>
            <w:tcW w:w="20" w:type="dxa"/>
            <w:vAlign w:val="bottom"/>
          </w:tcPr>
          <w:p>
            <w:pPr>
              <w:spacing w:after="0"/>
              <w:rPr>
                <w:sz w:val="17"/>
                <w:szCs w:val="17"/>
                <w:color w:val="auto"/>
              </w:rPr>
            </w:pPr>
          </w:p>
        </w:tc>
      </w:tr>
      <w:tr>
        <w:trPr>
          <w:trHeight w:val="209"/>
        </w:trPr>
        <w:tc>
          <w:tcPr>
            <w:tcW w:w="4780" w:type="dxa"/>
            <w:vAlign w:val="bottom"/>
          </w:tcPr>
          <w:p>
            <w:pPr>
              <w:spacing w:after="0"/>
              <w:rPr>
                <w:sz w:val="18"/>
                <w:szCs w:val="18"/>
                <w:color w:val="auto"/>
              </w:rPr>
            </w:pPr>
          </w:p>
        </w:tc>
        <w:tc>
          <w:tcPr>
            <w:tcW w:w="1540" w:type="dxa"/>
            <w:vAlign w:val="bottom"/>
          </w:tcPr>
          <w:p>
            <w:pPr>
              <w:jc w:val="right"/>
              <w:ind w:right="288"/>
              <w:spacing w:after="0"/>
              <w:rPr>
                <w:sz w:val="20"/>
                <w:szCs w:val="20"/>
                <w:color w:val="auto"/>
              </w:rPr>
            </w:pPr>
            <w:r>
              <w:rPr>
                <w:rFonts w:ascii="Arial" w:cs="Arial" w:eastAsia="Arial" w:hAnsi="Arial"/>
                <w:sz w:val="16"/>
                <w:szCs w:val="16"/>
                <w:b w:val="1"/>
                <w:bCs w:val="1"/>
                <w:color w:val="auto"/>
              </w:rPr>
              <w:t>Capitalization</w:t>
            </w:r>
          </w:p>
        </w:tc>
        <w:tc>
          <w:tcPr>
            <w:tcW w:w="1700" w:type="dxa"/>
            <w:vAlign w:val="bottom"/>
          </w:tcPr>
          <w:p>
            <w:pPr>
              <w:jc w:val="right"/>
              <w:ind w:right="488"/>
              <w:spacing w:after="0"/>
              <w:rPr>
                <w:sz w:val="20"/>
                <w:szCs w:val="20"/>
                <w:color w:val="auto"/>
              </w:rPr>
            </w:pPr>
            <w:r>
              <w:rPr>
                <w:rFonts w:ascii="Arial" w:cs="Arial" w:eastAsia="Arial" w:hAnsi="Arial"/>
                <w:sz w:val="16"/>
                <w:szCs w:val="16"/>
                <w:b w:val="1"/>
                <w:bCs w:val="1"/>
                <w:color w:val="auto"/>
              </w:rPr>
              <w:t>Revenue</w:t>
            </w:r>
          </w:p>
        </w:tc>
        <w:tc>
          <w:tcPr>
            <w:tcW w:w="1680" w:type="dxa"/>
            <w:vAlign w:val="bottom"/>
          </w:tcPr>
          <w:p>
            <w:pPr>
              <w:jc w:val="right"/>
              <w:ind w:right="368"/>
              <w:spacing w:after="0"/>
              <w:rPr>
                <w:sz w:val="20"/>
                <w:szCs w:val="20"/>
                <w:color w:val="auto"/>
              </w:rPr>
            </w:pPr>
            <w:r>
              <w:rPr>
                <w:rFonts w:ascii="Arial" w:cs="Arial" w:eastAsia="Arial" w:hAnsi="Arial"/>
                <w:sz w:val="16"/>
                <w:szCs w:val="16"/>
                <w:b w:val="1"/>
                <w:bCs w:val="1"/>
                <w:color w:val="auto"/>
              </w:rPr>
              <w:t>Total Assets</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(FTE)**</w:t>
            </w:r>
          </w:p>
        </w:tc>
        <w:tc>
          <w:tcPr>
            <w:tcW w:w="20" w:type="dxa"/>
            <w:vAlign w:val="bottom"/>
          </w:tcPr>
          <w:p>
            <w:pPr>
              <w:spacing w:after="0"/>
              <w:rPr>
                <w:sz w:val="18"/>
                <w:szCs w:val="18"/>
                <w:color w:val="auto"/>
              </w:rPr>
            </w:pPr>
          </w:p>
        </w:tc>
      </w:tr>
      <w:tr>
        <w:trPr>
          <w:trHeight w:val="32"/>
        </w:trPr>
        <w:tc>
          <w:tcPr>
            <w:tcW w:w="47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54"/>
        </w:trPr>
        <w:tc>
          <w:tcPr>
            <w:tcW w:w="4780" w:type="dxa"/>
            <w:vAlign w:val="bottom"/>
            <w:tcBorders>
              <w:bottom w:val="single" w:sz="8" w:color="auto"/>
              <w:right w:val="single" w:sz="8" w:color="086FB7"/>
            </w:tcBorders>
            <w:shd w:val="clear" w:color="auto" w:fill="086FB7"/>
          </w:tcPr>
          <w:p>
            <w:pPr>
              <w:ind w:left="140"/>
              <w:spacing w:after="0" w:line="154" w:lineRule="exact"/>
              <w:rPr>
                <w:sz w:val="20"/>
                <w:szCs w:val="20"/>
                <w:color w:val="auto"/>
              </w:rPr>
            </w:pPr>
            <w:r>
              <w:rPr>
                <w:rFonts w:ascii="Arial" w:cs="Arial" w:eastAsia="Arial" w:hAnsi="Arial"/>
                <w:sz w:val="14"/>
                <w:szCs w:val="14"/>
                <w:b w:val="1"/>
                <w:bCs w:val="1"/>
                <w:color w:val="FFFFFF"/>
              </w:rPr>
              <w:t>Bank Peers (dollars in millions)</w:t>
            </w:r>
          </w:p>
        </w:tc>
        <w:tc>
          <w:tcPr>
            <w:tcW w:w="1540" w:type="dxa"/>
            <w:vAlign w:val="bottom"/>
            <w:tcBorders>
              <w:bottom w:val="single" w:sz="8" w:color="auto"/>
              <w:right w:val="single" w:sz="8" w:color="086FB7"/>
            </w:tcBorders>
            <w:shd w:val="clear" w:color="auto" w:fill="086FB7"/>
          </w:tcPr>
          <w:p>
            <w:pPr>
              <w:spacing w:after="0"/>
              <w:rPr>
                <w:sz w:val="13"/>
                <w:szCs w:val="13"/>
                <w:color w:val="auto"/>
              </w:rPr>
            </w:pPr>
          </w:p>
        </w:tc>
        <w:tc>
          <w:tcPr>
            <w:tcW w:w="1700" w:type="dxa"/>
            <w:vAlign w:val="bottom"/>
            <w:tcBorders>
              <w:bottom w:val="single" w:sz="8" w:color="auto"/>
              <w:right w:val="single" w:sz="8" w:color="086FB7"/>
            </w:tcBorders>
            <w:shd w:val="clear" w:color="auto" w:fill="086FB7"/>
          </w:tcPr>
          <w:p>
            <w:pPr>
              <w:spacing w:after="0"/>
              <w:rPr>
                <w:sz w:val="13"/>
                <w:szCs w:val="13"/>
                <w:color w:val="auto"/>
              </w:rPr>
            </w:pPr>
          </w:p>
        </w:tc>
        <w:tc>
          <w:tcPr>
            <w:tcW w:w="1680" w:type="dxa"/>
            <w:vAlign w:val="bottom"/>
            <w:tcBorders>
              <w:bottom w:val="single" w:sz="8" w:color="auto"/>
              <w:right w:val="single" w:sz="8" w:color="086FB7"/>
            </w:tcBorders>
            <w:shd w:val="clear" w:color="auto" w:fill="086FB7"/>
          </w:tcPr>
          <w:p>
            <w:pPr>
              <w:spacing w:after="0"/>
              <w:rPr>
                <w:sz w:val="13"/>
                <w:szCs w:val="13"/>
                <w:color w:val="auto"/>
              </w:rPr>
            </w:pPr>
          </w:p>
        </w:tc>
        <w:tc>
          <w:tcPr>
            <w:tcW w:w="1520" w:type="dxa"/>
            <w:vAlign w:val="bottom"/>
            <w:tcBorders>
              <w:bottom w:val="single" w:sz="8" w:color="auto"/>
            </w:tcBorders>
            <w:shd w:val="clear" w:color="auto" w:fill="086FB7"/>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color w:val="auto"/>
              </w:rPr>
              <w:t>Associated Banc-Corp</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$3,330.2</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$1,130.0</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$35,104.3</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4,000</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color w:val="auto"/>
              </w:rPr>
              <w:t>Banner Corporation</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$2,078.1</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$626.7</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$16,804.9</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1,891</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color w:val="auto"/>
              </w:rPr>
              <w:t>BOK Financial Corporation</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$7,236.3</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$1,973.8</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$50,249.4</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4,711</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color w:val="auto"/>
              </w:rPr>
              <w:t>Cadence Bank</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$5,736.0</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$1,045.8</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$47,669.8</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6,595</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color w:val="auto"/>
              </w:rPr>
              <w:t>Cathay General Bancorp</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$3,319.8</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$668.4</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$20,886.7</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1,205</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color w:val="auto"/>
              </w:rPr>
              <w:t>Columbia Banking System, Inc.</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$2,545.7</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$616.8</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$20,945.3</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2,260</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color w:val="auto"/>
              </w:rPr>
              <w:t>Commerce Bancshares, Inc.</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$8,384.9</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$1,492.2</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$36,689.1</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4,462</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color w:val="auto"/>
              </w:rPr>
              <w:t>Community Bank System, Inc.</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$4,016.8</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$629.5</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$15,552.7</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2,927</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color w:val="auto"/>
              </w:rPr>
              <w:t>East West Bancorp, Inc.</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$11,165.3</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$1,730.0</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$60,870.7</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3,000</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color w:val="auto"/>
              </w:rPr>
              <w:t>First Financial Bancorp.</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$2,295.5</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$641.7</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$16,329.1</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1,994</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color w:val="auto"/>
              </w:rPr>
              <w:t>First Hawaiian, Inc.</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$3,520.6</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$754.5</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$24,992.4</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2,000</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color w:val="auto"/>
              </w:rPr>
              <w:t>First Midwest Bancorp, Inc.</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$2,338.0</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$747.9</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$21,778.2</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2,000</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color w:val="auto"/>
              </w:rPr>
              <w:t>Fulton Financial Corporation</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$2,742.2</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$945.9</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$25,796.4</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3,300</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color w:val="auto"/>
              </w:rPr>
              <w:t>Glacier Bancorp, Inc.</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$6,293.7</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$778.9</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$25,940.6</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3,415</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color w:val="auto"/>
              </w:rPr>
              <w:t>Hancock Whitney Corporation</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$4,343.1</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$1,371.5</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$36,531.2</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3,486</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color w:val="auto"/>
              </w:rPr>
              <w:t>Home Bancshares, Inc. (Conway, AR)</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$3,984.3</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$715.3</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$18,052.1</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1,992</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color w:val="auto"/>
              </w:rPr>
              <w:t>International Bancshares Corporation</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$2,686.1</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$585.6</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$16,046.2</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2,181</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color w:val="auto"/>
              </w:rPr>
              <w:t>Old National Bancorp</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$3,004.5</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$832.7</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$24,453.6</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2,374</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color w:val="auto"/>
              </w:rPr>
              <w:t>Prosperity Bancshares, Inc.</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$6,663.5</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$1,133.3</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$37,834.0</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3,704</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color w:val="auto"/>
              </w:rPr>
              <w:t>Renasant Corporation</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$2,115.6</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$652.7</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$16,810.3</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2,524</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color w:val="auto"/>
              </w:rPr>
              <w:t>Synovus Financial Corp.</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$6,965.6</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$2,089.3</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$57,317.2</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4,953</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color w:val="auto"/>
              </w:rPr>
              <w:t>Texas Capital Bancshares, Inc.</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$3,049.1</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$937.1</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$34,731.7</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1,751</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color w:val="auto"/>
              </w:rPr>
              <w:t>Trustmark Corporation</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$2,027.1</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$676.4</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$17,595.6</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2,692</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color w:val="auto"/>
              </w:rPr>
              <w:t>UMB Financial Corporation</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$5,131.4</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$1,262.7</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$42,693.5</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3,529</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color w:val="auto"/>
              </w:rPr>
              <w:t>Umpqua Holdings Corporation</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$4,167.9</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$1,318.6</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$30,640.9</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4,000</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color w:val="auto"/>
              </w:rPr>
              <w:t>United Bankshares, Inc.</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$4,931.9</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$1,057.1</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$29,328.9</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3,143</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color w:val="auto"/>
              </w:rPr>
              <w:t>Valley National Bancorp</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$5,811.5</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$1,321.4</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$43,446.4</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3,155</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color w:val="auto"/>
              </w:rPr>
              <w:t>Webster Financial Corporation</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$5,058.5</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$1,279.0</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$34,915.6</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2,650</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color w:val="auto"/>
              </w:rPr>
              <w:t>Western Alliance Bancorporation</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$11,114.0</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$1,974.4</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$55,982.6</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3,139</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color w:val="auto"/>
              </w:rPr>
              <w:t>Wintrust Financial Corporation</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$5,177.4</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$1,763.9</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color w:val="auto"/>
              </w:rPr>
              <w:t>$50,142.1</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5,239</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shd w:val="clear" w:color="auto" w:fill="086FB7"/>
          </w:tcPr>
          <w:p>
            <w:pPr>
              <w:ind w:left="140"/>
              <w:spacing w:after="0" w:line="154" w:lineRule="exact"/>
              <w:rPr>
                <w:sz w:val="20"/>
                <w:szCs w:val="20"/>
                <w:color w:val="auto"/>
              </w:rPr>
            </w:pPr>
            <w:r>
              <w:rPr>
                <w:rFonts w:ascii="Arial" w:cs="Arial" w:eastAsia="Arial" w:hAnsi="Arial"/>
                <w:sz w:val="14"/>
                <w:szCs w:val="14"/>
                <w:b w:val="1"/>
                <w:bCs w:val="1"/>
                <w:color w:val="FFFFFF"/>
              </w:rPr>
              <w:t>Average for Bank Peer Group</w:t>
            </w:r>
          </w:p>
        </w:tc>
        <w:tc>
          <w:tcPr>
            <w:tcW w:w="1540" w:type="dxa"/>
            <w:vAlign w:val="bottom"/>
            <w:tcBorders>
              <w:bottom w:val="single" w:sz="8" w:color="auto"/>
              <w:right w:val="single" w:sz="8" w:color="auto"/>
            </w:tcBorders>
            <w:shd w:val="clear" w:color="auto" w:fill="086FB7"/>
          </w:tcPr>
          <w:p>
            <w:pPr>
              <w:jc w:val="right"/>
              <w:ind w:right="68"/>
              <w:spacing w:after="0" w:line="154" w:lineRule="exact"/>
              <w:rPr>
                <w:sz w:val="20"/>
                <w:szCs w:val="20"/>
                <w:color w:val="auto"/>
              </w:rPr>
            </w:pPr>
            <w:r>
              <w:rPr>
                <w:rFonts w:ascii="Arial" w:cs="Arial" w:eastAsia="Arial" w:hAnsi="Arial"/>
                <w:sz w:val="14"/>
                <w:szCs w:val="14"/>
                <w:b w:val="1"/>
                <w:bCs w:val="1"/>
                <w:color w:val="FFFFFF"/>
              </w:rPr>
              <w:t>$4,707.8</w:t>
            </w:r>
          </w:p>
        </w:tc>
        <w:tc>
          <w:tcPr>
            <w:tcW w:w="1700" w:type="dxa"/>
            <w:vAlign w:val="bottom"/>
            <w:tcBorders>
              <w:bottom w:val="single" w:sz="8" w:color="auto"/>
              <w:right w:val="single" w:sz="8" w:color="auto"/>
            </w:tcBorders>
            <w:shd w:val="clear" w:color="auto" w:fill="086FB7"/>
          </w:tcPr>
          <w:p>
            <w:pPr>
              <w:jc w:val="right"/>
              <w:ind w:right="68"/>
              <w:spacing w:after="0" w:line="154" w:lineRule="exact"/>
              <w:rPr>
                <w:sz w:val="20"/>
                <w:szCs w:val="20"/>
                <w:color w:val="auto"/>
              </w:rPr>
            </w:pPr>
            <w:r>
              <w:rPr>
                <w:rFonts w:ascii="Arial" w:cs="Arial" w:eastAsia="Arial" w:hAnsi="Arial"/>
                <w:sz w:val="14"/>
                <w:szCs w:val="14"/>
                <w:b w:val="1"/>
                <w:bCs w:val="1"/>
                <w:color w:val="FFFFFF"/>
              </w:rPr>
              <w:t>$1,091.8</w:t>
            </w:r>
          </w:p>
        </w:tc>
        <w:tc>
          <w:tcPr>
            <w:tcW w:w="1680" w:type="dxa"/>
            <w:vAlign w:val="bottom"/>
            <w:tcBorders>
              <w:bottom w:val="single" w:sz="8" w:color="auto"/>
              <w:right w:val="single" w:sz="8" w:color="auto"/>
            </w:tcBorders>
            <w:shd w:val="clear" w:color="auto" w:fill="086FB7"/>
          </w:tcPr>
          <w:p>
            <w:pPr>
              <w:jc w:val="right"/>
              <w:ind w:right="68"/>
              <w:spacing w:after="0" w:line="154" w:lineRule="exact"/>
              <w:rPr>
                <w:sz w:val="20"/>
                <w:szCs w:val="20"/>
                <w:color w:val="auto"/>
              </w:rPr>
            </w:pPr>
            <w:r>
              <w:rPr>
                <w:rFonts w:ascii="Arial" w:cs="Arial" w:eastAsia="Arial" w:hAnsi="Arial"/>
                <w:sz w:val="14"/>
                <w:szCs w:val="14"/>
                <w:b w:val="1"/>
                <w:bCs w:val="1"/>
                <w:color w:val="FFFFFF"/>
              </w:rPr>
              <w:t>$32,204.4</w:t>
            </w:r>
          </w:p>
        </w:tc>
        <w:tc>
          <w:tcPr>
            <w:tcW w:w="1520" w:type="dxa"/>
            <w:vAlign w:val="bottom"/>
            <w:tcBorders>
              <w:bottom w:val="single" w:sz="8" w:color="auto"/>
            </w:tcBorders>
            <w:shd w:val="clear" w:color="auto" w:fill="086FB7"/>
          </w:tcPr>
          <w:p>
            <w:pPr>
              <w:jc w:val="right"/>
              <w:spacing w:after="0" w:line="154" w:lineRule="exact"/>
              <w:rPr>
                <w:sz w:val="20"/>
                <w:szCs w:val="20"/>
                <w:color w:val="auto"/>
              </w:rPr>
            </w:pPr>
            <w:r>
              <w:rPr>
                <w:rFonts w:ascii="Arial" w:cs="Arial" w:eastAsia="Arial" w:hAnsi="Arial"/>
                <w:sz w:val="14"/>
                <w:szCs w:val="14"/>
                <w:b w:val="1"/>
                <w:bCs w:val="1"/>
                <w:color w:val="FFFFFF"/>
              </w:rPr>
              <w:t>3,142</w:t>
            </w:r>
          </w:p>
        </w:tc>
        <w:tc>
          <w:tcPr>
            <w:tcW w:w="20" w:type="dxa"/>
            <w:vAlign w:val="bottom"/>
            <w:tcBorders>
              <w:bottom w:val="single" w:sz="8" w:color="auto"/>
            </w:tcBorders>
          </w:tcPr>
          <w:p>
            <w:pPr>
              <w:spacing w:after="0"/>
              <w:rPr>
                <w:sz w:val="13"/>
                <w:szCs w:val="13"/>
                <w:color w:val="auto"/>
              </w:rPr>
            </w:pPr>
          </w:p>
        </w:tc>
      </w:tr>
      <w:tr>
        <w:trPr>
          <w:trHeight w:val="154"/>
        </w:trPr>
        <w:tc>
          <w:tcPr>
            <w:tcW w:w="4780" w:type="dxa"/>
            <w:vAlign w:val="bottom"/>
            <w:tcBorders>
              <w:bottom w:val="single" w:sz="8" w:color="auto"/>
              <w:right w:val="single" w:sz="8" w:color="auto"/>
            </w:tcBorders>
          </w:tcPr>
          <w:p>
            <w:pPr>
              <w:ind w:left="140"/>
              <w:spacing w:after="0" w:line="154" w:lineRule="exact"/>
              <w:rPr>
                <w:sz w:val="20"/>
                <w:szCs w:val="20"/>
                <w:color w:val="auto"/>
              </w:rPr>
            </w:pPr>
            <w:r>
              <w:rPr>
                <w:rFonts w:ascii="Arial" w:cs="Arial" w:eastAsia="Arial" w:hAnsi="Arial"/>
                <w:sz w:val="14"/>
                <w:szCs w:val="14"/>
                <w:b w:val="1"/>
                <w:bCs w:val="1"/>
                <w:color w:val="auto"/>
              </w:rPr>
              <w:t>Bank of Hawaii Corporation</w:t>
            </w:r>
          </w:p>
        </w:tc>
        <w:tc>
          <w:tcPr>
            <w:tcW w:w="154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b w:val="1"/>
                <w:bCs w:val="1"/>
                <w:color w:val="auto"/>
              </w:rPr>
              <w:t>$3,371.6</w:t>
            </w:r>
          </w:p>
        </w:tc>
        <w:tc>
          <w:tcPr>
            <w:tcW w:w="170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b w:val="1"/>
                <w:bCs w:val="1"/>
                <w:color w:val="auto"/>
              </w:rPr>
              <w:t>$668.6</w:t>
            </w:r>
          </w:p>
        </w:tc>
        <w:tc>
          <w:tcPr>
            <w:tcW w:w="1680" w:type="dxa"/>
            <w:vAlign w:val="bottom"/>
            <w:tcBorders>
              <w:bottom w:val="single" w:sz="8" w:color="auto"/>
              <w:right w:val="single" w:sz="8" w:color="auto"/>
            </w:tcBorders>
          </w:tcPr>
          <w:p>
            <w:pPr>
              <w:jc w:val="right"/>
              <w:ind w:right="68"/>
              <w:spacing w:after="0" w:line="154" w:lineRule="exact"/>
              <w:rPr>
                <w:sz w:val="20"/>
                <w:szCs w:val="20"/>
                <w:color w:val="auto"/>
              </w:rPr>
            </w:pPr>
            <w:r>
              <w:rPr>
                <w:rFonts w:ascii="Arial" w:cs="Arial" w:eastAsia="Arial" w:hAnsi="Arial"/>
                <w:sz w:val="14"/>
                <w:szCs w:val="14"/>
                <w:b w:val="1"/>
                <w:bCs w:val="1"/>
                <w:color w:val="auto"/>
              </w:rPr>
              <w:t>$22,784.9</w:t>
            </w:r>
          </w:p>
        </w:tc>
        <w:tc>
          <w:tcPr>
            <w:tcW w:w="1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2,056</w:t>
            </w:r>
          </w:p>
        </w:tc>
        <w:tc>
          <w:tcPr>
            <w:tcW w:w="20" w:type="dxa"/>
            <w:vAlign w:val="bottom"/>
            <w:tcBorders>
              <w:bottom w:val="single" w:sz="8" w:color="auto"/>
            </w:tcBorders>
          </w:tcPr>
          <w:p>
            <w:pPr>
              <w:spacing w:after="0"/>
              <w:rPr>
                <w:sz w:val="13"/>
                <w:szCs w:val="13"/>
                <w:color w:val="auto"/>
              </w:rPr>
            </w:pPr>
          </w:p>
        </w:tc>
      </w:tr>
    </w:tbl>
    <w:p>
      <w:pPr>
        <w:spacing w:after="0" w:line="217" w:lineRule="exact"/>
        <w:rPr>
          <w:sz w:val="20"/>
          <w:szCs w:val="20"/>
          <w:color w:val="auto"/>
        </w:rPr>
      </w:pPr>
    </w:p>
    <w:p>
      <w:pPr>
        <w:ind w:right="2060" w:firstLine="7"/>
        <w:spacing w:after="0" w:line="270" w:lineRule="auto"/>
        <w:tabs>
          <w:tab w:leader="none" w:pos="388" w:val="left"/>
        </w:tabs>
        <w:numPr>
          <w:ilvl w:val="0"/>
          <w:numId w:val="73"/>
        </w:numPr>
        <w:rPr>
          <w:rFonts w:ascii="Arial" w:cs="Arial" w:eastAsia="Arial" w:hAnsi="Arial"/>
          <w:sz w:val="13"/>
          <w:szCs w:val="13"/>
          <w:color w:val="auto"/>
        </w:rPr>
      </w:pPr>
      <w:r>
        <w:rPr>
          <w:rFonts w:ascii="Arial" w:cs="Arial" w:eastAsia="Arial" w:hAnsi="Arial"/>
          <w:sz w:val="13"/>
          <w:szCs w:val="13"/>
          <w:color w:val="auto"/>
        </w:rPr>
        <w:t>Peer data provided by Willis Towers Watson Executive Compensation Consultants as of December 31, 2021, or earlier, based on available data as of March 1, 2022. ** FTE represents Full-Time Equivalent Employees</w:t>
      </w:r>
    </w:p>
    <w:p>
      <w:pPr>
        <w:spacing w:after="0" w:line="169" w:lineRule="exact"/>
        <w:rPr>
          <w:sz w:val="20"/>
          <w:szCs w:val="20"/>
          <w:color w:val="auto"/>
        </w:rPr>
      </w:pPr>
    </w:p>
    <w:p>
      <w:pPr>
        <w:ind w:right="40" w:firstLine="546"/>
        <w:spacing w:after="0" w:line="241" w:lineRule="auto"/>
        <w:rPr>
          <w:sz w:val="20"/>
          <w:szCs w:val="20"/>
          <w:color w:val="auto"/>
        </w:rPr>
      </w:pPr>
      <w:r>
        <w:rPr>
          <w:rFonts w:ascii="Arial" w:cs="Arial" w:eastAsia="Arial" w:hAnsi="Arial"/>
          <w:sz w:val="15"/>
          <w:szCs w:val="15"/>
          <w:color w:val="auto"/>
        </w:rPr>
        <w:t>After selecting the peer companies, the Committee does not target a specific relative level of compensation but considers the median levels (the 50</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 of the following when determining target pay: (1) base salaries, (2) total cash compensation, including annual incentives on both an actual and target basis, and (3) total direct compensation including long-term incentives at both actual and target levels. If NEO base salaries, total cash compensation, or target or actual incentive compensation result in above-median compensation, it is directly because of measurable Company and/or individual executive performance.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S&amp;P Supercomposite Regional Bank Index</w:t>
      </w:r>
    </w:p>
    <w:p>
      <w:pPr>
        <w:spacing w:after="0" w:line="235" w:lineRule="exact"/>
        <w:rPr>
          <w:sz w:val="20"/>
          <w:szCs w:val="20"/>
          <w:color w:val="auto"/>
        </w:rPr>
      </w:pPr>
    </w:p>
    <w:p>
      <w:pPr>
        <w:ind w:firstLine="546"/>
        <w:spacing w:after="0" w:line="320" w:lineRule="auto"/>
        <w:rPr>
          <w:sz w:val="20"/>
          <w:szCs w:val="20"/>
          <w:color w:val="auto"/>
        </w:rPr>
      </w:pPr>
      <w:r>
        <w:rPr>
          <w:rFonts w:ascii="Arial" w:cs="Arial" w:eastAsia="Arial" w:hAnsi="Arial"/>
          <w:sz w:val="14"/>
          <w:szCs w:val="14"/>
          <w:color w:val="auto"/>
        </w:rPr>
        <w:t>In addition to the bank peer group, the Company benchmarks key performance metrics and the compensation program against the companies included in the S&amp;P Supercomposite Regional Bank Index, excluding those companies with assets in excess of $50.0 billion. The Committee believes that the S&amp;P Supercomposite Regional Bank Index provides an appropriate group for comparison purposes because these are the companies with which the Company competes for capital and talent. The Committee concluded that the Company’s business mix and source of executive talent for the Company are well represented in the S&amp;P Supercomposite Regional Bank Index.</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 of the Compensation Consultant</w:t>
      </w:r>
    </w:p>
    <w:p>
      <w:pPr>
        <w:spacing w:after="0" w:line="235" w:lineRule="exact"/>
        <w:rPr>
          <w:sz w:val="20"/>
          <w:szCs w:val="20"/>
          <w:color w:val="auto"/>
        </w:rPr>
      </w:pPr>
    </w:p>
    <w:p>
      <w:pPr>
        <w:ind w:right="60" w:firstLine="546"/>
        <w:spacing w:after="0" w:line="267" w:lineRule="auto"/>
        <w:rPr>
          <w:sz w:val="20"/>
          <w:szCs w:val="20"/>
          <w:color w:val="auto"/>
        </w:rPr>
      </w:pPr>
      <w:r>
        <w:rPr>
          <w:rFonts w:ascii="Arial" w:cs="Arial" w:eastAsia="Arial" w:hAnsi="Arial"/>
          <w:sz w:val="16"/>
          <w:szCs w:val="16"/>
          <w:color w:val="auto"/>
        </w:rPr>
        <w:t>The Committee is responsible for retaining its compensation consultant and for determining the terms and conditions of that engagement, including fees to be paid to the consultant. The Committee determines whether the consultant's services are performed objectively. The Committee's current independent compensation consultant is Willis Towers Watson. The compensation consultant reports directly to the Committee, takes instructions solely from the Committee, and performs no other services for the Company. The Committee Chairman pre-approves all compensation consulting engagements, including the nature, scope and fees of assignments. In 2021, the Committee considered the factors delineated by the SEC in Rule 10C-1 and determined that Willis Towers Watson was an independent compensation consultant and that the firm’s work did not raise a conflict of interest with the Company.</w:t>
      </w:r>
    </w:p>
    <w:p>
      <w:pPr>
        <w:spacing w:after="0" w:line="190" w:lineRule="exact"/>
        <w:rPr>
          <w:sz w:val="20"/>
          <w:szCs w:val="20"/>
          <w:color w:val="auto"/>
        </w:rPr>
      </w:pPr>
    </w:p>
    <w:p>
      <w:pPr>
        <w:ind w:right="280" w:firstLine="546"/>
        <w:spacing w:after="0" w:line="270" w:lineRule="auto"/>
        <w:rPr>
          <w:sz w:val="20"/>
          <w:szCs w:val="20"/>
          <w:color w:val="auto"/>
        </w:rPr>
      </w:pPr>
      <w:r>
        <w:rPr>
          <w:rFonts w:ascii="Arial" w:cs="Arial" w:eastAsia="Arial" w:hAnsi="Arial"/>
          <w:sz w:val="16"/>
          <w:szCs w:val="16"/>
          <w:color w:val="auto"/>
        </w:rPr>
        <w:t>Veritas was the Committee’s compensation consultant for a portion of the year and helped to ensure that the Company's executive compensation practices were competitive, appropriately designed, and were aimed at linking executive compensation to the business and strategic objectives of the Company. Veritas also provided the Committee with market data and an analysis of competitive compensation for the NEOs. During the fall of 2021, the Committee engaged Willis Towers Watson to be its executive compensation consultant.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and Risk Management</w:t>
      </w:r>
    </w:p>
    <w:p>
      <w:pPr>
        <w:spacing w:after="0" w:line="235" w:lineRule="exact"/>
        <w:rPr>
          <w:sz w:val="20"/>
          <w:szCs w:val="20"/>
          <w:color w:val="auto"/>
        </w:rPr>
      </w:pPr>
    </w:p>
    <w:p>
      <w:pPr>
        <w:ind w:right="80" w:firstLine="546"/>
        <w:spacing w:after="0" w:line="312" w:lineRule="auto"/>
        <w:rPr>
          <w:sz w:val="20"/>
          <w:szCs w:val="20"/>
          <w:color w:val="auto"/>
        </w:rPr>
      </w:pPr>
      <w:r>
        <w:rPr>
          <w:rFonts w:ascii="Arial" w:cs="Arial" w:eastAsia="Arial" w:hAnsi="Arial"/>
          <w:sz w:val="14"/>
          <w:szCs w:val="14"/>
          <w:color w:val="auto"/>
        </w:rPr>
        <w:t>Compensation risks are assessed and managed in the context of the Company's business strategies. The Committee monitors the Company's financial and non-financial performance throughout the year as well as the Company's risk profile and risk management processes to ensure that the Company's compensation policies do not promote inappropriate conduct, or unnecessary or excessive risks that may threaten the value of the Company (see page 22 for greater detail). Several areas are reviewed by the Committee including, but not limited to, how risk management is built into incentive compensation for the Company's executive management, the specific risk profile for a community bank as it relates to loans and investment securities, the controlled and disciplined approach in the compensation structure of the Company, the implementation of new processes with regard to qualitative versus quantitative measures of management performance, and the refinement of best practices.</w:t>
      </w:r>
    </w:p>
    <w:p>
      <w:pPr>
        <w:spacing w:after="0" w:line="162" w:lineRule="exact"/>
        <w:rPr>
          <w:sz w:val="20"/>
          <w:szCs w:val="20"/>
          <w:color w:val="auto"/>
        </w:rPr>
      </w:pPr>
    </w:p>
    <w:p>
      <w:pPr>
        <w:ind w:right="600" w:firstLine="546"/>
        <w:spacing w:after="0" w:line="301" w:lineRule="auto"/>
        <w:rPr>
          <w:sz w:val="20"/>
          <w:szCs w:val="20"/>
          <w:color w:val="auto"/>
        </w:rPr>
      </w:pPr>
      <w:r>
        <w:rPr>
          <w:rFonts w:ascii="Arial" w:cs="Arial" w:eastAsia="Arial" w:hAnsi="Arial"/>
          <w:sz w:val="15"/>
          <w:szCs w:val="15"/>
          <w:color w:val="auto"/>
        </w:rPr>
        <w:t>The Committee also believes that compensation should recognize short- and long-term performance and may include both cash and equity components. The composition of components may vary from year to year based on individual, market and other factors. The Committee does not adhere to a specific formula when determining the mix of pay elements, or the allocation between cash and non-cash compensation or among non-cash forms of pay.</w:t>
      </w:r>
    </w:p>
    <w:p>
      <w:pPr>
        <w:spacing w:after="0" w:line="167" w:lineRule="exact"/>
        <w:rPr>
          <w:sz w:val="20"/>
          <w:szCs w:val="20"/>
          <w:color w:val="auto"/>
        </w:rPr>
      </w:pPr>
    </w:p>
    <w:p>
      <w:pPr>
        <w:ind w:firstLine="546"/>
        <w:spacing w:after="0" w:line="270" w:lineRule="auto"/>
        <w:rPr>
          <w:sz w:val="20"/>
          <w:szCs w:val="20"/>
          <w:color w:val="auto"/>
        </w:rPr>
      </w:pPr>
      <w:r>
        <w:rPr>
          <w:rFonts w:ascii="Arial" w:cs="Arial" w:eastAsia="Arial" w:hAnsi="Arial"/>
          <w:sz w:val="16"/>
          <w:szCs w:val="16"/>
          <w:color w:val="auto"/>
        </w:rPr>
        <w:t>Referring to the table in the following section, neither total compensation nor any element of cash and non-cash compensation is formally benchmarked against a peer group of companies, although the Committee uses the peer group data as a reference. In making compensation decisions, the Committee considers individual performance, experience in the position, breadth of duties, and pay parity among positions of comparable responsibility. The Committee also reviews market data to verify that compensation is competitive and within market ranges.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Elements of the Compensation Program</w:t>
      </w:r>
    </w:p>
    <w:p>
      <w:pPr>
        <w:spacing w:after="0" w:line="235" w:lineRule="exact"/>
        <w:rPr>
          <w:sz w:val="20"/>
          <w:szCs w:val="20"/>
          <w:color w:val="auto"/>
        </w:rPr>
      </w:pPr>
    </w:p>
    <w:p>
      <w:pPr>
        <w:ind w:firstLine="546"/>
        <w:spacing w:after="0" w:line="270" w:lineRule="auto"/>
        <w:rPr>
          <w:sz w:val="20"/>
          <w:szCs w:val="20"/>
          <w:color w:val="auto"/>
        </w:rPr>
      </w:pPr>
      <w:r>
        <w:rPr>
          <w:rFonts w:ascii="Arial" w:cs="Arial" w:eastAsia="Arial" w:hAnsi="Arial"/>
          <w:sz w:val="16"/>
          <w:szCs w:val="16"/>
          <w:color w:val="auto"/>
        </w:rPr>
        <w:t>In order to ensure compensation is tightly linked to long-term shareholder value creation, the Board and the Committee have implemented an executive compensation program that seeks to balance short-term financial results with long-term value through sustainable business growth in our market. To that end, the compensation program uses a number of short- and long-term forms of executive compensation, each specifically structured to incentivize one or more aspects of Company performance the Committee believes are critical to driving long-term shareholder value.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Each NEO receives a balance of variable and fixed compensation. The following describes the various forms of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2021 Base Salary</w:t>
      </w:r>
    </w:p>
    <w:p>
      <w:pPr>
        <w:spacing w:after="0" w:line="235" w:lineRule="exact"/>
        <w:rPr>
          <w:sz w:val="20"/>
          <w:szCs w:val="20"/>
          <w:color w:val="auto"/>
        </w:rPr>
      </w:pPr>
    </w:p>
    <w:p>
      <w:pPr>
        <w:ind w:right="20" w:firstLine="546"/>
        <w:spacing w:after="0" w:line="294" w:lineRule="auto"/>
        <w:rPr>
          <w:sz w:val="20"/>
          <w:szCs w:val="20"/>
          <w:color w:val="auto"/>
        </w:rPr>
      </w:pPr>
      <w:r>
        <w:rPr>
          <w:rFonts w:ascii="Arial" w:cs="Arial" w:eastAsia="Arial" w:hAnsi="Arial"/>
          <w:sz w:val="15"/>
          <w:szCs w:val="15"/>
          <w:color w:val="auto"/>
        </w:rPr>
        <w:t>Base salary is driven by each NEO's responsibilities. The Committee also considered competitive compensation data provided by Veritas. Base salaries are generally established in connection with recruiting or retaining qualified executive officers. The Committee reviews salary levels as part of the Company's annual performance review process, as well as upon promotion or other changes in job responsibility. Merit-based increases to salaries for executive officers other than the CEO are determined by the Committee and include the CEO's assessment of individual performance and his recommendation.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firstLine="546"/>
        <w:spacing w:after="0" w:line="275" w:lineRule="auto"/>
        <w:rPr>
          <w:sz w:val="20"/>
          <w:szCs w:val="20"/>
          <w:color w:val="auto"/>
        </w:rPr>
      </w:pPr>
      <w:r>
        <w:rPr>
          <w:rFonts w:ascii="Arial" w:cs="Arial" w:eastAsia="Arial" w:hAnsi="Arial"/>
          <w:sz w:val="16"/>
          <w:szCs w:val="16"/>
          <w:color w:val="auto"/>
        </w:rPr>
        <w:t>In recommending base salaries, the CEO considers, among other factors, the needs of the Company, internal pay parity among positions of comparable responsibility, and individual performance and contribution to the Company. The Committee also looks at market survey data to verify that salaries are competitive and within market ranges.</w:t>
      </w:r>
    </w:p>
    <w:p>
      <w:pPr>
        <w:spacing w:after="0" w:line="183" w:lineRule="exact"/>
        <w:rPr>
          <w:sz w:val="20"/>
          <w:szCs w:val="20"/>
          <w:color w:val="auto"/>
        </w:rPr>
      </w:pPr>
    </w:p>
    <w:p>
      <w:pPr>
        <w:ind w:right="540" w:firstLine="546"/>
        <w:spacing w:after="0" w:line="289" w:lineRule="auto"/>
        <w:rPr>
          <w:sz w:val="20"/>
          <w:szCs w:val="20"/>
          <w:color w:val="auto"/>
        </w:rPr>
      </w:pPr>
      <w:r>
        <w:rPr>
          <w:rFonts w:ascii="Arial" w:cs="Arial" w:eastAsia="Arial" w:hAnsi="Arial"/>
          <w:sz w:val="16"/>
          <w:szCs w:val="16"/>
          <w:color w:val="auto"/>
        </w:rPr>
        <w:t>Based upon the foregoing, including peer group analysis, market data and recommendations by Veritas, the Committee approved, effective April 1, 2021, the following NEO base salaries:</w:t>
      </w:r>
    </w:p>
    <w:p>
      <w:pPr>
        <w:spacing w:after="0" w:line="175" w:lineRule="exact"/>
        <w:rPr>
          <w:sz w:val="20"/>
          <w:szCs w:val="20"/>
          <w:color w:val="auto"/>
        </w:rPr>
      </w:pPr>
    </w:p>
    <w:tbl>
      <w:tblPr>
        <w:tblLayout w:type="fixed"/>
        <w:tblInd w:w="2270" w:type="dxa"/>
        <w:tblCellMar>
          <w:top w:w="0" w:type="dxa"/>
          <w:left w:w="0" w:type="dxa"/>
          <w:bottom w:w="0" w:type="dxa"/>
          <w:right w:w="0" w:type="dxa"/>
        </w:tblCellMar>
      </w:tblPr>
      <w:tr>
        <w:trPr>
          <w:trHeight w:val="222"/>
        </w:trPr>
        <w:tc>
          <w:tcPr>
            <w:tcW w:w="2800" w:type="dxa"/>
            <w:vAlign w:val="bottom"/>
            <w:tcBorders>
              <w:top w:val="single" w:sz="8" w:color="auto"/>
              <w:left w:val="single" w:sz="8" w:color="auto"/>
            </w:tcBorders>
            <w:shd w:val="clear" w:color="auto" w:fill="086FB7"/>
          </w:tcPr>
          <w:p>
            <w:pPr>
              <w:spacing w:after="0"/>
              <w:rPr>
                <w:sz w:val="19"/>
                <w:szCs w:val="19"/>
                <w:color w:val="auto"/>
              </w:rPr>
            </w:pPr>
          </w:p>
        </w:tc>
        <w:tc>
          <w:tcPr>
            <w:tcW w:w="3940" w:type="dxa"/>
            <w:vAlign w:val="bottom"/>
            <w:tcBorders>
              <w:top w:val="single" w:sz="8" w:color="auto"/>
              <w:right w:val="single" w:sz="8" w:color="auto"/>
            </w:tcBorders>
            <w:shd w:val="clear" w:color="auto" w:fill="086FB7"/>
          </w:tcPr>
          <w:p>
            <w:pPr>
              <w:jc w:val="right"/>
              <w:ind w:right="817"/>
              <w:spacing w:after="0"/>
              <w:rPr>
                <w:sz w:val="20"/>
                <w:szCs w:val="20"/>
                <w:color w:val="auto"/>
              </w:rPr>
            </w:pPr>
            <w:r>
              <w:rPr>
                <w:rFonts w:ascii="Arial" w:cs="Arial" w:eastAsia="Arial" w:hAnsi="Arial"/>
                <w:sz w:val="18"/>
                <w:szCs w:val="18"/>
                <w:b w:val="1"/>
                <w:bCs w:val="1"/>
                <w:color w:val="FFFFFF"/>
              </w:rPr>
              <w:t>Base Salary Effective</w:t>
            </w:r>
          </w:p>
        </w:tc>
      </w:tr>
      <w:tr>
        <w:trPr>
          <w:trHeight w:val="232"/>
        </w:trPr>
        <w:tc>
          <w:tcPr>
            <w:tcW w:w="2800" w:type="dxa"/>
            <w:vAlign w:val="bottom"/>
            <w:tcBorders>
              <w:left w:val="single" w:sz="8" w:color="auto"/>
              <w:bottom w:val="single" w:sz="8" w:color="auto"/>
            </w:tcBorders>
            <w:shd w:val="clear" w:color="auto" w:fill="086FB7"/>
          </w:tcPr>
          <w:p>
            <w:pPr>
              <w:ind w:left="120"/>
              <w:spacing w:after="0"/>
              <w:rPr>
                <w:sz w:val="20"/>
                <w:szCs w:val="20"/>
                <w:color w:val="auto"/>
              </w:rPr>
            </w:pPr>
            <w:r>
              <w:rPr>
                <w:rFonts w:ascii="Arial" w:cs="Arial" w:eastAsia="Arial" w:hAnsi="Arial"/>
                <w:sz w:val="18"/>
                <w:szCs w:val="18"/>
                <w:b w:val="1"/>
                <w:bCs w:val="1"/>
                <w:color w:val="FFFFFF"/>
              </w:rPr>
              <w:t>Name</w:t>
            </w:r>
          </w:p>
        </w:tc>
        <w:tc>
          <w:tcPr>
            <w:tcW w:w="3940" w:type="dxa"/>
            <w:vAlign w:val="bottom"/>
            <w:tcBorders>
              <w:bottom w:val="single" w:sz="8" w:color="auto"/>
              <w:right w:val="single" w:sz="8" w:color="auto"/>
            </w:tcBorders>
            <w:shd w:val="clear" w:color="auto" w:fill="086FB7"/>
          </w:tcPr>
          <w:p>
            <w:pPr>
              <w:jc w:val="right"/>
              <w:ind w:right="1017"/>
              <w:spacing w:after="0"/>
              <w:rPr>
                <w:sz w:val="20"/>
                <w:szCs w:val="20"/>
                <w:color w:val="auto"/>
              </w:rPr>
            </w:pPr>
            <w:r>
              <w:rPr>
                <w:rFonts w:ascii="Arial" w:cs="Arial" w:eastAsia="Arial" w:hAnsi="Arial"/>
                <w:sz w:val="18"/>
                <w:szCs w:val="18"/>
                <w:b w:val="1"/>
                <w:bCs w:val="1"/>
                <w:color w:val="FFFFFF"/>
              </w:rPr>
              <w:t>April 1, 2021 ($)</w:t>
            </w:r>
          </w:p>
        </w:tc>
      </w:tr>
      <w:tr>
        <w:trPr>
          <w:trHeight w:val="203"/>
        </w:trPr>
        <w:tc>
          <w:tcPr>
            <w:tcW w:w="280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Peter S. Ho</w:t>
            </w:r>
          </w:p>
        </w:tc>
        <w:tc>
          <w:tcPr>
            <w:tcW w:w="3940" w:type="dxa"/>
            <w:vAlign w:val="bottom"/>
            <w:tcBorders>
              <w:right w:val="single" w:sz="8" w:color="auto"/>
            </w:tcBorders>
          </w:tcPr>
          <w:p>
            <w:pPr>
              <w:jc w:val="right"/>
              <w:ind w:right="1337"/>
              <w:spacing w:after="0"/>
              <w:rPr>
                <w:sz w:val="20"/>
                <w:szCs w:val="20"/>
                <w:color w:val="auto"/>
              </w:rPr>
            </w:pPr>
            <w:r>
              <w:rPr>
                <w:rFonts w:ascii="Arial" w:cs="Arial" w:eastAsia="Arial" w:hAnsi="Arial"/>
                <w:sz w:val="16"/>
                <w:szCs w:val="16"/>
                <w:color w:val="auto"/>
              </w:rPr>
              <w:t>860,000</w:t>
            </w:r>
          </w:p>
        </w:tc>
      </w:tr>
      <w:tr>
        <w:trPr>
          <w:trHeight w:val="214"/>
        </w:trPr>
        <w:tc>
          <w:tcPr>
            <w:tcW w:w="280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Dean Y. Shigemura</w:t>
            </w:r>
          </w:p>
        </w:tc>
        <w:tc>
          <w:tcPr>
            <w:tcW w:w="3940" w:type="dxa"/>
            <w:vAlign w:val="bottom"/>
            <w:tcBorders>
              <w:right w:val="single" w:sz="8" w:color="auto"/>
            </w:tcBorders>
          </w:tcPr>
          <w:p>
            <w:pPr>
              <w:jc w:val="right"/>
              <w:ind w:right="1337"/>
              <w:spacing w:after="0"/>
              <w:rPr>
                <w:sz w:val="20"/>
                <w:szCs w:val="20"/>
                <w:color w:val="auto"/>
              </w:rPr>
            </w:pPr>
            <w:r>
              <w:rPr>
                <w:rFonts w:ascii="Arial" w:cs="Arial" w:eastAsia="Arial" w:hAnsi="Arial"/>
                <w:sz w:val="16"/>
                <w:szCs w:val="16"/>
                <w:color w:val="auto"/>
              </w:rPr>
              <w:t>435,000</w:t>
            </w:r>
          </w:p>
        </w:tc>
      </w:tr>
      <w:tr>
        <w:trPr>
          <w:trHeight w:val="214"/>
        </w:trPr>
        <w:tc>
          <w:tcPr>
            <w:tcW w:w="280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Sharon M. Crofts</w:t>
            </w:r>
          </w:p>
        </w:tc>
        <w:tc>
          <w:tcPr>
            <w:tcW w:w="3940" w:type="dxa"/>
            <w:vAlign w:val="bottom"/>
            <w:tcBorders>
              <w:right w:val="single" w:sz="8" w:color="auto"/>
            </w:tcBorders>
          </w:tcPr>
          <w:p>
            <w:pPr>
              <w:jc w:val="right"/>
              <w:ind w:right="1337"/>
              <w:spacing w:after="0"/>
              <w:rPr>
                <w:sz w:val="20"/>
                <w:szCs w:val="20"/>
                <w:color w:val="auto"/>
              </w:rPr>
            </w:pPr>
            <w:r>
              <w:rPr>
                <w:rFonts w:ascii="Arial" w:cs="Arial" w:eastAsia="Arial" w:hAnsi="Arial"/>
                <w:sz w:val="16"/>
                <w:szCs w:val="16"/>
                <w:color w:val="auto"/>
              </w:rPr>
              <w:t>435,000</w:t>
            </w:r>
          </w:p>
        </w:tc>
      </w:tr>
      <w:tr>
        <w:trPr>
          <w:trHeight w:val="214"/>
        </w:trPr>
        <w:tc>
          <w:tcPr>
            <w:tcW w:w="280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James C. Polk</w:t>
            </w:r>
          </w:p>
        </w:tc>
        <w:tc>
          <w:tcPr>
            <w:tcW w:w="3940" w:type="dxa"/>
            <w:vAlign w:val="bottom"/>
            <w:tcBorders>
              <w:right w:val="single" w:sz="8" w:color="auto"/>
            </w:tcBorders>
          </w:tcPr>
          <w:p>
            <w:pPr>
              <w:jc w:val="right"/>
              <w:ind w:right="1337"/>
              <w:spacing w:after="0"/>
              <w:rPr>
                <w:sz w:val="20"/>
                <w:szCs w:val="20"/>
                <w:color w:val="auto"/>
              </w:rPr>
            </w:pPr>
            <w:r>
              <w:rPr>
                <w:rFonts w:ascii="Arial" w:cs="Arial" w:eastAsia="Arial" w:hAnsi="Arial"/>
                <w:sz w:val="16"/>
                <w:szCs w:val="16"/>
                <w:color w:val="auto"/>
              </w:rPr>
              <w:t>435,000</w:t>
            </w:r>
          </w:p>
        </w:tc>
      </w:tr>
      <w:tr>
        <w:trPr>
          <w:trHeight w:val="217"/>
        </w:trPr>
        <w:tc>
          <w:tcPr>
            <w:tcW w:w="28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6"/>
                <w:szCs w:val="16"/>
                <w:color w:val="auto"/>
              </w:rPr>
              <w:t>Mary E. Sellers</w:t>
            </w:r>
          </w:p>
        </w:tc>
        <w:tc>
          <w:tcPr>
            <w:tcW w:w="3940" w:type="dxa"/>
            <w:vAlign w:val="bottom"/>
            <w:tcBorders>
              <w:bottom w:val="single" w:sz="8" w:color="auto"/>
              <w:right w:val="single" w:sz="8" w:color="auto"/>
            </w:tcBorders>
          </w:tcPr>
          <w:p>
            <w:pPr>
              <w:jc w:val="right"/>
              <w:ind w:right="1337"/>
              <w:spacing w:after="0"/>
              <w:rPr>
                <w:sz w:val="20"/>
                <w:szCs w:val="20"/>
                <w:color w:val="auto"/>
              </w:rPr>
            </w:pPr>
            <w:r>
              <w:rPr>
                <w:rFonts w:ascii="Arial" w:cs="Arial" w:eastAsia="Arial" w:hAnsi="Arial"/>
                <w:sz w:val="16"/>
                <w:szCs w:val="16"/>
                <w:color w:val="auto"/>
              </w:rPr>
              <w:t>436,000</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2021 Short-Term Incentive Compensation</w:t>
      </w:r>
    </w:p>
    <w:p>
      <w:pPr>
        <w:spacing w:after="0" w:line="235" w:lineRule="exact"/>
        <w:rPr>
          <w:sz w:val="20"/>
          <w:szCs w:val="20"/>
          <w:color w:val="auto"/>
        </w:rPr>
      </w:pPr>
    </w:p>
    <w:p>
      <w:pPr>
        <w:ind w:right="460" w:firstLine="546"/>
        <w:spacing w:after="0" w:line="289" w:lineRule="auto"/>
        <w:rPr>
          <w:sz w:val="20"/>
          <w:szCs w:val="20"/>
          <w:color w:val="auto"/>
        </w:rPr>
      </w:pPr>
      <w:r>
        <w:rPr>
          <w:rFonts w:ascii="Arial" w:cs="Arial" w:eastAsia="Arial" w:hAnsi="Arial"/>
          <w:sz w:val="16"/>
          <w:szCs w:val="16"/>
          <w:color w:val="auto"/>
        </w:rPr>
        <w:t>The CEO and other NEOs participate in the Executive Incentive Plan (the “EIP”), the Company's short-term incentive plan for executives. The EIP is a 100% performance-based short-term incentive plan.</w:t>
      </w:r>
    </w:p>
    <w:p>
      <w:pPr>
        <w:spacing w:after="0" w:line="172" w:lineRule="exact"/>
        <w:rPr>
          <w:sz w:val="20"/>
          <w:szCs w:val="20"/>
          <w:color w:val="auto"/>
        </w:rPr>
      </w:pPr>
    </w:p>
    <w:p>
      <w:pPr>
        <w:ind w:right="20" w:firstLine="546"/>
        <w:spacing w:after="0" w:line="265" w:lineRule="auto"/>
        <w:rPr>
          <w:sz w:val="20"/>
          <w:szCs w:val="20"/>
          <w:color w:val="auto"/>
        </w:rPr>
      </w:pPr>
      <w:r>
        <w:rPr>
          <w:rFonts w:ascii="Arial" w:cs="Arial" w:eastAsia="Arial" w:hAnsi="Arial"/>
          <w:sz w:val="16"/>
          <w:szCs w:val="16"/>
          <w:color w:val="auto"/>
        </w:rPr>
        <w:t>The EIP provides for a maximum incentive pool of 3% of the Company's net income before taxes for the fiscal year. At the beginning of the performance period, each participating executive is allocated a maximum percentage of the incentive pool. For 2021, the Committee allocated a maximum percentage of 35% to Mr. Ho and 11% to Mmes. Crofts and Sellers and Messrs. Polk and Shigemura. The Company has set a target award of 100% of base salary for the CEO, with a threshold or minimum payout of 50% and maximum payout of 250% of target. To achieve any payout, top two quartile performance must occur with actual payout determined by performance and metric weighting. Company performance below the third quartile of the quantitative measures results in forfeiture of the entire weighted opportunity for each of the quantitative measures. Mmes. Crofts and Sellers and Messrs. Polk, and Shigemura have a target award of 80% of base salary. Their threshold or minimum payout is 50% of target and maximum payout is 200% of target. Similar to the CEO, to achieve any payout, top two quartile performance must occur with actual payout determined by performance and metric weighting.</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chart compares the targeted goals of each quantitative performance metric with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1592580</wp:posOffset>
            </wp:positionH>
            <wp:positionV relativeFrom="paragraph">
              <wp:posOffset>161290</wp:posOffset>
            </wp:positionV>
            <wp:extent cx="3966210" cy="916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966210"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describes the Short-Term Incentive Plan's disciplined other short-term metrics and achievements of the CEO and NEOs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161290</wp:posOffset>
            </wp:positionV>
            <wp:extent cx="7133590" cy="50018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3590" cy="5001895"/>
                    </a:xfrm>
                    <a:prstGeom prst="rect">
                      <a:avLst/>
                    </a:prstGeom>
                    <a:noFill/>
                  </pic:spPr>
                </pic:pic>
              </a:graphicData>
            </a:graphic>
          </wp:anchor>
        </w:drawing>
      </w:r>
    </w:p>
    <w:p>
      <w:pPr>
        <w:spacing w:after="0" w:line="248" w:lineRule="exact"/>
        <w:rPr>
          <w:sz w:val="20"/>
          <w:szCs w:val="20"/>
          <w:color w:val="auto"/>
        </w:rPr>
      </w:pPr>
    </w:p>
    <w:p>
      <w:pPr>
        <w:jc w:val="center"/>
        <w:ind w:right="3180"/>
        <w:spacing w:after="0"/>
        <w:rPr>
          <w:sz w:val="20"/>
          <w:szCs w:val="20"/>
          <w:color w:val="auto"/>
        </w:rPr>
      </w:pPr>
      <w:r>
        <w:rPr>
          <w:rFonts w:ascii="Arial" w:cs="Arial" w:eastAsia="Arial" w:hAnsi="Arial"/>
          <w:sz w:val="13"/>
          <w:szCs w:val="13"/>
          <w:b w:val="1"/>
          <w:bCs w:val="1"/>
          <w:color w:val="FFFFFF"/>
        </w:rPr>
        <w:t>2021 Disciplined Other Short-Term Metrics - 20% Weighting *</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6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tcPr>
          <w:p>
            <w:pPr>
              <w:ind w:left="1200"/>
              <w:spacing w:after="0"/>
              <w:rPr>
                <w:sz w:val="20"/>
                <w:szCs w:val="20"/>
                <w:color w:val="auto"/>
              </w:rPr>
            </w:pPr>
            <w:r>
              <w:rPr>
                <w:rFonts w:ascii="Arial" w:cs="Arial" w:eastAsia="Arial" w:hAnsi="Arial"/>
                <w:sz w:val="13"/>
                <w:szCs w:val="13"/>
                <w:b w:val="1"/>
                <w:bCs w:val="1"/>
                <w:color w:val="auto"/>
              </w:rPr>
              <w:t>Strategic Initiatives</w:t>
            </w:r>
          </w:p>
        </w:tc>
        <w:tc>
          <w:tcPr>
            <w:tcW w:w="10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80" w:type="dxa"/>
            <w:vAlign w:val="bottom"/>
            <w:tcBorders>
              <w:bottom w:val="single" w:sz="8" w:color="auto"/>
            </w:tcBorders>
          </w:tcPr>
          <w:p>
            <w:pPr>
              <w:ind w:left="1000"/>
              <w:spacing w:after="0"/>
              <w:rPr>
                <w:sz w:val="20"/>
                <w:szCs w:val="20"/>
                <w:color w:val="auto"/>
              </w:rPr>
            </w:pPr>
            <w:r>
              <w:rPr>
                <w:rFonts w:ascii="Arial" w:cs="Arial" w:eastAsia="Arial" w:hAnsi="Arial"/>
                <w:sz w:val="13"/>
                <w:szCs w:val="13"/>
                <w:b w:val="1"/>
                <w:bCs w:val="1"/>
                <w:color w:val="auto"/>
              </w:rPr>
              <w:t>Community Presence/Reputation</w:t>
            </w:r>
          </w:p>
        </w:tc>
        <w:tc>
          <w:tcPr>
            <w:tcW w:w="3180" w:type="dxa"/>
            <w:vAlign w:val="bottom"/>
            <w:tcBorders>
              <w:bottom w:val="single" w:sz="8" w:color="auto"/>
            </w:tcBorders>
          </w:tcPr>
          <w:p>
            <w:pPr>
              <w:ind w:left="540"/>
              <w:spacing w:after="0"/>
              <w:rPr>
                <w:sz w:val="20"/>
                <w:szCs w:val="20"/>
                <w:color w:val="auto"/>
              </w:rPr>
            </w:pPr>
            <w:r>
              <w:rPr>
                <w:rFonts w:ascii="Arial" w:cs="Arial" w:eastAsia="Arial" w:hAnsi="Arial"/>
                <w:sz w:val="13"/>
                <w:szCs w:val="13"/>
                <w:b w:val="1"/>
                <w:bCs w:val="1"/>
                <w:color w:val="auto"/>
              </w:rPr>
              <w:t>Leadership Development/Succession</w:t>
            </w:r>
          </w:p>
        </w:tc>
        <w:tc>
          <w:tcPr>
            <w:tcW w:w="0" w:type="dxa"/>
            <w:vAlign w:val="bottom"/>
          </w:tcPr>
          <w:p>
            <w:pPr>
              <w:spacing w:after="0"/>
              <w:rPr>
                <w:sz w:val="1"/>
                <w:szCs w:val="1"/>
                <w:color w:val="auto"/>
              </w:rPr>
            </w:pPr>
          </w:p>
        </w:tc>
      </w:tr>
      <w:tr>
        <w:trPr>
          <w:trHeight w:val="255"/>
        </w:trPr>
        <w:tc>
          <w:tcPr>
            <w:tcW w:w="160" w:type="dxa"/>
            <w:vAlign w:val="bottom"/>
          </w:tcPr>
          <w:p>
            <w:pPr>
              <w:ind w:left="100"/>
              <w:spacing w:after="0"/>
              <w:rPr>
                <w:sz w:val="20"/>
                <w:szCs w:val="20"/>
                <w:color w:val="auto"/>
              </w:rPr>
            </w:pPr>
            <w:r>
              <w:rPr>
                <w:rFonts w:ascii="Arial" w:cs="Arial" w:eastAsia="Arial" w:hAnsi="Arial"/>
                <w:sz w:val="12"/>
                <w:szCs w:val="12"/>
                <w:color w:val="auto"/>
                <w:w w:val="94"/>
              </w:rPr>
              <w:t>•</w:t>
            </w:r>
          </w:p>
        </w:tc>
        <w:tc>
          <w:tcPr>
            <w:tcW w:w="2600" w:type="dxa"/>
            <w:vAlign w:val="bottom"/>
          </w:tcPr>
          <w:p>
            <w:pPr>
              <w:ind w:left="40"/>
              <w:spacing w:after="0"/>
              <w:rPr>
                <w:sz w:val="20"/>
                <w:szCs w:val="20"/>
                <w:color w:val="auto"/>
              </w:rPr>
            </w:pPr>
            <w:r>
              <w:rPr>
                <w:rFonts w:ascii="Arial" w:cs="Arial" w:eastAsia="Arial" w:hAnsi="Arial"/>
                <w:sz w:val="12"/>
                <w:szCs w:val="12"/>
                <w:b w:val="1"/>
                <w:bCs w:val="1"/>
                <w:color w:val="auto"/>
                <w:w w:val="88"/>
              </w:rPr>
              <w:t>Total loan balances grew 6%, excluding PPP loans</w:t>
            </w:r>
          </w:p>
        </w:tc>
        <w:tc>
          <w:tcPr>
            <w:tcW w:w="1060" w:type="dxa"/>
            <w:vAlign w:val="bottom"/>
          </w:tcPr>
          <w:p>
            <w:pPr>
              <w:spacing w:after="0"/>
              <w:rPr>
                <w:sz w:val="22"/>
                <w:szCs w:val="22"/>
                <w:color w:val="auto"/>
              </w:rPr>
            </w:pPr>
          </w:p>
        </w:tc>
        <w:tc>
          <w:tcPr>
            <w:tcW w:w="4240" w:type="dxa"/>
            <w:vAlign w:val="bottom"/>
            <w:gridSpan w:val="2"/>
          </w:tcPr>
          <w:p>
            <w:pPr>
              <w:ind w:left="100"/>
              <w:spacing w:after="0"/>
              <w:rPr>
                <w:sz w:val="20"/>
                <w:szCs w:val="20"/>
                <w:color w:val="auto"/>
              </w:rPr>
            </w:pPr>
            <w:r>
              <w:rPr>
                <w:rFonts w:ascii="Arial" w:cs="Arial" w:eastAsia="Arial" w:hAnsi="Arial"/>
                <w:sz w:val="12"/>
                <w:szCs w:val="12"/>
                <w:b w:val="1"/>
                <w:bCs w:val="1"/>
                <w:color w:val="auto"/>
                <w:w w:val="93"/>
              </w:rPr>
              <w:t xml:space="preserve">• CEO </w:t>
            </w:r>
            <w:r>
              <w:rPr>
                <w:rFonts w:ascii="Arial" w:cs="Arial" w:eastAsia="Arial" w:hAnsi="Arial"/>
                <w:sz w:val="12"/>
                <w:szCs w:val="12"/>
                <w:color w:val="auto"/>
                <w:w w:val="93"/>
              </w:rPr>
              <w:t>continues to be active in the community serving, on 13 local boards and in a</w:t>
            </w:r>
          </w:p>
        </w:tc>
        <w:tc>
          <w:tcPr>
            <w:tcW w:w="3180" w:type="dxa"/>
            <w:vAlign w:val="bottom"/>
          </w:tcPr>
          <w:p>
            <w:pPr>
              <w:ind w:left="80"/>
              <w:spacing w:after="0"/>
              <w:rPr>
                <w:sz w:val="20"/>
                <w:szCs w:val="20"/>
                <w:color w:val="auto"/>
              </w:rPr>
            </w:pPr>
            <w:r>
              <w:rPr>
                <w:rFonts w:ascii="Arial" w:cs="Arial" w:eastAsia="Arial" w:hAnsi="Arial"/>
                <w:sz w:val="12"/>
                <w:szCs w:val="12"/>
                <w:b w:val="1"/>
                <w:bCs w:val="1"/>
                <w:color w:val="auto"/>
              </w:rPr>
              <w:t>•  Executive Transitions:</w:t>
            </w:r>
          </w:p>
        </w:tc>
        <w:tc>
          <w:tcPr>
            <w:tcW w:w="0" w:type="dxa"/>
            <w:vAlign w:val="bottom"/>
          </w:tcPr>
          <w:p>
            <w:pPr>
              <w:spacing w:after="0"/>
              <w:rPr>
                <w:sz w:val="1"/>
                <w:szCs w:val="1"/>
                <w:color w:val="auto"/>
              </w:rPr>
            </w:pPr>
          </w:p>
        </w:tc>
      </w:tr>
      <w:tr>
        <w:trPr>
          <w:trHeight w:val="134"/>
        </w:trPr>
        <w:tc>
          <w:tcPr>
            <w:tcW w:w="160" w:type="dxa"/>
            <w:vAlign w:val="bottom"/>
          </w:tcPr>
          <w:p>
            <w:pPr>
              <w:spacing w:after="0"/>
              <w:rPr>
                <w:sz w:val="11"/>
                <w:szCs w:val="11"/>
                <w:color w:val="auto"/>
              </w:rPr>
            </w:pPr>
          </w:p>
        </w:tc>
        <w:tc>
          <w:tcPr>
            <w:tcW w:w="26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86"/>
              </w:rPr>
              <w:t>Total assets hit new record high, ending the year at</w:t>
            </w:r>
          </w:p>
        </w:tc>
        <w:tc>
          <w:tcPr>
            <w:tcW w:w="10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$22.8 billion</w:t>
            </w:r>
          </w:p>
        </w:tc>
        <w:tc>
          <w:tcPr>
            <w:tcW w:w="160" w:type="dxa"/>
            <w:vAlign w:val="bottom"/>
          </w:tcPr>
          <w:p>
            <w:pPr>
              <w:spacing w:after="0"/>
              <w:rPr>
                <w:sz w:val="11"/>
                <w:szCs w:val="11"/>
                <w:color w:val="auto"/>
              </w:rPr>
            </w:pPr>
          </w:p>
        </w:tc>
        <w:tc>
          <w:tcPr>
            <w:tcW w:w="4080" w:type="dxa"/>
            <w:vAlign w:val="bottom"/>
          </w:tcPr>
          <w:p>
            <w:pPr>
              <w:ind w:left="180"/>
              <w:spacing w:after="0" w:line="134" w:lineRule="exact"/>
              <w:rPr>
                <w:sz w:val="20"/>
                <w:szCs w:val="20"/>
                <w:color w:val="auto"/>
              </w:rPr>
            </w:pPr>
            <w:r>
              <w:rPr>
                <w:rFonts w:ascii="Arial" w:cs="Arial" w:eastAsia="Arial" w:hAnsi="Arial"/>
                <w:sz w:val="12"/>
                <w:szCs w:val="12"/>
                <w:color w:val="auto"/>
              </w:rPr>
              <w:t>leadership role guiding Hawaii through the COVID-19 pandemic.</w:t>
            </w:r>
          </w:p>
        </w:tc>
        <w:tc>
          <w:tcPr>
            <w:tcW w:w="3180" w:type="dxa"/>
            <w:vAlign w:val="bottom"/>
          </w:tcPr>
          <w:p>
            <w:pPr>
              <w:ind w:left="280"/>
              <w:spacing w:after="0" w:line="134" w:lineRule="exact"/>
              <w:rPr>
                <w:sz w:val="20"/>
                <w:szCs w:val="20"/>
                <w:color w:val="auto"/>
              </w:rPr>
            </w:pPr>
            <w:r>
              <w:rPr>
                <w:rFonts w:ascii="Arial" w:cs="Arial" w:eastAsia="Arial" w:hAnsi="Arial"/>
                <w:sz w:val="12"/>
                <w:szCs w:val="12"/>
                <w:color w:val="auto"/>
                <w:w w:val="90"/>
              </w:rPr>
              <w:t>65% of movement to executive and senior officer roles were</w:t>
            </w:r>
          </w:p>
        </w:tc>
        <w:tc>
          <w:tcPr>
            <w:tcW w:w="0" w:type="dxa"/>
            <w:vAlign w:val="bottom"/>
          </w:tcPr>
          <w:p>
            <w:pPr>
              <w:spacing w:after="0"/>
              <w:rPr>
                <w:sz w:val="1"/>
                <w:szCs w:val="1"/>
                <w:color w:val="auto"/>
              </w:rPr>
            </w:pPr>
          </w:p>
        </w:tc>
      </w:tr>
      <w:tr>
        <w:trPr>
          <w:trHeight w:val="134"/>
        </w:trPr>
        <w:tc>
          <w:tcPr>
            <w:tcW w:w="160" w:type="dxa"/>
            <w:vAlign w:val="bottom"/>
          </w:tcPr>
          <w:p>
            <w:pPr>
              <w:ind w:left="100"/>
              <w:spacing w:after="0" w:line="134" w:lineRule="exact"/>
              <w:rPr>
                <w:sz w:val="20"/>
                <w:szCs w:val="20"/>
                <w:color w:val="auto"/>
              </w:rPr>
            </w:pPr>
            <w:r>
              <w:rPr>
                <w:rFonts w:ascii="Arial" w:cs="Arial" w:eastAsia="Arial" w:hAnsi="Arial"/>
                <w:sz w:val="12"/>
                <w:szCs w:val="12"/>
                <w:color w:val="auto"/>
                <w:w w:val="94"/>
              </w:rPr>
              <w:t>•</w:t>
            </w:r>
          </w:p>
        </w:tc>
        <w:tc>
          <w:tcPr>
            <w:tcW w:w="26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3180" w:type="dxa"/>
            <w:vAlign w:val="bottom"/>
          </w:tcPr>
          <w:p>
            <w:pPr>
              <w:ind w:left="300"/>
              <w:spacing w:after="0" w:line="134" w:lineRule="exact"/>
              <w:rPr>
                <w:sz w:val="20"/>
                <w:szCs w:val="20"/>
                <w:color w:val="auto"/>
              </w:rPr>
            </w:pPr>
            <w:r>
              <w:rPr>
                <w:rFonts w:ascii="Arial" w:cs="Arial" w:eastAsia="Arial" w:hAnsi="Arial"/>
                <w:sz w:val="12"/>
                <w:szCs w:val="12"/>
                <w:color w:val="auto"/>
                <w:w w:val="91"/>
              </w:rPr>
              <w:t>internal promotions; 35% were strategic external hires to fill</w:t>
            </w:r>
          </w:p>
        </w:tc>
        <w:tc>
          <w:tcPr>
            <w:tcW w:w="0" w:type="dxa"/>
            <w:vAlign w:val="bottom"/>
          </w:tcPr>
          <w:p>
            <w:pPr>
              <w:spacing w:after="0"/>
              <w:rPr>
                <w:sz w:val="1"/>
                <w:szCs w:val="1"/>
                <w:color w:val="auto"/>
              </w:rPr>
            </w:pPr>
          </w:p>
        </w:tc>
      </w:tr>
      <w:tr>
        <w:trPr>
          <w:trHeight w:val="147"/>
        </w:trPr>
        <w:tc>
          <w:tcPr>
            <w:tcW w:w="16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366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88"/>
              </w:rPr>
              <w:t xml:space="preserve">Total deposit balances grew 12%, </w:t>
            </w:r>
            <w:r>
              <w:rPr>
                <w:rFonts w:ascii="Arial" w:cs="Arial" w:eastAsia="Arial" w:hAnsi="Arial"/>
                <w:sz w:val="12"/>
                <w:szCs w:val="12"/>
                <w:color w:val="auto"/>
                <w:w w:val="88"/>
              </w:rPr>
              <w:t>primarily due to an increase in consumer</w:t>
            </w:r>
          </w:p>
        </w:tc>
        <w:tc>
          <w:tcPr>
            <w:tcW w:w="16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94"/>
              </w:rPr>
              <w:t>•</w:t>
            </w:r>
          </w:p>
        </w:tc>
        <w:tc>
          <w:tcPr>
            <w:tcW w:w="40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High levels of industry and press recognition:</w:t>
            </w:r>
          </w:p>
        </w:tc>
        <w:tc>
          <w:tcPr>
            <w:tcW w:w="3180" w:type="dxa"/>
            <w:vAlign w:val="bottom"/>
          </w:tcPr>
          <w:p>
            <w:pPr>
              <w:ind w:left="300"/>
              <w:spacing w:after="0"/>
              <w:rPr>
                <w:sz w:val="20"/>
                <w:szCs w:val="20"/>
                <w:color w:val="auto"/>
              </w:rPr>
            </w:pPr>
            <w:r>
              <w:rPr>
                <w:rFonts w:ascii="Arial" w:cs="Arial" w:eastAsia="Arial" w:hAnsi="Arial"/>
                <w:sz w:val="12"/>
                <w:szCs w:val="12"/>
                <w:color w:val="auto"/>
              </w:rPr>
              <w:t>key business needs</w:t>
            </w:r>
          </w:p>
        </w:tc>
        <w:tc>
          <w:tcPr>
            <w:tcW w:w="0" w:type="dxa"/>
            <w:vAlign w:val="bottom"/>
          </w:tcPr>
          <w:p>
            <w:pPr>
              <w:spacing w:after="0"/>
              <w:rPr>
                <w:sz w:val="1"/>
                <w:szCs w:val="1"/>
                <w:color w:val="auto"/>
              </w:rPr>
            </w:pPr>
          </w:p>
        </w:tc>
      </w:tr>
      <w:tr>
        <w:trPr>
          <w:trHeight w:val="27"/>
        </w:trPr>
        <w:tc>
          <w:tcPr>
            <w:tcW w:w="160" w:type="dxa"/>
            <w:vAlign w:val="bottom"/>
            <w:vMerge w:val="continue"/>
          </w:tcPr>
          <w:p>
            <w:pPr>
              <w:spacing w:after="0"/>
              <w:rPr>
                <w:sz w:val="2"/>
                <w:szCs w:val="2"/>
                <w:color w:val="auto"/>
              </w:rPr>
            </w:pPr>
          </w:p>
        </w:tc>
        <w:tc>
          <w:tcPr>
            <w:tcW w:w="3660" w:type="dxa"/>
            <w:vAlign w:val="bottom"/>
            <w:gridSpan w:val="2"/>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4080" w:type="dxa"/>
            <w:vAlign w:val="bottom"/>
            <w:vMerge w:val="continue"/>
          </w:tcPr>
          <w:p>
            <w:pPr>
              <w:spacing w:after="0"/>
              <w:rPr>
                <w:sz w:val="2"/>
                <w:szCs w:val="2"/>
                <w:color w:val="auto"/>
              </w:rPr>
            </w:pPr>
          </w:p>
        </w:tc>
        <w:tc>
          <w:tcPr>
            <w:tcW w:w="3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160" w:type="dxa"/>
            <w:vAlign w:val="bottom"/>
            <w:vMerge w:val="continue"/>
          </w:tcPr>
          <w:p>
            <w:pPr>
              <w:spacing w:after="0"/>
              <w:rPr>
                <w:sz w:val="8"/>
                <w:szCs w:val="8"/>
                <w:color w:val="auto"/>
              </w:rPr>
            </w:pPr>
          </w:p>
        </w:tc>
        <w:tc>
          <w:tcPr>
            <w:tcW w:w="3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260"/>
              <w:spacing w:after="0" w:line="134" w:lineRule="exact"/>
              <w:rPr>
                <w:sz w:val="20"/>
                <w:szCs w:val="20"/>
                <w:color w:val="auto"/>
              </w:rPr>
            </w:pPr>
            <w:r>
              <w:rPr>
                <w:rFonts w:ascii="Arial" w:cs="Arial" w:eastAsia="Arial" w:hAnsi="Arial"/>
                <w:sz w:val="12"/>
                <w:szCs w:val="12"/>
                <w:color w:val="auto"/>
                <w:w w:val="90"/>
              </w:rPr>
              <w:t>◦ Rated A2 “Baseline Credit Assessment” by Moody's Investors Service placing</w:t>
            </w:r>
          </w:p>
        </w:tc>
        <w:tc>
          <w:tcPr>
            <w:tcW w:w="318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0"/>
              </w:rPr>
              <w:t xml:space="preserve">•  Strong commitment to ESG in the workplace: </w:t>
            </w:r>
            <w:r>
              <w:rPr>
                <w:rFonts w:ascii="Arial" w:cs="Arial" w:eastAsia="Arial" w:hAnsi="Arial"/>
                <w:sz w:val="12"/>
                <w:szCs w:val="12"/>
                <w:color w:val="auto"/>
                <w:w w:val="90"/>
              </w:rPr>
              <w:t>committed to</w:t>
            </w: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2600" w:type="dxa"/>
            <w:vAlign w:val="bottom"/>
            <w:vMerge w:val="restart"/>
          </w:tcPr>
          <w:p>
            <w:pPr>
              <w:ind w:left="100"/>
              <w:spacing w:after="0" w:line="134" w:lineRule="exact"/>
              <w:rPr>
                <w:sz w:val="20"/>
                <w:szCs w:val="20"/>
                <w:color w:val="auto"/>
              </w:rPr>
            </w:pPr>
            <w:r>
              <w:rPr>
                <w:rFonts w:ascii="Arial" w:cs="Arial" w:eastAsia="Arial" w:hAnsi="Arial"/>
                <w:sz w:val="12"/>
                <w:szCs w:val="12"/>
                <w:color w:val="auto"/>
              </w:rPr>
              <w:t>and commercial deposits</w:t>
            </w: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160" w:type="dxa"/>
            <w:vAlign w:val="bottom"/>
          </w:tcPr>
          <w:p>
            <w:pPr>
              <w:spacing w:after="0"/>
              <w:rPr>
                <w:sz w:val="8"/>
                <w:szCs w:val="8"/>
                <w:color w:val="auto"/>
              </w:rPr>
            </w:pPr>
          </w:p>
        </w:tc>
        <w:tc>
          <w:tcPr>
            <w:tcW w:w="26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340"/>
              <w:spacing w:after="0" w:line="134" w:lineRule="exact"/>
              <w:rPr>
                <w:sz w:val="20"/>
                <w:szCs w:val="20"/>
                <w:color w:val="auto"/>
              </w:rPr>
            </w:pPr>
            <w:r>
              <w:rPr>
                <w:rFonts w:ascii="Arial" w:cs="Arial" w:eastAsia="Arial" w:hAnsi="Arial"/>
                <w:sz w:val="12"/>
                <w:szCs w:val="12"/>
                <w:color w:val="auto"/>
                <w:w w:val="95"/>
              </w:rPr>
              <w:t>Bank of Hawaii a notch above the current US bank median and 4 notches</w:t>
            </w: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vMerge w:val="restart"/>
          </w:tcPr>
          <w:p>
            <w:pPr>
              <w:ind w:left="280"/>
              <w:spacing w:after="0" w:line="134" w:lineRule="exact"/>
              <w:rPr>
                <w:sz w:val="20"/>
                <w:szCs w:val="20"/>
                <w:color w:val="auto"/>
              </w:rPr>
            </w:pPr>
            <w:r>
              <w:rPr>
                <w:rFonts w:ascii="Arial" w:cs="Arial" w:eastAsia="Arial" w:hAnsi="Arial"/>
                <w:sz w:val="12"/>
                <w:szCs w:val="12"/>
                <w:color w:val="auto"/>
                <w:w w:val="88"/>
              </w:rPr>
              <w:t>attracting, retaining and developing diverse talent and invests</w:t>
            </w:r>
          </w:p>
        </w:tc>
        <w:tc>
          <w:tcPr>
            <w:tcW w:w="0" w:type="dxa"/>
            <w:vAlign w:val="bottom"/>
          </w:tcPr>
          <w:p>
            <w:pPr>
              <w:spacing w:after="0"/>
              <w:rPr>
                <w:sz w:val="1"/>
                <w:szCs w:val="1"/>
                <w:color w:val="auto"/>
              </w:rPr>
            </w:pPr>
          </w:p>
        </w:tc>
      </w:tr>
      <w:tr>
        <w:trPr>
          <w:trHeight w:val="94"/>
        </w:trPr>
        <w:tc>
          <w:tcPr>
            <w:tcW w:w="160" w:type="dxa"/>
            <w:vAlign w:val="bottom"/>
          </w:tcPr>
          <w:p>
            <w:pPr>
              <w:spacing w:after="0"/>
              <w:rPr>
                <w:sz w:val="8"/>
                <w:szCs w:val="8"/>
                <w:color w:val="auto"/>
              </w:rPr>
            </w:pPr>
          </w:p>
        </w:tc>
        <w:tc>
          <w:tcPr>
            <w:tcW w:w="2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Overall asset quality remained strong</w:t>
            </w: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340"/>
              <w:spacing w:after="0" w:line="134" w:lineRule="exact"/>
              <w:rPr>
                <w:sz w:val="20"/>
                <w:szCs w:val="20"/>
                <w:color w:val="auto"/>
              </w:rPr>
            </w:pPr>
            <w:r>
              <w:rPr>
                <w:rFonts w:ascii="Arial" w:cs="Arial" w:eastAsia="Arial" w:hAnsi="Arial"/>
                <w:sz w:val="12"/>
                <w:szCs w:val="12"/>
                <w:color w:val="auto"/>
              </w:rPr>
              <w:t>above the current global bank median.</w:t>
            </w: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60" w:type="dxa"/>
            <w:vAlign w:val="bottom"/>
            <w:vMerge w:val="restart"/>
          </w:tcPr>
          <w:p>
            <w:pPr>
              <w:ind w:left="100"/>
              <w:spacing w:after="0" w:line="134" w:lineRule="exact"/>
              <w:rPr>
                <w:sz w:val="20"/>
                <w:szCs w:val="20"/>
                <w:color w:val="auto"/>
              </w:rPr>
            </w:pPr>
            <w:r>
              <w:rPr>
                <w:rFonts w:ascii="Arial" w:cs="Arial" w:eastAsia="Arial" w:hAnsi="Arial"/>
                <w:sz w:val="12"/>
                <w:szCs w:val="12"/>
                <w:color w:val="auto"/>
                <w:w w:val="94"/>
              </w:rPr>
              <w:t>•</w:t>
            </w:r>
          </w:p>
        </w:tc>
        <w:tc>
          <w:tcPr>
            <w:tcW w:w="260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vMerge w:val="restart"/>
          </w:tcPr>
          <w:p>
            <w:pPr>
              <w:ind w:left="280"/>
              <w:spacing w:after="0" w:line="134" w:lineRule="exact"/>
              <w:rPr>
                <w:sz w:val="20"/>
                <w:szCs w:val="20"/>
                <w:color w:val="auto"/>
              </w:rPr>
            </w:pPr>
            <w:r>
              <w:rPr>
                <w:rFonts w:ascii="Arial" w:cs="Arial" w:eastAsia="Arial" w:hAnsi="Arial"/>
                <w:sz w:val="12"/>
                <w:szCs w:val="12"/>
                <w:color w:val="auto"/>
                <w:w w:val="97"/>
              </w:rPr>
              <w:t>in employees through education, learning development,</w:t>
            </w:r>
          </w:p>
        </w:tc>
        <w:tc>
          <w:tcPr>
            <w:tcW w:w="0" w:type="dxa"/>
            <w:vAlign w:val="bottom"/>
          </w:tcPr>
          <w:p>
            <w:pPr>
              <w:spacing w:after="0"/>
              <w:rPr>
                <w:sz w:val="1"/>
                <w:szCs w:val="1"/>
                <w:color w:val="auto"/>
              </w:rPr>
            </w:pPr>
          </w:p>
        </w:tc>
      </w:tr>
      <w:tr>
        <w:trPr>
          <w:trHeight w:val="94"/>
        </w:trPr>
        <w:tc>
          <w:tcPr>
            <w:tcW w:w="160" w:type="dxa"/>
            <w:vAlign w:val="bottom"/>
            <w:vMerge w:val="continue"/>
          </w:tcPr>
          <w:p>
            <w:pPr>
              <w:spacing w:after="0"/>
              <w:rPr>
                <w:sz w:val="8"/>
                <w:szCs w:val="8"/>
                <w:color w:val="auto"/>
              </w:rPr>
            </w:pPr>
          </w:p>
        </w:tc>
        <w:tc>
          <w:tcPr>
            <w:tcW w:w="26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260"/>
              <w:spacing w:after="0" w:line="134" w:lineRule="exact"/>
              <w:rPr>
                <w:sz w:val="20"/>
                <w:szCs w:val="20"/>
                <w:color w:val="auto"/>
              </w:rPr>
            </w:pPr>
            <w:r>
              <w:rPr>
                <w:rFonts w:ascii="Arial" w:cs="Arial" w:eastAsia="Arial" w:hAnsi="Arial"/>
                <w:sz w:val="12"/>
                <w:szCs w:val="12"/>
                <w:color w:val="auto"/>
                <w:w w:val="90"/>
              </w:rPr>
              <w:t>◦ As reported by the FDIC, Bank of Hawaii had the largest deposit share of any</w:t>
            </w: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vMerge w:val="restart"/>
          </w:tcPr>
          <w:p>
            <w:pPr>
              <w:ind w:left="280"/>
              <w:spacing w:after="0" w:line="134" w:lineRule="exact"/>
              <w:rPr>
                <w:sz w:val="20"/>
                <w:szCs w:val="20"/>
                <w:color w:val="auto"/>
              </w:rPr>
            </w:pPr>
            <w:r>
              <w:rPr>
                <w:rFonts w:ascii="Arial" w:cs="Arial" w:eastAsia="Arial" w:hAnsi="Arial"/>
                <w:sz w:val="12"/>
                <w:szCs w:val="12"/>
                <w:color w:val="auto"/>
                <w:w w:val="95"/>
              </w:rPr>
              <w:t>compensation and benefits, its commitment to workplace</w:t>
            </w:r>
          </w:p>
        </w:tc>
        <w:tc>
          <w:tcPr>
            <w:tcW w:w="0" w:type="dxa"/>
            <w:vAlign w:val="bottom"/>
          </w:tcPr>
          <w:p>
            <w:pPr>
              <w:spacing w:after="0"/>
              <w:rPr>
                <w:sz w:val="1"/>
                <w:szCs w:val="1"/>
                <w:color w:val="auto"/>
              </w:rPr>
            </w:pPr>
          </w:p>
        </w:tc>
      </w:tr>
      <w:tr>
        <w:trPr>
          <w:trHeight w:val="94"/>
        </w:trPr>
        <w:tc>
          <w:tcPr>
            <w:tcW w:w="160" w:type="dxa"/>
            <w:vAlign w:val="bottom"/>
          </w:tcPr>
          <w:p>
            <w:pPr>
              <w:spacing w:after="0"/>
              <w:rPr>
                <w:sz w:val="8"/>
                <w:szCs w:val="8"/>
                <w:color w:val="auto"/>
              </w:rPr>
            </w:pPr>
          </w:p>
        </w:tc>
        <w:tc>
          <w:tcPr>
            <w:tcW w:w="2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Efficiency ratio was 58.86%</w:t>
            </w: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340"/>
              <w:spacing w:after="0" w:line="134" w:lineRule="exact"/>
              <w:rPr>
                <w:sz w:val="20"/>
                <w:szCs w:val="20"/>
                <w:color w:val="auto"/>
              </w:rPr>
            </w:pPr>
            <w:r>
              <w:rPr>
                <w:rFonts w:ascii="Arial" w:cs="Arial" w:eastAsia="Arial" w:hAnsi="Arial"/>
                <w:sz w:val="12"/>
                <w:szCs w:val="12"/>
                <w:color w:val="auto"/>
                <w:w w:val="91"/>
              </w:rPr>
              <w:t>financial institution in the state of Hawaii, as well as the largest market share</w:t>
            </w: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60" w:type="dxa"/>
            <w:vAlign w:val="bottom"/>
            <w:vMerge w:val="restart"/>
          </w:tcPr>
          <w:p>
            <w:pPr>
              <w:ind w:left="100"/>
              <w:spacing w:after="0"/>
              <w:rPr>
                <w:sz w:val="20"/>
                <w:szCs w:val="20"/>
                <w:color w:val="auto"/>
              </w:rPr>
            </w:pPr>
            <w:r>
              <w:rPr>
                <w:rFonts w:ascii="Arial" w:cs="Arial" w:eastAsia="Arial" w:hAnsi="Arial"/>
                <w:sz w:val="12"/>
                <w:szCs w:val="12"/>
                <w:color w:val="auto"/>
                <w:w w:val="94"/>
              </w:rPr>
              <w:t>•</w:t>
            </w:r>
          </w:p>
        </w:tc>
        <w:tc>
          <w:tcPr>
            <w:tcW w:w="260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vMerge w:val="restart"/>
          </w:tcPr>
          <w:p>
            <w:pPr>
              <w:ind w:left="280"/>
              <w:spacing w:after="0"/>
              <w:rPr>
                <w:sz w:val="20"/>
                <w:szCs w:val="20"/>
                <w:color w:val="auto"/>
              </w:rPr>
            </w:pPr>
            <w:r>
              <w:rPr>
                <w:rFonts w:ascii="Arial" w:cs="Arial" w:eastAsia="Arial" w:hAnsi="Arial"/>
                <w:sz w:val="12"/>
                <w:szCs w:val="12"/>
                <w:color w:val="auto"/>
              </w:rPr>
              <w:t>excellence, including wellness, diversity and inclusion</w:t>
            </w:r>
          </w:p>
        </w:tc>
        <w:tc>
          <w:tcPr>
            <w:tcW w:w="0" w:type="dxa"/>
            <w:vAlign w:val="bottom"/>
          </w:tcPr>
          <w:p>
            <w:pPr>
              <w:spacing w:after="0"/>
              <w:rPr>
                <w:sz w:val="1"/>
                <w:szCs w:val="1"/>
                <w:color w:val="auto"/>
              </w:rPr>
            </w:pPr>
          </w:p>
        </w:tc>
      </w:tr>
      <w:tr>
        <w:trPr>
          <w:trHeight w:val="134"/>
        </w:trPr>
        <w:tc>
          <w:tcPr>
            <w:tcW w:w="160" w:type="dxa"/>
            <w:vAlign w:val="bottom"/>
            <w:vMerge w:val="continue"/>
          </w:tcPr>
          <w:p>
            <w:pPr>
              <w:spacing w:after="0"/>
              <w:rPr>
                <w:sz w:val="11"/>
                <w:szCs w:val="11"/>
                <w:color w:val="auto"/>
              </w:rPr>
            </w:pPr>
          </w:p>
        </w:tc>
        <w:tc>
          <w:tcPr>
            <w:tcW w:w="260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80" w:type="dxa"/>
            <w:vAlign w:val="bottom"/>
          </w:tcPr>
          <w:p>
            <w:pPr>
              <w:ind w:left="340"/>
              <w:spacing w:after="0" w:line="134" w:lineRule="exact"/>
              <w:rPr>
                <w:sz w:val="20"/>
                <w:szCs w:val="20"/>
                <w:color w:val="auto"/>
              </w:rPr>
            </w:pPr>
            <w:r>
              <w:rPr>
                <w:rFonts w:ascii="Arial" w:cs="Arial" w:eastAsia="Arial" w:hAnsi="Arial"/>
                <w:sz w:val="12"/>
                <w:szCs w:val="12"/>
                <w:color w:val="auto"/>
              </w:rPr>
              <w:t>gain</w:t>
            </w:r>
          </w:p>
        </w:tc>
        <w:tc>
          <w:tcPr>
            <w:tcW w:w="3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60" w:type="dxa"/>
            <w:vAlign w:val="bottom"/>
            <w:vMerge w:val="restart"/>
          </w:tcPr>
          <w:p>
            <w:pPr>
              <w:ind w:left="100"/>
              <w:spacing w:after="0"/>
              <w:rPr>
                <w:sz w:val="20"/>
                <w:szCs w:val="20"/>
                <w:color w:val="auto"/>
              </w:rPr>
            </w:pPr>
            <w:r>
              <w:rPr>
                <w:rFonts w:ascii="Arial" w:cs="Arial" w:eastAsia="Arial" w:hAnsi="Arial"/>
                <w:sz w:val="12"/>
                <w:szCs w:val="12"/>
                <w:color w:val="auto"/>
                <w:w w:val="94"/>
              </w:rPr>
              <w:t>•</w:t>
            </w:r>
          </w:p>
        </w:tc>
        <w:tc>
          <w:tcPr>
            <w:tcW w:w="3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w w:val="88"/>
              </w:rPr>
              <w:t>Continued to process PPP loan forgiveness for customers; 3,400 loans</w:t>
            </w:r>
          </w:p>
        </w:tc>
        <w:tc>
          <w:tcPr>
            <w:tcW w:w="160" w:type="dxa"/>
            <w:vAlign w:val="bottom"/>
          </w:tcPr>
          <w:p>
            <w:pPr>
              <w:spacing w:after="0"/>
              <w:rPr>
                <w:sz w:val="11"/>
                <w:szCs w:val="11"/>
                <w:color w:val="auto"/>
              </w:rPr>
            </w:pPr>
          </w:p>
        </w:tc>
        <w:tc>
          <w:tcPr>
            <w:tcW w:w="4080" w:type="dxa"/>
            <w:vAlign w:val="bottom"/>
          </w:tcPr>
          <w:p>
            <w:pPr>
              <w:ind w:left="260"/>
              <w:spacing w:after="0" w:line="134" w:lineRule="exact"/>
              <w:rPr>
                <w:sz w:val="20"/>
                <w:szCs w:val="20"/>
                <w:color w:val="auto"/>
              </w:rPr>
            </w:pPr>
            <w:r>
              <w:rPr>
                <w:rFonts w:ascii="Arial" w:cs="Arial" w:eastAsia="Arial" w:hAnsi="Arial"/>
                <w:sz w:val="12"/>
                <w:szCs w:val="12"/>
                <w:color w:val="auto"/>
                <w:w w:val="91"/>
              </w:rPr>
              <w:t>◦ Bank of Hawaii Mililani Branch was selected as a 2021 Kukulu Hale Award in</w:t>
            </w:r>
          </w:p>
        </w:tc>
        <w:tc>
          <w:tcPr>
            <w:tcW w:w="318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1"/>
              </w:rPr>
              <w:t xml:space="preserve">•  Advanced Leaders Program </w:t>
            </w:r>
            <w:r>
              <w:rPr>
                <w:rFonts w:ascii="Arial" w:cs="Arial" w:eastAsia="Arial" w:hAnsi="Arial"/>
                <w:sz w:val="12"/>
                <w:szCs w:val="12"/>
                <w:color w:val="auto"/>
                <w:w w:val="91"/>
              </w:rPr>
              <w:t>designed for senior executives</w:t>
            </w:r>
          </w:p>
        </w:tc>
        <w:tc>
          <w:tcPr>
            <w:tcW w:w="0" w:type="dxa"/>
            <w:vAlign w:val="bottom"/>
          </w:tcPr>
          <w:p>
            <w:pPr>
              <w:spacing w:after="0"/>
              <w:rPr>
                <w:sz w:val="1"/>
                <w:szCs w:val="1"/>
                <w:color w:val="auto"/>
              </w:rPr>
            </w:pPr>
          </w:p>
        </w:tc>
      </w:tr>
      <w:tr>
        <w:trPr>
          <w:trHeight w:val="92"/>
        </w:trPr>
        <w:tc>
          <w:tcPr>
            <w:tcW w:w="160" w:type="dxa"/>
            <w:vAlign w:val="bottom"/>
            <w:vMerge w:val="continue"/>
          </w:tcPr>
          <w:p>
            <w:pPr>
              <w:spacing w:after="0"/>
              <w:rPr>
                <w:sz w:val="7"/>
                <w:szCs w:val="7"/>
                <w:color w:val="auto"/>
              </w:rPr>
            </w:pPr>
          </w:p>
        </w:tc>
        <w:tc>
          <w:tcPr>
            <w:tcW w:w="36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4080" w:type="dxa"/>
            <w:vAlign w:val="bottom"/>
            <w:vMerge w:val="restart"/>
          </w:tcPr>
          <w:p>
            <w:pPr>
              <w:ind w:left="340"/>
              <w:spacing w:after="0" w:line="134" w:lineRule="exact"/>
              <w:rPr>
                <w:sz w:val="20"/>
                <w:szCs w:val="20"/>
                <w:color w:val="auto"/>
              </w:rPr>
            </w:pPr>
            <w:r>
              <w:rPr>
                <w:rFonts w:ascii="Arial" w:cs="Arial" w:eastAsia="Arial" w:hAnsi="Arial"/>
                <w:sz w:val="12"/>
                <w:szCs w:val="12"/>
                <w:color w:val="auto"/>
                <w:w w:val="96"/>
              </w:rPr>
              <w:t>the New Commercial category by NAIOP Hawaii (National Association of</w:t>
            </w: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160" w:type="dxa"/>
            <w:vAlign w:val="bottom"/>
          </w:tcPr>
          <w:p>
            <w:pPr>
              <w:spacing w:after="0"/>
              <w:rPr>
                <w:sz w:val="3"/>
                <w:szCs w:val="3"/>
                <w:color w:val="auto"/>
              </w:rPr>
            </w:pPr>
          </w:p>
        </w:tc>
        <w:tc>
          <w:tcPr>
            <w:tcW w:w="2600" w:type="dxa"/>
            <w:vAlign w:val="bottom"/>
            <w:vMerge w:val="restart"/>
          </w:tcPr>
          <w:p>
            <w:pPr>
              <w:ind w:left="140"/>
              <w:spacing w:after="0" w:line="136" w:lineRule="exact"/>
              <w:rPr>
                <w:sz w:val="20"/>
                <w:szCs w:val="20"/>
                <w:color w:val="auto"/>
              </w:rPr>
            </w:pPr>
            <w:r>
              <w:rPr>
                <w:rFonts w:ascii="Arial" w:cs="Arial" w:eastAsia="Arial" w:hAnsi="Arial"/>
                <w:sz w:val="12"/>
                <w:szCs w:val="12"/>
                <w:b w:val="1"/>
                <w:bCs w:val="1"/>
                <w:color w:val="auto"/>
              </w:rPr>
              <w:t>totaling over $287 million</w:t>
            </w: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vMerge w:val="restart"/>
          </w:tcPr>
          <w:p>
            <w:pPr>
              <w:ind w:left="280"/>
              <w:spacing w:after="0" w:line="136" w:lineRule="exact"/>
              <w:rPr>
                <w:sz w:val="20"/>
                <w:szCs w:val="20"/>
                <w:color w:val="auto"/>
              </w:rPr>
            </w:pPr>
            <w:r>
              <w:rPr>
                <w:rFonts w:ascii="Arial" w:cs="Arial" w:eastAsia="Arial" w:hAnsi="Arial"/>
                <w:sz w:val="12"/>
                <w:szCs w:val="12"/>
                <w:color w:val="auto"/>
                <w:w w:val="93"/>
              </w:rPr>
              <w:t>and intended to create a consistent leadership culture and</w:t>
            </w:r>
          </w:p>
        </w:tc>
        <w:tc>
          <w:tcPr>
            <w:tcW w:w="0" w:type="dxa"/>
            <w:vAlign w:val="bottom"/>
          </w:tcPr>
          <w:p>
            <w:pPr>
              <w:spacing w:after="0"/>
              <w:rPr>
                <w:sz w:val="1"/>
                <w:szCs w:val="1"/>
                <w:color w:val="auto"/>
              </w:rPr>
            </w:pPr>
          </w:p>
        </w:tc>
      </w:tr>
      <w:tr>
        <w:trPr>
          <w:trHeight w:val="94"/>
        </w:trPr>
        <w:tc>
          <w:tcPr>
            <w:tcW w:w="160" w:type="dxa"/>
            <w:vAlign w:val="bottom"/>
          </w:tcPr>
          <w:p>
            <w:pPr>
              <w:spacing w:after="0"/>
              <w:rPr>
                <w:sz w:val="8"/>
                <w:szCs w:val="8"/>
                <w:color w:val="auto"/>
              </w:rPr>
            </w:pPr>
          </w:p>
        </w:tc>
        <w:tc>
          <w:tcPr>
            <w:tcW w:w="26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340"/>
              <w:spacing w:after="0" w:line="134" w:lineRule="exact"/>
              <w:rPr>
                <w:sz w:val="20"/>
                <w:szCs w:val="20"/>
                <w:color w:val="auto"/>
              </w:rPr>
            </w:pPr>
            <w:r>
              <w:rPr>
                <w:rFonts w:ascii="Arial" w:cs="Arial" w:eastAsia="Arial" w:hAnsi="Arial"/>
                <w:sz w:val="12"/>
                <w:szCs w:val="12"/>
                <w:color w:val="auto"/>
              </w:rPr>
              <w:t>Industrial and Office Properties)</w:t>
            </w: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vMerge w:val="restart"/>
          </w:tcPr>
          <w:p>
            <w:pPr>
              <w:ind w:left="280"/>
              <w:spacing w:after="0" w:line="134" w:lineRule="exact"/>
              <w:rPr>
                <w:sz w:val="20"/>
                <w:szCs w:val="20"/>
                <w:color w:val="auto"/>
              </w:rPr>
            </w:pPr>
            <w:r>
              <w:rPr>
                <w:rFonts w:ascii="Arial" w:cs="Arial" w:eastAsia="Arial" w:hAnsi="Arial"/>
                <w:sz w:val="12"/>
                <w:szCs w:val="12"/>
                <w:color w:val="auto"/>
                <w:w w:val="97"/>
              </w:rPr>
              <w:t>engage in succession planning to prepare for workforce</w:t>
            </w:r>
          </w:p>
        </w:tc>
        <w:tc>
          <w:tcPr>
            <w:tcW w:w="0" w:type="dxa"/>
            <w:vAlign w:val="bottom"/>
          </w:tcPr>
          <w:p>
            <w:pPr>
              <w:spacing w:after="0"/>
              <w:rPr>
                <w:sz w:val="1"/>
                <w:szCs w:val="1"/>
                <w:color w:val="auto"/>
              </w:rPr>
            </w:pPr>
          </w:p>
        </w:tc>
      </w:tr>
      <w:tr>
        <w:trPr>
          <w:trHeight w:val="94"/>
        </w:trPr>
        <w:tc>
          <w:tcPr>
            <w:tcW w:w="27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 Customer Experience</w:t>
            </w: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260"/>
              <w:spacing w:after="0" w:line="134" w:lineRule="exact"/>
              <w:rPr>
                <w:sz w:val="20"/>
                <w:szCs w:val="20"/>
                <w:color w:val="auto"/>
              </w:rPr>
            </w:pPr>
            <w:r>
              <w:rPr>
                <w:rFonts w:ascii="Arial" w:cs="Arial" w:eastAsia="Arial" w:hAnsi="Arial"/>
                <w:sz w:val="12"/>
                <w:szCs w:val="12"/>
                <w:color w:val="auto"/>
                <w:w w:val="89"/>
              </w:rPr>
              <w:t xml:space="preserve">◦ Named Best Bank by readers of the </w:t>
            </w:r>
            <w:r>
              <w:rPr>
                <w:rFonts w:ascii="Arial" w:cs="Arial" w:eastAsia="Arial" w:hAnsi="Arial"/>
                <w:sz w:val="12"/>
                <w:szCs w:val="12"/>
                <w:i w:val="1"/>
                <w:iCs w:val="1"/>
                <w:color w:val="auto"/>
                <w:w w:val="89"/>
              </w:rPr>
              <w:t>Honolulu Star-Advertiser, Hawaii Tribune-</w:t>
            </w: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760" w:type="dxa"/>
            <w:vAlign w:val="bottom"/>
            <w:gridSpan w:val="2"/>
            <w:vMerge w:val="continue"/>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vMerge w:val="restart"/>
          </w:tcPr>
          <w:p>
            <w:pPr>
              <w:ind w:left="280"/>
              <w:spacing w:after="0" w:line="134" w:lineRule="exact"/>
              <w:rPr>
                <w:sz w:val="20"/>
                <w:szCs w:val="20"/>
                <w:color w:val="auto"/>
              </w:rPr>
            </w:pPr>
            <w:r>
              <w:rPr>
                <w:rFonts w:ascii="Arial" w:cs="Arial" w:eastAsia="Arial" w:hAnsi="Arial"/>
                <w:sz w:val="12"/>
                <w:szCs w:val="12"/>
                <w:color w:val="auto"/>
              </w:rPr>
              <w:t>transitions</w:t>
            </w:r>
          </w:p>
        </w:tc>
        <w:tc>
          <w:tcPr>
            <w:tcW w:w="0" w:type="dxa"/>
            <w:vAlign w:val="bottom"/>
          </w:tcPr>
          <w:p>
            <w:pPr>
              <w:spacing w:after="0"/>
              <w:rPr>
                <w:sz w:val="1"/>
                <w:szCs w:val="1"/>
                <w:color w:val="auto"/>
              </w:rPr>
            </w:pPr>
          </w:p>
        </w:tc>
      </w:tr>
      <w:tr>
        <w:trPr>
          <w:trHeight w:val="94"/>
        </w:trPr>
        <w:tc>
          <w:tcPr>
            <w:tcW w:w="2760" w:type="dxa"/>
            <w:vAlign w:val="bottom"/>
            <w:gridSpan w:val="2"/>
            <w:vMerge w:val="continue"/>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340"/>
              <w:spacing w:after="0"/>
              <w:rPr>
                <w:sz w:val="20"/>
                <w:szCs w:val="20"/>
                <w:color w:val="auto"/>
              </w:rPr>
            </w:pPr>
            <w:r>
              <w:rPr>
                <w:rFonts w:ascii="Arial" w:cs="Arial" w:eastAsia="Arial" w:hAnsi="Arial"/>
                <w:sz w:val="12"/>
                <w:szCs w:val="12"/>
                <w:i w:val="1"/>
                <w:iCs w:val="1"/>
                <w:color w:val="auto"/>
                <w:w w:val="99"/>
              </w:rPr>
              <w:t xml:space="preserve">Herald, West Hawaii Today, </w:t>
            </w:r>
            <w:r>
              <w:rPr>
                <w:rFonts w:ascii="Arial" w:cs="Arial" w:eastAsia="Arial" w:hAnsi="Arial"/>
                <w:sz w:val="12"/>
                <w:szCs w:val="12"/>
                <w:color w:val="auto"/>
                <w:w w:val="99"/>
              </w:rPr>
              <w:t>and</w:t>
            </w:r>
            <w:r>
              <w:rPr>
                <w:rFonts w:ascii="Arial" w:cs="Arial" w:eastAsia="Arial" w:hAnsi="Arial"/>
                <w:sz w:val="12"/>
                <w:szCs w:val="12"/>
                <w:i w:val="1"/>
                <w:iCs w:val="1"/>
                <w:color w:val="auto"/>
                <w:w w:val="99"/>
              </w:rPr>
              <w:t xml:space="preserve"> Hawaii Home+Remodeling magazine</w:t>
            </w: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60" w:type="dxa"/>
            <w:vAlign w:val="bottom"/>
          </w:tcPr>
          <w:p>
            <w:pPr>
              <w:spacing w:after="0"/>
              <w:rPr>
                <w:sz w:val="4"/>
                <w:szCs w:val="4"/>
                <w:color w:val="auto"/>
              </w:rPr>
            </w:pPr>
          </w:p>
        </w:tc>
        <w:tc>
          <w:tcPr>
            <w:tcW w:w="3660" w:type="dxa"/>
            <w:vAlign w:val="bottom"/>
            <w:gridSpan w:val="2"/>
            <w:vMerge w:val="restart"/>
          </w:tcPr>
          <w:p>
            <w:pPr>
              <w:ind w:left="180"/>
              <w:spacing w:after="0" w:line="134" w:lineRule="exact"/>
              <w:rPr>
                <w:sz w:val="20"/>
                <w:szCs w:val="20"/>
                <w:color w:val="auto"/>
              </w:rPr>
            </w:pPr>
            <w:r>
              <w:rPr>
                <w:rFonts w:ascii="Arial" w:cs="Arial" w:eastAsia="Arial" w:hAnsi="Arial"/>
                <w:sz w:val="12"/>
                <w:szCs w:val="12"/>
                <w:color w:val="auto"/>
                <w:w w:val="98"/>
              </w:rPr>
              <w:t>◦ Continued gathering feedback via more than 20,000 surveys that</w:t>
            </w:r>
          </w:p>
        </w:tc>
        <w:tc>
          <w:tcPr>
            <w:tcW w:w="160" w:type="dxa"/>
            <w:vAlign w:val="bottom"/>
          </w:tcPr>
          <w:p>
            <w:pPr>
              <w:spacing w:after="0"/>
              <w:rPr>
                <w:sz w:val="4"/>
                <w:szCs w:val="4"/>
                <w:color w:val="auto"/>
              </w:rPr>
            </w:pPr>
          </w:p>
        </w:tc>
        <w:tc>
          <w:tcPr>
            <w:tcW w:w="4080" w:type="dxa"/>
            <w:vAlign w:val="bottom"/>
            <w:vMerge w:val="continue"/>
          </w:tcPr>
          <w:p>
            <w:pPr>
              <w:spacing w:after="0"/>
              <w:rPr>
                <w:sz w:val="4"/>
                <w:szCs w:val="4"/>
                <w:color w:val="auto"/>
              </w:rPr>
            </w:pPr>
          </w:p>
        </w:tc>
        <w:tc>
          <w:tcPr>
            <w:tcW w:w="3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 w:type="dxa"/>
            <w:vAlign w:val="bottom"/>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4080" w:type="dxa"/>
            <w:vAlign w:val="bottom"/>
          </w:tcPr>
          <w:p>
            <w:pPr>
              <w:spacing w:after="0"/>
              <w:rPr>
                <w:sz w:val="6"/>
                <w:szCs w:val="6"/>
                <w:color w:val="auto"/>
              </w:rPr>
            </w:pPr>
          </w:p>
        </w:tc>
        <w:tc>
          <w:tcPr>
            <w:tcW w:w="318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9"/>
              </w:rPr>
              <w:t xml:space="preserve">•  Exec Connect </w:t>
            </w:r>
            <w:r>
              <w:rPr>
                <w:rFonts w:ascii="Arial" w:cs="Arial" w:eastAsia="Arial" w:hAnsi="Arial"/>
                <w:sz w:val="12"/>
                <w:szCs w:val="12"/>
                <w:color w:val="auto"/>
                <w:w w:val="99"/>
              </w:rPr>
              <w:t>provides an opportunity for employees to</w:t>
            </w:r>
          </w:p>
        </w:tc>
        <w:tc>
          <w:tcPr>
            <w:tcW w:w="0" w:type="dxa"/>
            <w:vAlign w:val="bottom"/>
          </w:tcPr>
          <w:p>
            <w:pPr>
              <w:spacing w:after="0"/>
              <w:rPr>
                <w:sz w:val="1"/>
                <w:szCs w:val="1"/>
                <w:color w:val="auto"/>
              </w:rPr>
            </w:pPr>
          </w:p>
        </w:tc>
      </w:tr>
      <w:tr>
        <w:trPr>
          <w:trHeight w:val="134"/>
        </w:trPr>
        <w:tc>
          <w:tcPr>
            <w:tcW w:w="160" w:type="dxa"/>
            <w:vAlign w:val="bottom"/>
          </w:tcPr>
          <w:p>
            <w:pPr>
              <w:spacing w:after="0"/>
              <w:rPr>
                <w:sz w:val="11"/>
                <w:szCs w:val="11"/>
                <w:color w:val="auto"/>
              </w:rPr>
            </w:pPr>
          </w:p>
        </w:tc>
        <w:tc>
          <w:tcPr>
            <w:tcW w:w="3660" w:type="dxa"/>
            <w:vAlign w:val="bottom"/>
            <w:gridSpan w:val="2"/>
          </w:tcPr>
          <w:p>
            <w:pPr>
              <w:ind w:left="260"/>
              <w:spacing w:after="0" w:line="134" w:lineRule="exact"/>
              <w:rPr>
                <w:sz w:val="20"/>
                <w:szCs w:val="20"/>
                <w:color w:val="auto"/>
              </w:rPr>
            </w:pPr>
            <w:r>
              <w:rPr>
                <w:rFonts w:ascii="Arial" w:cs="Arial" w:eastAsia="Arial" w:hAnsi="Arial"/>
                <w:sz w:val="12"/>
                <w:szCs w:val="12"/>
                <w:color w:val="auto"/>
                <w:w w:val="95"/>
              </w:rPr>
              <w:t>identified opportunities for future growth and service improvements</w:t>
            </w:r>
          </w:p>
        </w:tc>
        <w:tc>
          <w:tcPr>
            <w:tcW w:w="42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 Strong commitment to ESG in the communities we serve</w:t>
            </w:r>
          </w:p>
        </w:tc>
        <w:tc>
          <w:tcPr>
            <w:tcW w:w="3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3660" w:type="dxa"/>
            <w:vAlign w:val="bottom"/>
            <w:gridSpan w:val="2"/>
            <w:vMerge w:val="restart"/>
          </w:tcPr>
          <w:p>
            <w:pPr>
              <w:ind w:left="180"/>
              <w:spacing w:after="0" w:line="134" w:lineRule="exact"/>
              <w:rPr>
                <w:sz w:val="20"/>
                <w:szCs w:val="20"/>
                <w:color w:val="auto"/>
              </w:rPr>
            </w:pPr>
            <w:r>
              <w:rPr>
                <w:rFonts w:ascii="Arial" w:cs="Arial" w:eastAsia="Arial" w:hAnsi="Arial"/>
                <w:sz w:val="12"/>
                <w:szCs w:val="12"/>
                <w:color w:val="auto"/>
              </w:rPr>
              <w:t>◦ Designed solutions to transform customer experiences</w:t>
            </w:r>
          </w:p>
        </w:tc>
        <w:tc>
          <w:tcPr>
            <w:tcW w:w="4240" w:type="dxa"/>
            <w:vAlign w:val="bottom"/>
            <w:gridSpan w:val="2"/>
            <w:vMerge w:val="continue"/>
          </w:tcPr>
          <w:p>
            <w:pPr>
              <w:spacing w:after="0"/>
              <w:rPr>
                <w:sz w:val="3"/>
                <w:szCs w:val="3"/>
                <w:color w:val="auto"/>
              </w:rPr>
            </w:pPr>
          </w:p>
        </w:tc>
        <w:tc>
          <w:tcPr>
            <w:tcW w:w="3180" w:type="dxa"/>
            <w:vAlign w:val="bottom"/>
            <w:vMerge w:val="restart"/>
          </w:tcPr>
          <w:p>
            <w:pPr>
              <w:ind w:left="280"/>
              <w:spacing w:after="0" w:line="134" w:lineRule="exact"/>
              <w:rPr>
                <w:sz w:val="20"/>
                <w:szCs w:val="20"/>
                <w:color w:val="auto"/>
              </w:rPr>
            </w:pPr>
            <w:r>
              <w:rPr>
                <w:rFonts w:ascii="Arial" w:cs="Arial" w:eastAsia="Arial" w:hAnsi="Arial"/>
                <w:sz w:val="12"/>
                <w:szCs w:val="12"/>
                <w:color w:val="auto"/>
                <w:w w:val="90"/>
              </w:rPr>
              <w:t>connect with executives to learn about high-level strategies,</w:t>
            </w:r>
          </w:p>
        </w:tc>
        <w:tc>
          <w:tcPr>
            <w:tcW w:w="0" w:type="dxa"/>
            <w:vAlign w:val="bottom"/>
          </w:tcPr>
          <w:p>
            <w:pPr>
              <w:spacing w:after="0"/>
              <w:rPr>
                <w:sz w:val="1"/>
                <w:szCs w:val="1"/>
                <w:color w:val="auto"/>
              </w:rPr>
            </w:pPr>
          </w:p>
        </w:tc>
      </w:tr>
      <w:tr>
        <w:trPr>
          <w:trHeight w:val="94"/>
        </w:trPr>
        <w:tc>
          <w:tcPr>
            <w:tcW w:w="160" w:type="dxa"/>
            <w:vAlign w:val="bottom"/>
          </w:tcPr>
          <w:p>
            <w:pPr>
              <w:spacing w:after="0"/>
              <w:rPr>
                <w:sz w:val="8"/>
                <w:szCs w:val="8"/>
                <w:color w:val="auto"/>
              </w:rPr>
            </w:pPr>
          </w:p>
        </w:tc>
        <w:tc>
          <w:tcPr>
            <w:tcW w:w="3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260"/>
              <w:spacing w:after="0" w:line="134" w:lineRule="exact"/>
              <w:rPr>
                <w:sz w:val="20"/>
                <w:szCs w:val="20"/>
                <w:color w:val="auto"/>
              </w:rPr>
            </w:pPr>
            <w:r>
              <w:rPr>
                <w:rFonts w:ascii="Arial" w:cs="Arial" w:eastAsia="Arial" w:hAnsi="Arial"/>
                <w:sz w:val="12"/>
                <w:szCs w:val="12"/>
                <w:color w:val="auto"/>
                <w:w w:val="98"/>
              </w:rPr>
              <w:t>◦ Supports our communities with the use of investment, philanthropic and</w:t>
            </w: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vMerge w:val="restart"/>
          </w:tcPr>
          <w:p>
            <w:pPr>
              <w:ind w:left="280"/>
              <w:spacing w:after="0" w:line="134" w:lineRule="exact"/>
              <w:rPr>
                <w:sz w:val="20"/>
                <w:szCs w:val="20"/>
                <w:color w:val="auto"/>
              </w:rPr>
            </w:pPr>
            <w:r>
              <w:rPr>
                <w:rFonts w:ascii="Arial" w:cs="Arial" w:eastAsia="Arial" w:hAnsi="Arial"/>
                <w:sz w:val="12"/>
                <w:szCs w:val="12"/>
                <w:color w:val="auto"/>
                <w:w w:val="96"/>
              </w:rPr>
              <w:t>career journeys and to share general thoughts about the</w:t>
            </w:r>
          </w:p>
        </w:tc>
        <w:tc>
          <w:tcPr>
            <w:tcW w:w="0" w:type="dxa"/>
            <w:vAlign w:val="bottom"/>
          </w:tcPr>
          <w:p>
            <w:pPr>
              <w:spacing w:after="0"/>
              <w:rPr>
                <w:sz w:val="1"/>
                <w:szCs w:val="1"/>
                <w:color w:val="auto"/>
              </w:rPr>
            </w:pPr>
          </w:p>
        </w:tc>
      </w:tr>
      <w:tr>
        <w:trPr>
          <w:trHeight w:val="94"/>
        </w:trPr>
        <w:tc>
          <w:tcPr>
            <w:tcW w:w="27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•Digital Transformation</w:t>
            </w: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340"/>
              <w:spacing w:after="0" w:line="134" w:lineRule="exact"/>
              <w:rPr>
                <w:sz w:val="20"/>
                <w:szCs w:val="20"/>
                <w:color w:val="auto"/>
              </w:rPr>
            </w:pPr>
            <w:r>
              <w:rPr>
                <w:rFonts w:ascii="Arial" w:cs="Arial" w:eastAsia="Arial" w:hAnsi="Arial"/>
                <w:sz w:val="12"/>
                <w:szCs w:val="12"/>
                <w:color w:val="auto"/>
              </w:rPr>
              <w:t>human capital to expand access to economic opportunity within such</w:t>
            </w: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760" w:type="dxa"/>
            <w:vAlign w:val="bottom"/>
            <w:gridSpan w:val="2"/>
            <w:vMerge w:val="continue"/>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vMerge w:val="restart"/>
          </w:tcPr>
          <w:p>
            <w:pPr>
              <w:ind w:left="280"/>
              <w:spacing w:after="0" w:line="134" w:lineRule="exact"/>
              <w:rPr>
                <w:sz w:val="20"/>
                <w:szCs w:val="20"/>
                <w:color w:val="auto"/>
              </w:rPr>
            </w:pPr>
            <w:r>
              <w:rPr>
                <w:rFonts w:ascii="Arial" w:cs="Arial" w:eastAsia="Arial" w:hAnsi="Arial"/>
                <w:sz w:val="12"/>
                <w:szCs w:val="12"/>
                <w:color w:val="auto"/>
              </w:rPr>
              <w:t>business</w:t>
            </w:r>
          </w:p>
        </w:tc>
        <w:tc>
          <w:tcPr>
            <w:tcW w:w="0" w:type="dxa"/>
            <w:vAlign w:val="bottom"/>
          </w:tcPr>
          <w:p>
            <w:pPr>
              <w:spacing w:after="0"/>
              <w:rPr>
                <w:sz w:val="1"/>
                <w:szCs w:val="1"/>
                <w:color w:val="auto"/>
              </w:rPr>
            </w:pPr>
          </w:p>
        </w:tc>
      </w:tr>
      <w:tr>
        <w:trPr>
          <w:trHeight w:val="94"/>
        </w:trPr>
        <w:tc>
          <w:tcPr>
            <w:tcW w:w="2760" w:type="dxa"/>
            <w:vAlign w:val="bottom"/>
            <w:gridSpan w:val="2"/>
            <w:vMerge w:val="continue"/>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340"/>
              <w:spacing w:after="0" w:line="134" w:lineRule="exact"/>
              <w:rPr>
                <w:sz w:val="20"/>
                <w:szCs w:val="20"/>
                <w:color w:val="auto"/>
              </w:rPr>
            </w:pPr>
            <w:r>
              <w:rPr>
                <w:rFonts w:ascii="Arial" w:cs="Arial" w:eastAsia="Arial" w:hAnsi="Arial"/>
                <w:sz w:val="12"/>
                <w:szCs w:val="12"/>
                <w:color w:val="auto"/>
              </w:rPr>
              <w:t>communities</w:t>
            </w: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3660" w:type="dxa"/>
            <w:vAlign w:val="bottom"/>
            <w:gridSpan w:val="2"/>
            <w:vMerge w:val="restart"/>
          </w:tcPr>
          <w:p>
            <w:pPr>
              <w:ind w:left="180"/>
              <w:spacing w:after="0" w:line="134" w:lineRule="exact"/>
              <w:rPr>
                <w:sz w:val="20"/>
                <w:szCs w:val="20"/>
                <w:color w:val="auto"/>
              </w:rPr>
            </w:pPr>
            <w:r>
              <w:rPr>
                <w:rFonts w:ascii="Arial" w:cs="Arial" w:eastAsia="Arial" w:hAnsi="Arial"/>
                <w:sz w:val="12"/>
                <w:szCs w:val="12"/>
                <w:color w:val="auto"/>
                <w:w w:val="98"/>
              </w:rPr>
              <w:t>◦ Expanded digital features of our online and mobile app to include</w:t>
            </w: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160" w:type="dxa"/>
            <w:vAlign w:val="bottom"/>
          </w:tcPr>
          <w:p>
            <w:pPr>
              <w:spacing w:after="0"/>
              <w:rPr>
                <w:sz w:val="8"/>
                <w:szCs w:val="8"/>
                <w:color w:val="auto"/>
              </w:rPr>
            </w:pPr>
          </w:p>
        </w:tc>
        <w:tc>
          <w:tcPr>
            <w:tcW w:w="3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260"/>
              <w:spacing w:after="0" w:line="134" w:lineRule="exact"/>
              <w:rPr>
                <w:sz w:val="20"/>
                <w:szCs w:val="20"/>
                <w:color w:val="auto"/>
              </w:rPr>
            </w:pPr>
            <w:r>
              <w:rPr>
                <w:rFonts w:ascii="Arial" w:cs="Arial" w:eastAsia="Arial" w:hAnsi="Arial"/>
                <w:sz w:val="12"/>
                <w:szCs w:val="12"/>
                <w:color w:val="auto"/>
                <w:w w:val="91"/>
              </w:rPr>
              <w:t>◦ Advances sustainable development through integration of environmental and</w:t>
            </w:r>
          </w:p>
        </w:tc>
        <w:tc>
          <w:tcPr>
            <w:tcW w:w="318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7"/>
              </w:rPr>
              <w:t xml:space="preserve">•  Manager Excellence Forum </w:t>
            </w:r>
            <w:r>
              <w:rPr>
                <w:rFonts w:ascii="Arial" w:cs="Arial" w:eastAsia="Arial" w:hAnsi="Arial"/>
                <w:sz w:val="12"/>
                <w:szCs w:val="12"/>
                <w:color w:val="auto"/>
                <w:w w:val="97"/>
              </w:rPr>
              <w:t>for leaders to build a strong</w:t>
            </w: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2600" w:type="dxa"/>
            <w:vAlign w:val="bottom"/>
            <w:vMerge w:val="restart"/>
          </w:tcPr>
          <w:p>
            <w:pPr>
              <w:ind w:left="260"/>
              <w:spacing w:after="0" w:line="134" w:lineRule="exact"/>
              <w:rPr>
                <w:sz w:val="20"/>
                <w:szCs w:val="20"/>
                <w:color w:val="auto"/>
              </w:rPr>
            </w:pPr>
            <w:r>
              <w:rPr>
                <w:rFonts w:ascii="Arial" w:cs="Arial" w:eastAsia="Arial" w:hAnsi="Arial"/>
                <w:sz w:val="12"/>
                <w:szCs w:val="12"/>
                <w:color w:val="auto"/>
                <w:w w:val="85"/>
              </w:rPr>
              <w:t>timely, personalized account management services</w:t>
            </w: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160" w:type="dxa"/>
            <w:vAlign w:val="bottom"/>
          </w:tcPr>
          <w:p>
            <w:pPr>
              <w:spacing w:after="0"/>
              <w:rPr>
                <w:sz w:val="8"/>
                <w:szCs w:val="8"/>
                <w:color w:val="auto"/>
              </w:rPr>
            </w:pPr>
          </w:p>
        </w:tc>
        <w:tc>
          <w:tcPr>
            <w:tcW w:w="26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300"/>
              <w:spacing w:after="0" w:line="134" w:lineRule="exact"/>
              <w:rPr>
                <w:sz w:val="20"/>
                <w:szCs w:val="20"/>
                <w:color w:val="auto"/>
              </w:rPr>
            </w:pPr>
            <w:r>
              <w:rPr>
                <w:rFonts w:ascii="Arial" w:cs="Arial" w:eastAsia="Arial" w:hAnsi="Arial"/>
                <w:sz w:val="12"/>
                <w:szCs w:val="12"/>
                <w:color w:val="auto"/>
                <w:w w:val="91"/>
              </w:rPr>
              <w:t>social issues into financing solutions that generate positive environmental and</w:t>
            </w: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3660" w:type="dxa"/>
            <w:vAlign w:val="bottom"/>
            <w:gridSpan w:val="2"/>
            <w:vMerge w:val="restart"/>
          </w:tcPr>
          <w:p>
            <w:pPr>
              <w:ind w:left="180"/>
              <w:spacing w:after="0" w:line="134" w:lineRule="exact"/>
              <w:rPr>
                <w:sz w:val="20"/>
                <w:szCs w:val="20"/>
                <w:color w:val="auto"/>
              </w:rPr>
            </w:pPr>
            <w:r>
              <w:rPr>
                <w:rFonts w:ascii="Arial" w:cs="Arial" w:eastAsia="Arial" w:hAnsi="Arial"/>
                <w:sz w:val="12"/>
                <w:szCs w:val="12"/>
                <w:color w:val="auto"/>
              </w:rPr>
              <w:t>◦ Invested in reissuing debit cards to contactless versions for all</w:t>
            </w: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vMerge w:val="restart"/>
          </w:tcPr>
          <w:p>
            <w:pPr>
              <w:ind w:left="280"/>
              <w:spacing w:after="0" w:line="134" w:lineRule="exact"/>
              <w:rPr>
                <w:sz w:val="20"/>
                <w:szCs w:val="20"/>
                <w:color w:val="auto"/>
              </w:rPr>
            </w:pPr>
            <w:r>
              <w:rPr>
                <w:rFonts w:ascii="Arial" w:cs="Arial" w:eastAsia="Arial" w:hAnsi="Arial"/>
                <w:sz w:val="12"/>
                <w:szCs w:val="12"/>
                <w:color w:val="auto"/>
                <w:w w:val="91"/>
              </w:rPr>
              <w:t>community of Bank of Hawaii managers who connect, learn</w:t>
            </w:r>
          </w:p>
        </w:tc>
        <w:tc>
          <w:tcPr>
            <w:tcW w:w="0" w:type="dxa"/>
            <w:vAlign w:val="bottom"/>
          </w:tcPr>
          <w:p>
            <w:pPr>
              <w:spacing w:after="0"/>
              <w:rPr>
                <w:sz w:val="1"/>
                <w:szCs w:val="1"/>
                <w:color w:val="auto"/>
              </w:rPr>
            </w:pPr>
          </w:p>
        </w:tc>
      </w:tr>
      <w:tr>
        <w:trPr>
          <w:trHeight w:val="94"/>
        </w:trPr>
        <w:tc>
          <w:tcPr>
            <w:tcW w:w="160" w:type="dxa"/>
            <w:vAlign w:val="bottom"/>
          </w:tcPr>
          <w:p>
            <w:pPr>
              <w:spacing w:after="0"/>
              <w:rPr>
                <w:sz w:val="8"/>
                <w:szCs w:val="8"/>
                <w:color w:val="auto"/>
              </w:rPr>
            </w:pPr>
          </w:p>
        </w:tc>
        <w:tc>
          <w:tcPr>
            <w:tcW w:w="3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300"/>
              <w:spacing w:after="0"/>
              <w:rPr>
                <w:sz w:val="20"/>
                <w:szCs w:val="20"/>
                <w:color w:val="auto"/>
              </w:rPr>
            </w:pPr>
            <w:r>
              <w:rPr>
                <w:rFonts w:ascii="Arial" w:cs="Arial" w:eastAsia="Arial" w:hAnsi="Arial"/>
                <w:sz w:val="12"/>
                <w:szCs w:val="12"/>
                <w:color w:val="auto"/>
              </w:rPr>
              <w:t>social impacts</w:t>
            </w: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60" w:type="dxa"/>
            <w:vAlign w:val="bottom"/>
          </w:tcPr>
          <w:p>
            <w:pPr>
              <w:spacing w:after="0"/>
              <w:rPr>
                <w:sz w:val="4"/>
                <w:szCs w:val="4"/>
                <w:color w:val="auto"/>
              </w:rPr>
            </w:pPr>
          </w:p>
        </w:tc>
        <w:tc>
          <w:tcPr>
            <w:tcW w:w="3660" w:type="dxa"/>
            <w:vAlign w:val="bottom"/>
            <w:gridSpan w:val="2"/>
            <w:vMerge w:val="restart"/>
          </w:tcPr>
          <w:p>
            <w:pPr>
              <w:ind w:left="260"/>
              <w:spacing w:after="0" w:line="134" w:lineRule="exact"/>
              <w:rPr>
                <w:sz w:val="20"/>
                <w:szCs w:val="20"/>
                <w:color w:val="auto"/>
              </w:rPr>
            </w:pPr>
            <w:r>
              <w:rPr>
                <w:rFonts w:ascii="Arial" w:cs="Arial" w:eastAsia="Arial" w:hAnsi="Arial"/>
                <w:sz w:val="12"/>
                <w:szCs w:val="12"/>
                <w:color w:val="auto"/>
              </w:rPr>
              <w:t>customers rather than waiting for their cards to expire</w:t>
            </w:r>
          </w:p>
        </w:tc>
        <w:tc>
          <w:tcPr>
            <w:tcW w:w="160" w:type="dxa"/>
            <w:vAlign w:val="bottom"/>
          </w:tcPr>
          <w:p>
            <w:pPr>
              <w:spacing w:after="0"/>
              <w:rPr>
                <w:sz w:val="4"/>
                <w:szCs w:val="4"/>
                <w:color w:val="auto"/>
              </w:rPr>
            </w:pPr>
          </w:p>
        </w:tc>
        <w:tc>
          <w:tcPr>
            <w:tcW w:w="4080" w:type="dxa"/>
            <w:vAlign w:val="bottom"/>
            <w:vMerge w:val="continue"/>
          </w:tcPr>
          <w:p>
            <w:pPr>
              <w:spacing w:after="0"/>
              <w:rPr>
                <w:sz w:val="4"/>
                <w:szCs w:val="4"/>
                <w:color w:val="auto"/>
              </w:rPr>
            </w:pPr>
          </w:p>
        </w:tc>
        <w:tc>
          <w:tcPr>
            <w:tcW w:w="3180" w:type="dxa"/>
            <w:vAlign w:val="bottom"/>
            <w:vMerge w:val="restart"/>
          </w:tcPr>
          <w:p>
            <w:pPr>
              <w:ind w:left="280"/>
              <w:spacing w:after="0" w:line="134" w:lineRule="exact"/>
              <w:rPr>
                <w:sz w:val="20"/>
                <w:szCs w:val="20"/>
                <w:color w:val="auto"/>
              </w:rPr>
            </w:pPr>
            <w:r>
              <w:rPr>
                <w:rFonts w:ascii="Arial" w:cs="Arial" w:eastAsia="Arial" w:hAnsi="Arial"/>
                <w:sz w:val="12"/>
                <w:szCs w:val="12"/>
                <w:color w:val="auto"/>
              </w:rPr>
              <w:t>and support each other</w:t>
            </w:r>
          </w:p>
        </w:tc>
        <w:tc>
          <w:tcPr>
            <w:tcW w:w="0" w:type="dxa"/>
            <w:vAlign w:val="bottom"/>
          </w:tcPr>
          <w:p>
            <w:pPr>
              <w:spacing w:after="0"/>
              <w:rPr>
                <w:sz w:val="1"/>
                <w:szCs w:val="1"/>
                <w:color w:val="auto"/>
              </w:rPr>
            </w:pPr>
          </w:p>
        </w:tc>
      </w:tr>
      <w:tr>
        <w:trPr>
          <w:trHeight w:val="80"/>
        </w:trPr>
        <w:tc>
          <w:tcPr>
            <w:tcW w:w="160" w:type="dxa"/>
            <w:vAlign w:val="bottom"/>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4080" w:type="dxa"/>
            <w:vAlign w:val="bottom"/>
          </w:tcPr>
          <w:p>
            <w:pPr>
              <w:spacing w:after="0"/>
              <w:rPr>
                <w:sz w:val="6"/>
                <w:szCs w:val="6"/>
                <w:color w:val="auto"/>
              </w:rPr>
            </w:pPr>
          </w:p>
        </w:tc>
        <w:tc>
          <w:tcPr>
            <w:tcW w:w="3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160" w:type="dxa"/>
            <w:vAlign w:val="bottom"/>
          </w:tcPr>
          <w:p>
            <w:pPr>
              <w:spacing w:after="0"/>
              <w:rPr>
                <w:sz w:val="12"/>
                <w:szCs w:val="12"/>
                <w:color w:val="auto"/>
              </w:rPr>
            </w:pPr>
          </w:p>
        </w:tc>
        <w:tc>
          <w:tcPr>
            <w:tcW w:w="3660" w:type="dxa"/>
            <w:vAlign w:val="bottom"/>
            <w:gridSpan w:val="2"/>
          </w:tcPr>
          <w:p>
            <w:pPr>
              <w:ind w:left="180"/>
              <w:spacing w:after="0"/>
              <w:rPr>
                <w:sz w:val="20"/>
                <w:szCs w:val="20"/>
                <w:color w:val="auto"/>
              </w:rPr>
            </w:pPr>
            <w:r>
              <w:rPr>
                <w:rFonts w:ascii="Arial" w:cs="Arial" w:eastAsia="Arial" w:hAnsi="Arial"/>
                <w:sz w:val="12"/>
                <w:szCs w:val="12"/>
                <w:color w:val="auto"/>
                <w:w w:val="89"/>
              </w:rPr>
              <w:t>◦ Launched Zelle in mobile banking app for Guam and Saipan customers</w:t>
            </w:r>
          </w:p>
        </w:tc>
        <w:tc>
          <w:tcPr>
            <w:tcW w:w="16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94"/>
              </w:rPr>
              <w:t>•</w:t>
            </w:r>
          </w:p>
        </w:tc>
        <w:tc>
          <w:tcPr>
            <w:tcW w:w="40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Significant charitable/community activity:</w:t>
            </w:r>
          </w:p>
        </w:tc>
        <w:tc>
          <w:tcPr>
            <w:tcW w:w="318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9"/>
              </w:rPr>
              <w:t xml:space="preserve">•  Recruit Connect </w:t>
            </w:r>
            <w:r>
              <w:rPr>
                <w:rFonts w:ascii="Arial" w:cs="Arial" w:eastAsia="Arial" w:hAnsi="Arial"/>
                <w:sz w:val="12"/>
                <w:szCs w:val="12"/>
                <w:color w:val="auto"/>
                <w:w w:val="99"/>
              </w:rPr>
              <w:t>for employees to identify opportunities</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4080" w:type="dxa"/>
            <w:vAlign w:val="bottom"/>
            <w:vMerge w:val="continue"/>
          </w:tcPr>
          <w:p>
            <w:pPr>
              <w:spacing w:after="0"/>
              <w:rPr>
                <w:sz w:val="2"/>
                <w:szCs w:val="2"/>
                <w:color w:val="auto"/>
              </w:rPr>
            </w:pPr>
          </w:p>
        </w:tc>
        <w:tc>
          <w:tcPr>
            <w:tcW w:w="3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27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•Call Center Operations</w:t>
            </w: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260"/>
              <w:spacing w:after="0" w:line="132" w:lineRule="exact"/>
              <w:rPr>
                <w:sz w:val="20"/>
                <w:szCs w:val="20"/>
                <w:color w:val="auto"/>
              </w:rPr>
            </w:pPr>
            <w:r>
              <w:rPr>
                <w:rFonts w:ascii="Arial" w:cs="Arial" w:eastAsia="Arial" w:hAnsi="Arial"/>
                <w:sz w:val="12"/>
                <w:szCs w:val="12"/>
                <w:color w:val="auto"/>
              </w:rPr>
              <w:t>◦ Renewed commitment to Hawai‘i LGBT Legacy Foundation: Visionary</w:t>
            </w: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760" w:type="dxa"/>
            <w:vAlign w:val="bottom"/>
            <w:gridSpan w:val="2"/>
            <w:vMerge w:val="continue"/>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vMerge w:val="restart"/>
          </w:tcPr>
          <w:p>
            <w:pPr>
              <w:ind w:left="280"/>
              <w:spacing w:after="0" w:line="134" w:lineRule="exact"/>
              <w:rPr>
                <w:sz w:val="20"/>
                <w:szCs w:val="20"/>
                <w:color w:val="auto"/>
              </w:rPr>
            </w:pPr>
            <w:r>
              <w:rPr>
                <w:rFonts w:ascii="Arial" w:cs="Arial" w:eastAsia="Arial" w:hAnsi="Arial"/>
                <w:sz w:val="12"/>
                <w:szCs w:val="12"/>
                <w:color w:val="auto"/>
                <w:w w:val="98"/>
              </w:rPr>
              <w:t>within the bank and explore and learn more about them</w:t>
            </w:r>
          </w:p>
        </w:tc>
        <w:tc>
          <w:tcPr>
            <w:tcW w:w="0" w:type="dxa"/>
            <w:vAlign w:val="bottom"/>
          </w:tcPr>
          <w:p>
            <w:pPr>
              <w:spacing w:after="0" w:line="20" w:lineRule="exact"/>
              <w:rPr>
                <w:sz w:val="1"/>
                <w:szCs w:val="1"/>
                <w:color w:val="auto"/>
              </w:rPr>
            </w:pPr>
          </w:p>
        </w:tc>
      </w:tr>
      <w:tr>
        <w:trPr>
          <w:trHeight w:val="96"/>
        </w:trPr>
        <w:tc>
          <w:tcPr>
            <w:tcW w:w="2760" w:type="dxa"/>
            <w:vAlign w:val="bottom"/>
            <w:gridSpan w:val="2"/>
            <w:vMerge w:val="continue"/>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340"/>
              <w:spacing w:after="0" w:line="136" w:lineRule="exact"/>
              <w:rPr>
                <w:sz w:val="20"/>
                <w:szCs w:val="20"/>
                <w:color w:val="auto"/>
              </w:rPr>
            </w:pPr>
            <w:r>
              <w:rPr>
                <w:rFonts w:ascii="Arial" w:cs="Arial" w:eastAsia="Arial" w:hAnsi="Arial"/>
                <w:sz w:val="12"/>
                <w:szCs w:val="12"/>
                <w:color w:val="auto"/>
                <w:w w:val="89"/>
              </w:rPr>
              <w:t xml:space="preserve">sponsors of the annual Pride Parade &amp; Festival with </w:t>
            </w:r>
            <w:r>
              <w:rPr>
                <w:rFonts w:ascii="Arial" w:cs="Arial" w:eastAsia="Arial" w:hAnsi="Arial"/>
                <w:sz w:val="12"/>
                <w:szCs w:val="12"/>
                <w:b w:val="1"/>
                <w:bCs w:val="1"/>
                <w:color w:val="auto"/>
                <w:w w:val="89"/>
              </w:rPr>
              <w:t>$15,000</w:t>
            </w:r>
            <w:r>
              <w:rPr>
                <w:rFonts w:ascii="Arial" w:cs="Arial" w:eastAsia="Arial" w:hAnsi="Arial"/>
                <w:sz w:val="12"/>
                <w:szCs w:val="12"/>
                <w:color w:val="auto"/>
                <w:w w:val="89"/>
              </w:rPr>
              <w:t xml:space="preserve"> each year for the</w:t>
            </w: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3660" w:type="dxa"/>
            <w:vAlign w:val="bottom"/>
            <w:gridSpan w:val="2"/>
            <w:vMerge w:val="restart"/>
          </w:tcPr>
          <w:p>
            <w:pPr>
              <w:ind w:left="180"/>
              <w:spacing w:after="0" w:line="134" w:lineRule="exact"/>
              <w:rPr>
                <w:sz w:val="20"/>
                <w:szCs w:val="20"/>
                <w:color w:val="auto"/>
              </w:rPr>
            </w:pPr>
            <w:r>
              <w:rPr>
                <w:rFonts w:ascii="Arial" w:cs="Arial" w:eastAsia="Arial" w:hAnsi="Arial"/>
                <w:sz w:val="12"/>
                <w:szCs w:val="12"/>
                <w:color w:val="auto"/>
                <w:w w:val="89"/>
              </w:rPr>
              <w:t>◦ Better integrated call center services with digital and branch services in</w:t>
            </w: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160" w:type="dxa"/>
            <w:vAlign w:val="bottom"/>
          </w:tcPr>
          <w:p>
            <w:pPr>
              <w:spacing w:after="0"/>
              <w:rPr>
                <w:sz w:val="8"/>
                <w:szCs w:val="8"/>
                <w:color w:val="auto"/>
              </w:rPr>
            </w:pPr>
          </w:p>
        </w:tc>
        <w:tc>
          <w:tcPr>
            <w:tcW w:w="3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340"/>
              <w:spacing w:after="0" w:line="132" w:lineRule="exact"/>
              <w:rPr>
                <w:sz w:val="20"/>
                <w:szCs w:val="20"/>
                <w:color w:val="auto"/>
              </w:rPr>
            </w:pPr>
            <w:r>
              <w:rPr>
                <w:rFonts w:ascii="Arial" w:cs="Arial" w:eastAsia="Arial" w:hAnsi="Arial"/>
                <w:sz w:val="12"/>
                <w:szCs w:val="12"/>
                <w:color w:val="auto"/>
                <w:w w:val="87"/>
              </w:rPr>
              <w:t>next 4 years, which supports the parade and other programs, and sponsored the</w:t>
            </w: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160" w:type="dxa"/>
            <w:vAlign w:val="bottom"/>
          </w:tcPr>
          <w:p>
            <w:pPr>
              <w:spacing w:after="0"/>
              <w:rPr>
                <w:sz w:val="3"/>
                <w:szCs w:val="3"/>
                <w:color w:val="auto"/>
              </w:rPr>
            </w:pPr>
          </w:p>
        </w:tc>
        <w:tc>
          <w:tcPr>
            <w:tcW w:w="2600" w:type="dxa"/>
            <w:vAlign w:val="bottom"/>
            <w:vMerge w:val="restart"/>
          </w:tcPr>
          <w:p>
            <w:pPr>
              <w:ind w:left="260"/>
              <w:spacing w:after="0" w:line="134" w:lineRule="exact"/>
              <w:rPr>
                <w:sz w:val="20"/>
                <w:szCs w:val="20"/>
                <w:color w:val="auto"/>
              </w:rPr>
            </w:pPr>
            <w:r>
              <w:rPr>
                <w:rFonts w:ascii="Arial" w:cs="Arial" w:eastAsia="Arial" w:hAnsi="Arial"/>
                <w:sz w:val="12"/>
                <w:szCs w:val="12"/>
                <w:color w:val="auto"/>
              </w:rPr>
              <w:t>a seamless partnership</w:t>
            </w: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6"/>
        </w:trPr>
        <w:tc>
          <w:tcPr>
            <w:tcW w:w="160" w:type="dxa"/>
            <w:vAlign w:val="bottom"/>
          </w:tcPr>
          <w:p>
            <w:pPr>
              <w:spacing w:after="0"/>
              <w:rPr>
                <w:sz w:val="8"/>
                <w:szCs w:val="8"/>
                <w:color w:val="auto"/>
              </w:rPr>
            </w:pPr>
          </w:p>
        </w:tc>
        <w:tc>
          <w:tcPr>
            <w:tcW w:w="26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340"/>
              <w:spacing w:after="0" w:line="134" w:lineRule="exact"/>
              <w:rPr>
                <w:sz w:val="20"/>
                <w:szCs w:val="20"/>
                <w:color w:val="auto"/>
              </w:rPr>
            </w:pPr>
            <w:r>
              <w:rPr>
                <w:rFonts w:ascii="Arial" w:cs="Arial" w:eastAsia="Arial" w:hAnsi="Arial"/>
                <w:sz w:val="12"/>
                <w:szCs w:val="12"/>
                <w:color w:val="auto"/>
              </w:rPr>
              <w:t xml:space="preserve">Honolulu Rainbow Film Festival with </w:t>
            </w:r>
            <w:r>
              <w:rPr>
                <w:rFonts w:ascii="Arial" w:cs="Arial" w:eastAsia="Arial" w:hAnsi="Arial"/>
                <w:sz w:val="12"/>
                <w:szCs w:val="12"/>
                <w:b w:val="1"/>
                <w:bCs w:val="1"/>
                <w:color w:val="auto"/>
              </w:rPr>
              <w:t>$4,000</w:t>
            </w:r>
            <w:r>
              <w:rPr>
                <w:rFonts w:ascii="Arial" w:cs="Arial" w:eastAsia="Arial" w:hAnsi="Arial"/>
                <w:sz w:val="12"/>
                <w:szCs w:val="12"/>
                <w:color w:val="auto"/>
              </w:rPr>
              <w:t>.</w:t>
            </w: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160" w:type="dxa"/>
            <w:vAlign w:val="bottom"/>
          </w:tcPr>
          <w:p>
            <w:pPr>
              <w:spacing w:after="0"/>
              <w:rPr>
                <w:sz w:val="3"/>
                <w:szCs w:val="3"/>
                <w:color w:val="auto"/>
              </w:rPr>
            </w:pPr>
          </w:p>
        </w:tc>
        <w:tc>
          <w:tcPr>
            <w:tcW w:w="3660" w:type="dxa"/>
            <w:vAlign w:val="bottom"/>
            <w:gridSpan w:val="2"/>
            <w:vMerge w:val="restart"/>
          </w:tcPr>
          <w:p>
            <w:pPr>
              <w:ind w:left="180"/>
              <w:spacing w:after="0" w:line="134" w:lineRule="exact"/>
              <w:rPr>
                <w:sz w:val="20"/>
                <w:szCs w:val="20"/>
                <w:color w:val="auto"/>
              </w:rPr>
            </w:pPr>
            <w:r>
              <w:rPr>
                <w:rFonts w:ascii="Arial" w:cs="Arial" w:eastAsia="Arial" w:hAnsi="Arial"/>
                <w:sz w:val="12"/>
                <w:szCs w:val="12"/>
                <w:color w:val="auto"/>
              </w:rPr>
              <w:t>◦ Increased staffing, updated training, streamlined processes and</w:t>
            </w: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6"/>
        </w:trPr>
        <w:tc>
          <w:tcPr>
            <w:tcW w:w="160" w:type="dxa"/>
            <w:vAlign w:val="bottom"/>
          </w:tcPr>
          <w:p>
            <w:pPr>
              <w:spacing w:after="0"/>
              <w:rPr>
                <w:sz w:val="8"/>
                <w:szCs w:val="8"/>
                <w:color w:val="auto"/>
              </w:rPr>
            </w:pPr>
          </w:p>
        </w:tc>
        <w:tc>
          <w:tcPr>
            <w:tcW w:w="3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260"/>
              <w:spacing w:after="0" w:line="136" w:lineRule="exact"/>
              <w:rPr>
                <w:sz w:val="20"/>
                <w:szCs w:val="20"/>
                <w:color w:val="auto"/>
              </w:rPr>
            </w:pPr>
            <w:r>
              <w:rPr>
                <w:rFonts w:ascii="Arial" w:cs="Arial" w:eastAsia="Arial" w:hAnsi="Arial"/>
                <w:sz w:val="12"/>
                <w:szCs w:val="12"/>
                <w:color w:val="auto"/>
                <w:w w:val="90"/>
              </w:rPr>
              <w:t xml:space="preserve">◦ Bank of Hawaii, its Foundation and employees contributed nearly </w:t>
            </w:r>
            <w:r>
              <w:rPr>
                <w:rFonts w:ascii="Arial" w:cs="Arial" w:eastAsia="Arial" w:hAnsi="Arial"/>
                <w:sz w:val="12"/>
                <w:szCs w:val="12"/>
                <w:b w:val="1"/>
                <w:bCs w:val="1"/>
                <w:color w:val="auto"/>
                <w:w w:val="90"/>
              </w:rPr>
              <w:t>$2.2 million</w:t>
            </w: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3660" w:type="dxa"/>
            <w:vAlign w:val="bottom"/>
            <w:gridSpan w:val="2"/>
            <w:vMerge w:val="restart"/>
          </w:tcPr>
          <w:p>
            <w:pPr>
              <w:ind w:left="260"/>
              <w:spacing w:after="0" w:line="134" w:lineRule="exact"/>
              <w:rPr>
                <w:sz w:val="20"/>
                <w:szCs w:val="20"/>
                <w:color w:val="auto"/>
              </w:rPr>
            </w:pPr>
            <w:r>
              <w:rPr>
                <w:rFonts w:ascii="Arial" w:cs="Arial" w:eastAsia="Arial" w:hAnsi="Arial"/>
                <w:sz w:val="12"/>
                <w:szCs w:val="12"/>
                <w:color w:val="auto"/>
                <w:w w:val="95"/>
              </w:rPr>
              <w:t>invigorated management and team engagement efforts resulting in</w:t>
            </w: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160" w:type="dxa"/>
            <w:vAlign w:val="bottom"/>
          </w:tcPr>
          <w:p>
            <w:pPr>
              <w:spacing w:after="0"/>
              <w:rPr>
                <w:sz w:val="8"/>
                <w:szCs w:val="8"/>
                <w:color w:val="auto"/>
              </w:rPr>
            </w:pPr>
          </w:p>
        </w:tc>
        <w:tc>
          <w:tcPr>
            <w:tcW w:w="3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340"/>
              <w:spacing w:after="0" w:line="132" w:lineRule="exact"/>
              <w:rPr>
                <w:sz w:val="20"/>
                <w:szCs w:val="20"/>
                <w:color w:val="auto"/>
              </w:rPr>
            </w:pPr>
            <w:r>
              <w:rPr>
                <w:rFonts w:ascii="Arial" w:cs="Arial" w:eastAsia="Arial" w:hAnsi="Arial"/>
                <w:sz w:val="12"/>
                <w:szCs w:val="12"/>
                <w:color w:val="auto"/>
              </w:rPr>
              <w:t>to the community</w:t>
            </w: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160" w:type="dxa"/>
            <w:vAlign w:val="bottom"/>
          </w:tcPr>
          <w:p>
            <w:pPr>
              <w:spacing w:after="0"/>
              <w:rPr>
                <w:sz w:val="3"/>
                <w:szCs w:val="3"/>
                <w:color w:val="auto"/>
              </w:rPr>
            </w:pPr>
          </w:p>
        </w:tc>
        <w:tc>
          <w:tcPr>
            <w:tcW w:w="2600" w:type="dxa"/>
            <w:vAlign w:val="bottom"/>
            <w:vMerge w:val="restart"/>
          </w:tcPr>
          <w:p>
            <w:pPr>
              <w:ind w:left="260"/>
              <w:spacing w:after="0"/>
              <w:rPr>
                <w:sz w:val="20"/>
                <w:szCs w:val="20"/>
                <w:color w:val="auto"/>
              </w:rPr>
            </w:pPr>
            <w:r>
              <w:rPr>
                <w:rFonts w:ascii="Arial" w:cs="Arial" w:eastAsia="Arial" w:hAnsi="Arial"/>
                <w:sz w:val="12"/>
                <w:szCs w:val="12"/>
                <w:color w:val="auto"/>
              </w:rPr>
              <w:t>decreased customer wait times</w:t>
            </w: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160" w:type="dxa"/>
            <w:vAlign w:val="bottom"/>
          </w:tcPr>
          <w:p>
            <w:pPr>
              <w:spacing w:after="0"/>
              <w:rPr>
                <w:sz w:val="11"/>
                <w:szCs w:val="11"/>
                <w:color w:val="auto"/>
              </w:rPr>
            </w:pPr>
          </w:p>
        </w:tc>
        <w:tc>
          <w:tcPr>
            <w:tcW w:w="260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80" w:type="dxa"/>
            <w:vAlign w:val="bottom"/>
          </w:tcPr>
          <w:p>
            <w:pPr>
              <w:ind w:left="260"/>
              <w:spacing w:after="0" w:line="136" w:lineRule="exact"/>
              <w:rPr>
                <w:sz w:val="20"/>
                <w:szCs w:val="20"/>
                <w:color w:val="auto"/>
              </w:rPr>
            </w:pPr>
            <w:r>
              <w:rPr>
                <w:rFonts w:ascii="Arial" w:cs="Arial" w:eastAsia="Arial" w:hAnsi="Arial"/>
                <w:sz w:val="12"/>
                <w:szCs w:val="12"/>
                <w:color w:val="auto"/>
                <w:w w:val="94"/>
              </w:rPr>
              <w:t xml:space="preserve">◦ Donating </w:t>
            </w:r>
            <w:r>
              <w:rPr>
                <w:rFonts w:ascii="Arial" w:cs="Arial" w:eastAsia="Arial" w:hAnsi="Arial"/>
                <w:sz w:val="12"/>
                <w:szCs w:val="12"/>
                <w:b w:val="1"/>
                <w:bCs w:val="1"/>
                <w:color w:val="auto"/>
                <w:w w:val="94"/>
              </w:rPr>
              <w:t>$225,000</w:t>
            </w:r>
            <w:r>
              <w:rPr>
                <w:rFonts w:ascii="Arial" w:cs="Arial" w:eastAsia="Arial" w:hAnsi="Arial"/>
                <w:sz w:val="12"/>
                <w:szCs w:val="12"/>
                <w:color w:val="auto"/>
                <w:w w:val="94"/>
              </w:rPr>
              <w:t xml:space="preserve"> over 3 years to UHERO to provide much-needed data,</w:t>
            </w:r>
          </w:p>
        </w:tc>
        <w:tc>
          <w:tcPr>
            <w:tcW w:w="3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7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•Branch Transformation</w:t>
            </w: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80" w:type="dxa"/>
            <w:vAlign w:val="bottom"/>
          </w:tcPr>
          <w:p>
            <w:pPr>
              <w:ind w:left="340"/>
              <w:spacing w:after="0" w:line="132" w:lineRule="exact"/>
              <w:rPr>
                <w:sz w:val="20"/>
                <w:szCs w:val="20"/>
                <w:color w:val="auto"/>
              </w:rPr>
            </w:pPr>
            <w:r>
              <w:rPr>
                <w:rFonts w:ascii="Arial" w:cs="Arial" w:eastAsia="Arial" w:hAnsi="Arial"/>
                <w:sz w:val="12"/>
                <w:szCs w:val="12"/>
                <w:color w:val="auto"/>
              </w:rPr>
              <w:t>economic research and comprehensive view of the state’s economy</w:t>
            </w:r>
          </w:p>
        </w:tc>
        <w:tc>
          <w:tcPr>
            <w:tcW w:w="3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760" w:type="dxa"/>
            <w:vAlign w:val="bottom"/>
            <w:gridSpan w:val="2"/>
            <w:vMerge w:val="continue"/>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260"/>
              <w:spacing w:after="0" w:line="136" w:lineRule="exact"/>
              <w:rPr>
                <w:sz w:val="20"/>
                <w:szCs w:val="20"/>
                <w:color w:val="auto"/>
              </w:rPr>
            </w:pPr>
            <w:r>
              <w:rPr>
                <w:rFonts w:ascii="Arial" w:cs="Arial" w:eastAsia="Arial" w:hAnsi="Arial"/>
                <w:sz w:val="12"/>
                <w:szCs w:val="12"/>
                <w:color w:val="auto"/>
                <w:w w:val="97"/>
              </w:rPr>
              <w:t xml:space="preserve">◦ Donating </w:t>
            </w:r>
            <w:r>
              <w:rPr>
                <w:rFonts w:ascii="Arial" w:cs="Arial" w:eastAsia="Arial" w:hAnsi="Arial"/>
                <w:sz w:val="12"/>
                <w:szCs w:val="12"/>
                <w:b w:val="1"/>
                <w:bCs w:val="1"/>
                <w:color w:val="auto"/>
                <w:w w:val="97"/>
              </w:rPr>
              <w:t>$50,000</w:t>
            </w:r>
            <w:r>
              <w:rPr>
                <w:rFonts w:ascii="Arial" w:cs="Arial" w:eastAsia="Arial" w:hAnsi="Arial"/>
                <w:sz w:val="12"/>
                <w:szCs w:val="12"/>
                <w:color w:val="auto"/>
                <w:w w:val="97"/>
              </w:rPr>
              <w:t xml:space="preserve"> over 2 years to The Pantry to support its e-commerce</w:t>
            </w: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3660" w:type="dxa"/>
            <w:vAlign w:val="bottom"/>
            <w:gridSpan w:val="2"/>
            <w:vMerge w:val="restart"/>
          </w:tcPr>
          <w:p>
            <w:pPr>
              <w:ind w:left="180"/>
              <w:spacing w:after="0" w:line="134" w:lineRule="exact"/>
              <w:rPr>
                <w:sz w:val="20"/>
                <w:szCs w:val="20"/>
                <w:color w:val="auto"/>
              </w:rPr>
            </w:pPr>
            <w:r>
              <w:rPr>
                <w:rFonts w:ascii="Arial" w:cs="Arial" w:eastAsia="Arial" w:hAnsi="Arial"/>
                <w:sz w:val="12"/>
                <w:szCs w:val="12"/>
                <w:color w:val="auto"/>
              </w:rPr>
              <w:t>◦ Reopened six branches that were temporarily closed due to the</w:t>
            </w: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160" w:type="dxa"/>
            <w:vAlign w:val="bottom"/>
          </w:tcPr>
          <w:p>
            <w:pPr>
              <w:spacing w:after="0"/>
              <w:rPr>
                <w:sz w:val="8"/>
                <w:szCs w:val="8"/>
                <w:color w:val="auto"/>
              </w:rPr>
            </w:pPr>
          </w:p>
        </w:tc>
        <w:tc>
          <w:tcPr>
            <w:tcW w:w="3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340"/>
              <w:spacing w:after="0" w:line="134" w:lineRule="exact"/>
              <w:rPr>
                <w:sz w:val="20"/>
                <w:szCs w:val="20"/>
                <w:color w:val="auto"/>
              </w:rPr>
            </w:pPr>
            <w:r>
              <w:rPr>
                <w:rFonts w:ascii="Arial" w:cs="Arial" w:eastAsia="Arial" w:hAnsi="Arial"/>
                <w:sz w:val="12"/>
                <w:szCs w:val="12"/>
                <w:color w:val="auto"/>
                <w:w w:val="93"/>
              </w:rPr>
              <w:t>website, allowing recipients to privately choose food online and pick up in a</w:t>
            </w: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2600" w:type="dxa"/>
            <w:vAlign w:val="bottom"/>
            <w:vMerge w:val="restart"/>
          </w:tcPr>
          <w:p>
            <w:pPr>
              <w:ind w:left="260"/>
              <w:spacing w:after="0" w:line="134" w:lineRule="exact"/>
              <w:rPr>
                <w:sz w:val="20"/>
                <w:szCs w:val="20"/>
                <w:color w:val="auto"/>
              </w:rPr>
            </w:pPr>
            <w:r>
              <w:rPr>
                <w:rFonts w:ascii="Arial" w:cs="Arial" w:eastAsia="Arial" w:hAnsi="Arial"/>
                <w:sz w:val="12"/>
                <w:szCs w:val="12"/>
                <w:color w:val="auto"/>
              </w:rPr>
              <w:t>pandemic</w:t>
            </w: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160" w:type="dxa"/>
            <w:vAlign w:val="bottom"/>
          </w:tcPr>
          <w:p>
            <w:pPr>
              <w:spacing w:after="0"/>
              <w:rPr>
                <w:sz w:val="8"/>
                <w:szCs w:val="8"/>
                <w:color w:val="auto"/>
              </w:rPr>
            </w:pPr>
          </w:p>
        </w:tc>
        <w:tc>
          <w:tcPr>
            <w:tcW w:w="26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340"/>
              <w:spacing w:after="0" w:line="132" w:lineRule="exact"/>
              <w:rPr>
                <w:sz w:val="20"/>
                <w:szCs w:val="20"/>
                <w:color w:val="auto"/>
              </w:rPr>
            </w:pPr>
            <w:r>
              <w:rPr>
                <w:rFonts w:ascii="Arial" w:cs="Arial" w:eastAsia="Arial" w:hAnsi="Arial"/>
                <w:sz w:val="12"/>
                <w:szCs w:val="12"/>
                <w:color w:val="auto"/>
              </w:rPr>
              <w:t>safe, contactless way.</w:t>
            </w: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160" w:type="dxa"/>
            <w:vAlign w:val="bottom"/>
          </w:tcPr>
          <w:p>
            <w:pPr>
              <w:spacing w:after="0"/>
              <w:rPr>
                <w:sz w:val="3"/>
                <w:szCs w:val="3"/>
                <w:color w:val="auto"/>
              </w:rPr>
            </w:pPr>
          </w:p>
        </w:tc>
        <w:tc>
          <w:tcPr>
            <w:tcW w:w="3660" w:type="dxa"/>
            <w:vAlign w:val="bottom"/>
            <w:gridSpan w:val="2"/>
            <w:vMerge w:val="restart"/>
          </w:tcPr>
          <w:p>
            <w:pPr>
              <w:ind w:left="180"/>
              <w:spacing w:after="0" w:line="134" w:lineRule="exact"/>
              <w:rPr>
                <w:sz w:val="20"/>
                <w:szCs w:val="20"/>
                <w:color w:val="auto"/>
              </w:rPr>
            </w:pPr>
            <w:r>
              <w:rPr>
                <w:rFonts w:ascii="Arial" w:cs="Arial" w:eastAsia="Arial" w:hAnsi="Arial"/>
                <w:sz w:val="12"/>
                <w:szCs w:val="12"/>
                <w:color w:val="auto"/>
                <w:w w:val="98"/>
              </w:rPr>
              <w:t>◦ Opened new Branch of Tomorrow in Mililani that includes special</w:t>
            </w: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6"/>
        </w:trPr>
        <w:tc>
          <w:tcPr>
            <w:tcW w:w="160" w:type="dxa"/>
            <w:vAlign w:val="bottom"/>
          </w:tcPr>
          <w:p>
            <w:pPr>
              <w:spacing w:after="0"/>
              <w:rPr>
                <w:sz w:val="8"/>
                <w:szCs w:val="8"/>
                <w:color w:val="auto"/>
              </w:rPr>
            </w:pPr>
          </w:p>
        </w:tc>
        <w:tc>
          <w:tcPr>
            <w:tcW w:w="3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260"/>
              <w:spacing w:after="0" w:line="136" w:lineRule="exact"/>
              <w:rPr>
                <w:sz w:val="20"/>
                <w:szCs w:val="20"/>
                <w:color w:val="auto"/>
              </w:rPr>
            </w:pPr>
            <w:r>
              <w:rPr>
                <w:rFonts w:ascii="Arial" w:cs="Arial" w:eastAsia="Arial" w:hAnsi="Arial"/>
                <w:sz w:val="12"/>
                <w:szCs w:val="12"/>
                <w:color w:val="auto"/>
                <w:w w:val="93"/>
              </w:rPr>
              <w:t xml:space="preserve">◦ Donating </w:t>
            </w:r>
            <w:r>
              <w:rPr>
                <w:rFonts w:ascii="Arial" w:cs="Arial" w:eastAsia="Arial" w:hAnsi="Arial"/>
                <w:sz w:val="12"/>
                <w:szCs w:val="12"/>
                <w:b w:val="1"/>
                <w:bCs w:val="1"/>
                <w:color w:val="auto"/>
                <w:w w:val="93"/>
              </w:rPr>
              <w:t>$50,000</w:t>
            </w:r>
            <w:r>
              <w:rPr>
                <w:rFonts w:ascii="Arial" w:cs="Arial" w:eastAsia="Arial" w:hAnsi="Arial"/>
                <w:sz w:val="12"/>
                <w:szCs w:val="12"/>
                <w:color w:val="auto"/>
                <w:w w:val="93"/>
              </w:rPr>
              <w:t xml:space="preserve"> over 2 years to Maui Health Foundation to help meet the</w:t>
            </w: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3660" w:type="dxa"/>
            <w:vAlign w:val="bottom"/>
            <w:gridSpan w:val="2"/>
            <w:vMerge w:val="restart"/>
          </w:tcPr>
          <w:p>
            <w:pPr>
              <w:ind w:left="260"/>
              <w:spacing w:after="0" w:line="134" w:lineRule="exact"/>
              <w:rPr>
                <w:sz w:val="20"/>
                <w:szCs w:val="20"/>
                <w:color w:val="auto"/>
              </w:rPr>
            </w:pPr>
            <w:r>
              <w:rPr>
                <w:rFonts w:ascii="Arial" w:cs="Arial" w:eastAsia="Arial" w:hAnsi="Arial"/>
                <w:sz w:val="12"/>
                <w:szCs w:val="12"/>
                <w:color w:val="auto"/>
                <w:w w:val="90"/>
              </w:rPr>
              <w:t>features such as enhanced air quality systems, and provides improved</w:t>
            </w: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160" w:type="dxa"/>
            <w:vAlign w:val="bottom"/>
          </w:tcPr>
          <w:p>
            <w:pPr>
              <w:spacing w:after="0"/>
              <w:rPr>
                <w:sz w:val="8"/>
                <w:szCs w:val="8"/>
                <w:color w:val="auto"/>
              </w:rPr>
            </w:pPr>
          </w:p>
        </w:tc>
        <w:tc>
          <w:tcPr>
            <w:tcW w:w="3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340"/>
              <w:spacing w:after="0" w:line="132" w:lineRule="exact"/>
              <w:rPr>
                <w:sz w:val="20"/>
                <w:szCs w:val="20"/>
                <w:color w:val="auto"/>
              </w:rPr>
            </w:pPr>
            <w:r>
              <w:rPr>
                <w:rFonts w:ascii="Arial" w:cs="Arial" w:eastAsia="Arial" w:hAnsi="Arial"/>
                <w:sz w:val="12"/>
                <w:szCs w:val="12"/>
                <w:color w:val="auto"/>
              </w:rPr>
              <w:t>financial needs for lower-income residents across Maui County.</w:t>
            </w: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160" w:type="dxa"/>
            <w:vAlign w:val="bottom"/>
          </w:tcPr>
          <w:p>
            <w:pPr>
              <w:spacing w:after="0"/>
              <w:rPr>
                <w:sz w:val="3"/>
                <w:szCs w:val="3"/>
                <w:color w:val="auto"/>
              </w:rPr>
            </w:pPr>
          </w:p>
        </w:tc>
        <w:tc>
          <w:tcPr>
            <w:tcW w:w="3660" w:type="dxa"/>
            <w:vAlign w:val="bottom"/>
            <w:gridSpan w:val="2"/>
            <w:vMerge w:val="restart"/>
          </w:tcPr>
          <w:p>
            <w:pPr>
              <w:ind w:left="260"/>
              <w:spacing w:after="0" w:line="134" w:lineRule="exact"/>
              <w:rPr>
                <w:sz w:val="20"/>
                <w:szCs w:val="20"/>
                <w:color w:val="auto"/>
              </w:rPr>
            </w:pPr>
            <w:r>
              <w:rPr>
                <w:rFonts w:ascii="Arial" w:cs="Arial" w:eastAsia="Arial" w:hAnsi="Arial"/>
                <w:sz w:val="12"/>
                <w:szCs w:val="12"/>
                <w:color w:val="auto"/>
                <w:w w:val="90"/>
              </w:rPr>
              <w:t>energy efficiencies and upgraded technology (including free Wi-Fi and</w:t>
            </w: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6"/>
        </w:trPr>
        <w:tc>
          <w:tcPr>
            <w:tcW w:w="160" w:type="dxa"/>
            <w:vAlign w:val="bottom"/>
          </w:tcPr>
          <w:p>
            <w:pPr>
              <w:spacing w:after="0"/>
              <w:rPr>
                <w:sz w:val="8"/>
                <w:szCs w:val="8"/>
                <w:color w:val="auto"/>
              </w:rPr>
            </w:pPr>
          </w:p>
        </w:tc>
        <w:tc>
          <w:tcPr>
            <w:tcW w:w="3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260"/>
              <w:spacing w:after="0" w:line="136" w:lineRule="exact"/>
              <w:rPr>
                <w:sz w:val="20"/>
                <w:szCs w:val="20"/>
                <w:color w:val="auto"/>
              </w:rPr>
            </w:pPr>
            <w:r>
              <w:rPr>
                <w:rFonts w:ascii="Arial" w:cs="Arial" w:eastAsia="Arial" w:hAnsi="Arial"/>
                <w:sz w:val="12"/>
                <w:szCs w:val="12"/>
                <w:color w:val="auto"/>
                <w:w w:val="96"/>
              </w:rPr>
              <w:t xml:space="preserve">◦ Donated </w:t>
            </w:r>
            <w:r>
              <w:rPr>
                <w:rFonts w:ascii="Arial" w:cs="Arial" w:eastAsia="Arial" w:hAnsi="Arial"/>
                <w:sz w:val="12"/>
                <w:szCs w:val="12"/>
                <w:b w:val="1"/>
                <w:bCs w:val="1"/>
                <w:color w:val="auto"/>
                <w:w w:val="96"/>
              </w:rPr>
              <w:t>$25,000</w:t>
            </w:r>
            <w:r>
              <w:rPr>
                <w:rFonts w:ascii="Arial" w:cs="Arial" w:eastAsia="Arial" w:hAnsi="Arial"/>
                <w:sz w:val="12"/>
                <w:szCs w:val="12"/>
                <w:color w:val="auto"/>
                <w:w w:val="96"/>
              </w:rPr>
              <w:t xml:space="preserve"> to COVIDPAU for continued community education and</w:t>
            </w: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2600" w:type="dxa"/>
            <w:vAlign w:val="bottom"/>
            <w:vMerge w:val="restart"/>
          </w:tcPr>
          <w:p>
            <w:pPr>
              <w:ind w:left="260"/>
              <w:spacing w:after="0" w:line="134" w:lineRule="exact"/>
              <w:rPr>
                <w:sz w:val="20"/>
                <w:szCs w:val="20"/>
                <w:color w:val="auto"/>
              </w:rPr>
            </w:pPr>
            <w:r>
              <w:rPr>
                <w:rFonts w:ascii="Arial" w:cs="Arial" w:eastAsia="Arial" w:hAnsi="Arial"/>
                <w:sz w:val="12"/>
                <w:szCs w:val="12"/>
                <w:color w:val="auto"/>
              </w:rPr>
              <w:t>easy-deposit ATM)</w:t>
            </w: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160" w:type="dxa"/>
            <w:vAlign w:val="bottom"/>
          </w:tcPr>
          <w:p>
            <w:pPr>
              <w:spacing w:after="0"/>
              <w:rPr>
                <w:sz w:val="8"/>
                <w:szCs w:val="8"/>
                <w:color w:val="auto"/>
              </w:rPr>
            </w:pPr>
          </w:p>
        </w:tc>
        <w:tc>
          <w:tcPr>
            <w:tcW w:w="26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340"/>
              <w:spacing w:after="0" w:line="132" w:lineRule="exact"/>
              <w:rPr>
                <w:sz w:val="20"/>
                <w:szCs w:val="20"/>
                <w:color w:val="auto"/>
              </w:rPr>
            </w:pPr>
            <w:r>
              <w:rPr>
                <w:rFonts w:ascii="Arial" w:cs="Arial" w:eastAsia="Arial" w:hAnsi="Arial"/>
                <w:sz w:val="12"/>
                <w:szCs w:val="12"/>
                <w:color w:val="auto"/>
              </w:rPr>
              <w:t>public awareness for safety and health related to the pandemic.</w:t>
            </w: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160" w:type="dxa"/>
            <w:vAlign w:val="bottom"/>
          </w:tcPr>
          <w:p>
            <w:pPr>
              <w:spacing w:after="0"/>
              <w:rPr>
                <w:sz w:val="3"/>
                <w:szCs w:val="3"/>
                <w:color w:val="auto"/>
              </w:rPr>
            </w:pPr>
          </w:p>
        </w:tc>
        <w:tc>
          <w:tcPr>
            <w:tcW w:w="3660" w:type="dxa"/>
            <w:vAlign w:val="bottom"/>
            <w:gridSpan w:val="2"/>
            <w:vMerge w:val="restart"/>
          </w:tcPr>
          <w:p>
            <w:pPr>
              <w:ind w:left="180"/>
              <w:spacing w:after="0" w:line="134" w:lineRule="exact"/>
              <w:rPr>
                <w:sz w:val="20"/>
                <w:szCs w:val="20"/>
                <w:color w:val="auto"/>
              </w:rPr>
            </w:pPr>
            <w:r>
              <w:rPr>
                <w:rFonts w:ascii="Arial" w:cs="Arial" w:eastAsia="Arial" w:hAnsi="Arial"/>
                <w:sz w:val="12"/>
                <w:szCs w:val="12"/>
                <w:color w:val="auto"/>
                <w:w w:val="92"/>
              </w:rPr>
              <w:t>◦ Opened new Waialae-Kahala Banking Center that features Branch of</w:t>
            </w: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6"/>
        </w:trPr>
        <w:tc>
          <w:tcPr>
            <w:tcW w:w="160" w:type="dxa"/>
            <w:vAlign w:val="bottom"/>
          </w:tcPr>
          <w:p>
            <w:pPr>
              <w:spacing w:after="0"/>
              <w:rPr>
                <w:sz w:val="8"/>
                <w:szCs w:val="8"/>
                <w:color w:val="auto"/>
              </w:rPr>
            </w:pPr>
          </w:p>
        </w:tc>
        <w:tc>
          <w:tcPr>
            <w:tcW w:w="3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260"/>
              <w:spacing w:after="0" w:line="136" w:lineRule="exact"/>
              <w:rPr>
                <w:sz w:val="20"/>
                <w:szCs w:val="20"/>
                <w:color w:val="auto"/>
              </w:rPr>
            </w:pPr>
            <w:r>
              <w:rPr>
                <w:rFonts w:ascii="Arial" w:cs="Arial" w:eastAsia="Arial" w:hAnsi="Arial"/>
                <w:sz w:val="12"/>
                <w:szCs w:val="12"/>
                <w:color w:val="auto"/>
                <w:w w:val="95"/>
              </w:rPr>
              <w:t xml:space="preserve">◦ Donated </w:t>
            </w:r>
            <w:r>
              <w:rPr>
                <w:rFonts w:ascii="Arial" w:cs="Arial" w:eastAsia="Arial" w:hAnsi="Arial"/>
                <w:sz w:val="12"/>
                <w:szCs w:val="12"/>
                <w:b w:val="1"/>
                <w:bCs w:val="1"/>
                <w:color w:val="auto"/>
                <w:w w:val="95"/>
              </w:rPr>
              <w:t>$30,000</w:t>
            </w:r>
            <w:r>
              <w:rPr>
                <w:rFonts w:ascii="Arial" w:cs="Arial" w:eastAsia="Arial" w:hAnsi="Arial"/>
                <w:sz w:val="12"/>
                <w:szCs w:val="12"/>
                <w:color w:val="auto"/>
                <w:w w:val="95"/>
              </w:rPr>
              <w:t xml:space="preserve"> to Project Vision Hawai‘i in support of its mobile COVID</w:t>
            </w: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2600" w:type="dxa"/>
            <w:vAlign w:val="bottom"/>
            <w:vMerge w:val="restart"/>
          </w:tcPr>
          <w:p>
            <w:pPr>
              <w:ind w:left="260"/>
              <w:spacing w:after="0" w:line="134" w:lineRule="exact"/>
              <w:rPr>
                <w:sz w:val="20"/>
                <w:szCs w:val="20"/>
                <w:color w:val="auto"/>
              </w:rPr>
            </w:pPr>
            <w:r>
              <w:rPr>
                <w:rFonts w:ascii="Arial" w:cs="Arial" w:eastAsia="Arial" w:hAnsi="Arial"/>
                <w:sz w:val="12"/>
                <w:szCs w:val="12"/>
                <w:color w:val="auto"/>
              </w:rPr>
              <w:t>Tomorrow upgrades</w:t>
            </w: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160" w:type="dxa"/>
            <w:vAlign w:val="bottom"/>
          </w:tcPr>
          <w:p>
            <w:pPr>
              <w:spacing w:after="0"/>
              <w:rPr>
                <w:sz w:val="8"/>
                <w:szCs w:val="8"/>
                <w:color w:val="auto"/>
              </w:rPr>
            </w:pPr>
          </w:p>
        </w:tc>
        <w:tc>
          <w:tcPr>
            <w:tcW w:w="26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340"/>
              <w:spacing w:after="0" w:line="132" w:lineRule="exact"/>
              <w:rPr>
                <w:sz w:val="20"/>
                <w:szCs w:val="20"/>
                <w:color w:val="auto"/>
              </w:rPr>
            </w:pPr>
            <w:r>
              <w:rPr>
                <w:rFonts w:ascii="Arial" w:cs="Arial" w:eastAsia="Arial" w:hAnsi="Arial"/>
                <w:sz w:val="12"/>
                <w:szCs w:val="12"/>
                <w:color w:val="auto"/>
              </w:rPr>
              <w:t>clinic program.</w:t>
            </w: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160" w:type="dxa"/>
            <w:vAlign w:val="bottom"/>
          </w:tcPr>
          <w:p>
            <w:pPr>
              <w:spacing w:after="0"/>
              <w:rPr>
                <w:sz w:val="3"/>
                <w:szCs w:val="3"/>
                <w:color w:val="auto"/>
              </w:rPr>
            </w:pPr>
          </w:p>
        </w:tc>
        <w:tc>
          <w:tcPr>
            <w:tcW w:w="3660" w:type="dxa"/>
            <w:vAlign w:val="bottom"/>
            <w:gridSpan w:val="2"/>
            <w:vMerge w:val="restart"/>
          </w:tcPr>
          <w:p>
            <w:pPr>
              <w:ind w:left="180"/>
              <w:spacing w:after="0" w:line="134" w:lineRule="exact"/>
              <w:rPr>
                <w:sz w:val="20"/>
                <w:szCs w:val="20"/>
                <w:color w:val="auto"/>
              </w:rPr>
            </w:pPr>
            <w:r>
              <w:rPr>
                <w:rFonts w:ascii="Arial" w:cs="Arial" w:eastAsia="Arial" w:hAnsi="Arial"/>
                <w:sz w:val="12"/>
                <w:szCs w:val="12"/>
                <w:color w:val="auto"/>
              </w:rPr>
              <w:t>◦ Opened the first Branch of Tomorrow on Hawaii Island</w:t>
            </w: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6"/>
        </w:trPr>
        <w:tc>
          <w:tcPr>
            <w:tcW w:w="160" w:type="dxa"/>
            <w:vAlign w:val="bottom"/>
          </w:tcPr>
          <w:p>
            <w:pPr>
              <w:spacing w:after="0"/>
              <w:rPr>
                <w:sz w:val="8"/>
                <w:szCs w:val="8"/>
                <w:color w:val="auto"/>
              </w:rPr>
            </w:pPr>
          </w:p>
        </w:tc>
        <w:tc>
          <w:tcPr>
            <w:tcW w:w="3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260"/>
              <w:spacing w:after="0" w:line="136" w:lineRule="exact"/>
              <w:rPr>
                <w:sz w:val="20"/>
                <w:szCs w:val="20"/>
                <w:color w:val="auto"/>
              </w:rPr>
            </w:pPr>
            <w:r>
              <w:rPr>
                <w:rFonts w:ascii="Arial" w:cs="Arial" w:eastAsia="Arial" w:hAnsi="Arial"/>
                <w:sz w:val="12"/>
                <w:szCs w:val="12"/>
                <w:color w:val="auto"/>
                <w:w w:val="93"/>
              </w:rPr>
              <w:t xml:space="preserve">◦ Donated </w:t>
            </w:r>
            <w:r>
              <w:rPr>
                <w:rFonts w:ascii="Arial" w:cs="Arial" w:eastAsia="Arial" w:hAnsi="Arial"/>
                <w:sz w:val="12"/>
                <w:szCs w:val="12"/>
                <w:b w:val="1"/>
                <w:bCs w:val="1"/>
                <w:color w:val="auto"/>
                <w:w w:val="93"/>
              </w:rPr>
              <w:t>$100,000</w:t>
            </w:r>
            <w:r>
              <w:rPr>
                <w:rFonts w:ascii="Arial" w:cs="Arial" w:eastAsia="Arial" w:hAnsi="Arial"/>
                <w:sz w:val="12"/>
                <w:szCs w:val="12"/>
                <w:color w:val="auto"/>
                <w:w w:val="93"/>
              </w:rPr>
              <w:t xml:space="preserve"> to PBS Hawai‘i in its 10-year anniversary of HIKI NŌ, for</w:t>
            </w: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3660" w:type="dxa"/>
            <w:vAlign w:val="bottom"/>
            <w:gridSpan w:val="2"/>
            <w:vMerge w:val="restart"/>
          </w:tcPr>
          <w:p>
            <w:pPr>
              <w:ind w:left="180"/>
              <w:spacing w:after="0" w:line="134" w:lineRule="exact"/>
              <w:rPr>
                <w:sz w:val="20"/>
                <w:szCs w:val="20"/>
                <w:color w:val="auto"/>
              </w:rPr>
            </w:pPr>
            <w:r>
              <w:rPr>
                <w:rFonts w:ascii="Arial" w:cs="Arial" w:eastAsia="Arial" w:hAnsi="Arial"/>
                <w:sz w:val="12"/>
                <w:szCs w:val="12"/>
                <w:color w:val="auto"/>
                <w:w w:val="99"/>
              </w:rPr>
              <w:t>◦ Expanded the use of Bank by Appointment to facilitate in-branch</w:t>
            </w: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160" w:type="dxa"/>
            <w:vAlign w:val="bottom"/>
          </w:tcPr>
          <w:p>
            <w:pPr>
              <w:spacing w:after="0"/>
              <w:rPr>
                <w:sz w:val="8"/>
                <w:szCs w:val="8"/>
                <w:color w:val="auto"/>
              </w:rPr>
            </w:pPr>
          </w:p>
        </w:tc>
        <w:tc>
          <w:tcPr>
            <w:tcW w:w="3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340"/>
              <w:spacing w:after="0" w:line="132" w:lineRule="exact"/>
              <w:rPr>
                <w:sz w:val="20"/>
                <w:szCs w:val="20"/>
                <w:color w:val="auto"/>
              </w:rPr>
            </w:pPr>
            <w:r>
              <w:rPr>
                <w:rFonts w:ascii="Arial" w:cs="Arial" w:eastAsia="Arial" w:hAnsi="Arial"/>
                <w:sz w:val="12"/>
                <w:szCs w:val="12"/>
                <w:color w:val="auto"/>
              </w:rPr>
              <w:t>continued communication-building and education</w:t>
            </w: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160" w:type="dxa"/>
            <w:vAlign w:val="bottom"/>
          </w:tcPr>
          <w:p>
            <w:pPr>
              <w:spacing w:after="0"/>
              <w:rPr>
                <w:sz w:val="3"/>
                <w:szCs w:val="3"/>
                <w:color w:val="auto"/>
              </w:rPr>
            </w:pPr>
          </w:p>
        </w:tc>
        <w:tc>
          <w:tcPr>
            <w:tcW w:w="2600" w:type="dxa"/>
            <w:vAlign w:val="bottom"/>
            <w:vMerge w:val="restart"/>
          </w:tcPr>
          <w:p>
            <w:pPr>
              <w:ind w:left="260"/>
              <w:spacing w:after="0"/>
              <w:rPr>
                <w:sz w:val="20"/>
                <w:szCs w:val="20"/>
                <w:color w:val="auto"/>
              </w:rPr>
            </w:pPr>
            <w:r>
              <w:rPr>
                <w:rFonts w:ascii="Arial" w:cs="Arial" w:eastAsia="Arial" w:hAnsi="Arial"/>
                <w:sz w:val="12"/>
                <w:szCs w:val="12"/>
                <w:color w:val="auto"/>
              </w:rPr>
              <w:t>interactions</w:t>
            </w: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160" w:type="dxa"/>
            <w:vAlign w:val="bottom"/>
          </w:tcPr>
          <w:p>
            <w:pPr>
              <w:spacing w:after="0"/>
              <w:rPr>
                <w:sz w:val="11"/>
                <w:szCs w:val="11"/>
                <w:color w:val="auto"/>
              </w:rPr>
            </w:pPr>
          </w:p>
        </w:tc>
        <w:tc>
          <w:tcPr>
            <w:tcW w:w="260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80" w:type="dxa"/>
            <w:vAlign w:val="bottom"/>
          </w:tcPr>
          <w:p>
            <w:pPr>
              <w:ind w:left="260"/>
              <w:spacing w:after="0" w:line="136" w:lineRule="exact"/>
              <w:rPr>
                <w:sz w:val="20"/>
                <w:szCs w:val="20"/>
                <w:color w:val="auto"/>
              </w:rPr>
            </w:pPr>
            <w:r>
              <w:rPr>
                <w:rFonts w:ascii="Arial" w:cs="Arial" w:eastAsia="Arial" w:hAnsi="Arial"/>
                <w:sz w:val="12"/>
                <w:szCs w:val="12"/>
                <w:color w:val="auto"/>
                <w:w w:val="93"/>
              </w:rPr>
              <w:t xml:space="preserve">◦ Donated </w:t>
            </w:r>
            <w:r>
              <w:rPr>
                <w:rFonts w:ascii="Arial" w:cs="Arial" w:eastAsia="Arial" w:hAnsi="Arial"/>
                <w:sz w:val="12"/>
                <w:szCs w:val="12"/>
                <w:b w:val="1"/>
                <w:bCs w:val="1"/>
                <w:color w:val="auto"/>
                <w:w w:val="93"/>
              </w:rPr>
              <w:t>$25,000</w:t>
            </w:r>
            <w:r>
              <w:rPr>
                <w:rFonts w:ascii="Arial" w:cs="Arial" w:eastAsia="Arial" w:hAnsi="Arial"/>
                <w:sz w:val="12"/>
                <w:szCs w:val="12"/>
                <w:color w:val="auto"/>
                <w:w w:val="93"/>
              </w:rPr>
              <w:t xml:space="preserve"> for research for the Weed &amp; Seed Hawaii program, which</w:t>
            </w:r>
          </w:p>
        </w:tc>
        <w:tc>
          <w:tcPr>
            <w:tcW w:w="3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7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•Operational Excellence</w:t>
            </w: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80" w:type="dxa"/>
            <w:vAlign w:val="bottom"/>
          </w:tcPr>
          <w:p>
            <w:pPr>
              <w:ind w:left="340"/>
              <w:spacing w:after="0" w:line="134" w:lineRule="exact"/>
              <w:rPr>
                <w:sz w:val="20"/>
                <w:szCs w:val="20"/>
                <w:color w:val="auto"/>
              </w:rPr>
            </w:pPr>
            <w:r>
              <w:rPr>
                <w:rFonts w:ascii="Arial" w:cs="Arial" w:eastAsia="Arial" w:hAnsi="Arial"/>
                <w:sz w:val="12"/>
                <w:szCs w:val="12"/>
                <w:color w:val="auto"/>
                <w:w w:val="89"/>
              </w:rPr>
              <w:t>aims to reduce crime in communities, build community engagement and social</w:t>
            </w:r>
          </w:p>
        </w:tc>
        <w:tc>
          <w:tcPr>
            <w:tcW w:w="3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760" w:type="dxa"/>
            <w:vAlign w:val="bottom"/>
            <w:gridSpan w:val="2"/>
            <w:vMerge w:val="continue"/>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340"/>
              <w:spacing w:after="0" w:line="132" w:lineRule="exact"/>
              <w:rPr>
                <w:sz w:val="20"/>
                <w:szCs w:val="20"/>
                <w:color w:val="auto"/>
              </w:rPr>
            </w:pPr>
            <w:r>
              <w:rPr>
                <w:rFonts w:ascii="Arial" w:cs="Arial" w:eastAsia="Arial" w:hAnsi="Arial"/>
                <w:sz w:val="12"/>
                <w:szCs w:val="12"/>
                <w:color w:val="auto"/>
              </w:rPr>
              <w:t>and economic revitalization, and beautify neighborhoods.</w:t>
            </w: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160" w:type="dxa"/>
            <w:vAlign w:val="bottom"/>
          </w:tcPr>
          <w:p>
            <w:pPr>
              <w:spacing w:after="0"/>
              <w:rPr>
                <w:sz w:val="3"/>
                <w:szCs w:val="3"/>
                <w:color w:val="auto"/>
              </w:rPr>
            </w:pPr>
          </w:p>
        </w:tc>
        <w:tc>
          <w:tcPr>
            <w:tcW w:w="3660" w:type="dxa"/>
            <w:vAlign w:val="bottom"/>
            <w:gridSpan w:val="2"/>
            <w:vMerge w:val="restart"/>
          </w:tcPr>
          <w:p>
            <w:pPr>
              <w:ind w:left="180"/>
              <w:spacing w:after="0" w:line="134" w:lineRule="exact"/>
              <w:rPr>
                <w:sz w:val="20"/>
                <w:szCs w:val="20"/>
                <w:color w:val="auto"/>
              </w:rPr>
            </w:pPr>
            <w:r>
              <w:rPr>
                <w:rFonts w:ascii="Arial" w:cs="Arial" w:eastAsia="Arial" w:hAnsi="Arial"/>
                <w:sz w:val="12"/>
                <w:szCs w:val="12"/>
                <w:color w:val="auto"/>
                <w:w w:val="98"/>
              </w:rPr>
              <w:t>◦ Found ways to reduce waste, improve quality, and optimize work</w:t>
            </w: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6"/>
        </w:trPr>
        <w:tc>
          <w:tcPr>
            <w:tcW w:w="160" w:type="dxa"/>
            <w:vAlign w:val="bottom"/>
          </w:tcPr>
          <w:p>
            <w:pPr>
              <w:spacing w:after="0"/>
              <w:rPr>
                <w:sz w:val="8"/>
                <w:szCs w:val="8"/>
                <w:color w:val="auto"/>
              </w:rPr>
            </w:pPr>
          </w:p>
        </w:tc>
        <w:tc>
          <w:tcPr>
            <w:tcW w:w="3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080" w:type="dxa"/>
            <w:vAlign w:val="bottom"/>
            <w:vMerge w:val="restart"/>
          </w:tcPr>
          <w:p>
            <w:pPr>
              <w:ind w:left="260"/>
              <w:spacing w:after="0" w:line="136" w:lineRule="exact"/>
              <w:rPr>
                <w:sz w:val="20"/>
                <w:szCs w:val="20"/>
                <w:color w:val="auto"/>
              </w:rPr>
            </w:pPr>
            <w:r>
              <w:rPr>
                <w:rFonts w:ascii="Arial" w:cs="Arial" w:eastAsia="Arial" w:hAnsi="Arial"/>
                <w:sz w:val="12"/>
                <w:szCs w:val="12"/>
                <w:color w:val="auto"/>
                <w:w w:val="92"/>
              </w:rPr>
              <w:t xml:space="preserve">◦ Bank of Hawaii Scholarship Fund awarded 26 Scholars a total of </w:t>
            </w:r>
            <w:r>
              <w:rPr>
                <w:rFonts w:ascii="Arial" w:cs="Arial" w:eastAsia="Arial" w:hAnsi="Arial"/>
                <w:sz w:val="12"/>
                <w:szCs w:val="12"/>
                <w:b w:val="1"/>
                <w:bCs w:val="1"/>
                <w:color w:val="auto"/>
                <w:w w:val="92"/>
              </w:rPr>
              <w:t>$91,000</w:t>
            </w:r>
            <w:r>
              <w:rPr>
                <w:rFonts w:ascii="Arial" w:cs="Arial" w:eastAsia="Arial" w:hAnsi="Arial"/>
                <w:sz w:val="12"/>
                <w:szCs w:val="12"/>
                <w:color w:val="auto"/>
                <w:w w:val="92"/>
              </w:rPr>
              <w:t xml:space="preserve"> to</w:t>
            </w: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2600" w:type="dxa"/>
            <w:vAlign w:val="bottom"/>
            <w:vMerge w:val="restart"/>
          </w:tcPr>
          <w:p>
            <w:pPr>
              <w:ind w:left="260"/>
              <w:spacing w:after="0"/>
              <w:rPr>
                <w:sz w:val="20"/>
                <w:szCs w:val="20"/>
                <w:color w:val="auto"/>
              </w:rPr>
            </w:pPr>
            <w:r>
              <w:rPr>
                <w:rFonts w:ascii="Arial" w:cs="Arial" w:eastAsia="Arial" w:hAnsi="Arial"/>
                <w:sz w:val="12"/>
                <w:szCs w:val="12"/>
                <w:color w:val="auto"/>
                <w:w w:val="86"/>
              </w:rPr>
              <w:t>processes to provide long-term value to customers</w:t>
            </w: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160" w:type="dxa"/>
            <w:vAlign w:val="bottom"/>
          </w:tcPr>
          <w:p>
            <w:pPr>
              <w:spacing w:after="0"/>
              <w:rPr>
                <w:sz w:val="9"/>
                <w:szCs w:val="9"/>
                <w:color w:val="auto"/>
              </w:rPr>
            </w:pPr>
          </w:p>
        </w:tc>
        <w:tc>
          <w:tcPr>
            <w:tcW w:w="26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80" w:type="dxa"/>
            <w:vAlign w:val="bottom"/>
            <w:vMerge w:val="restart"/>
          </w:tcPr>
          <w:p>
            <w:pPr>
              <w:ind w:left="340"/>
              <w:spacing w:after="0"/>
              <w:rPr>
                <w:sz w:val="20"/>
                <w:szCs w:val="20"/>
                <w:color w:val="auto"/>
              </w:rPr>
            </w:pPr>
            <w:r>
              <w:rPr>
                <w:rFonts w:ascii="Arial" w:cs="Arial" w:eastAsia="Arial" w:hAnsi="Arial"/>
                <w:sz w:val="12"/>
                <w:szCs w:val="12"/>
                <w:color w:val="auto"/>
              </w:rPr>
              <w:t>children and grandchildren of Bank of Hawaii employees.</w:t>
            </w:r>
          </w:p>
        </w:tc>
        <w:tc>
          <w:tcPr>
            <w:tcW w:w="3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80" w:type="dxa"/>
            <w:vAlign w:val="bottom"/>
            <w:vMerge w:val="continue"/>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•Employee Experience</w:t>
      </w:r>
    </w:p>
    <w:p>
      <w:pPr>
        <w:spacing w:after="0" w:line="8" w:lineRule="exact"/>
        <w:rPr>
          <w:sz w:val="20"/>
          <w:szCs w:val="20"/>
          <w:color w:val="auto"/>
        </w:rPr>
      </w:pPr>
    </w:p>
    <w:p>
      <w:pPr>
        <w:ind w:left="420" w:right="7560" w:hanging="85"/>
        <w:spacing w:after="0" w:line="232" w:lineRule="auto"/>
        <w:tabs>
          <w:tab w:leader="none" w:pos="412" w:val="left"/>
        </w:tabs>
        <w:numPr>
          <w:ilvl w:val="1"/>
          <w:numId w:val="74"/>
        </w:numPr>
        <w:rPr>
          <w:rFonts w:ascii="Arial" w:cs="Arial" w:eastAsia="Arial" w:hAnsi="Arial"/>
          <w:sz w:val="12"/>
          <w:szCs w:val="12"/>
          <w:color w:val="auto"/>
        </w:rPr>
      </w:pPr>
      <w:r>
        <w:rPr>
          <w:rFonts w:ascii="Arial" w:cs="Arial" w:eastAsia="Arial" w:hAnsi="Arial"/>
          <w:sz w:val="12"/>
          <w:szCs w:val="12"/>
          <w:color w:val="auto"/>
        </w:rPr>
        <w:t>Focused on developing effective leaders, and design programming and opportunities with the employee in mind</w:t>
      </w:r>
    </w:p>
    <w:p>
      <w:pPr>
        <w:ind w:left="400" w:hanging="65"/>
        <w:spacing w:after="0"/>
        <w:tabs>
          <w:tab w:leader="none" w:pos="400" w:val="left"/>
        </w:tabs>
        <w:numPr>
          <w:ilvl w:val="1"/>
          <w:numId w:val="74"/>
        </w:numPr>
        <w:rPr>
          <w:rFonts w:ascii="Arial" w:cs="Arial" w:eastAsia="Arial" w:hAnsi="Arial"/>
          <w:sz w:val="12"/>
          <w:szCs w:val="12"/>
          <w:color w:val="auto"/>
        </w:rPr>
      </w:pPr>
      <w:r>
        <w:rPr>
          <w:rFonts w:ascii="Arial" w:cs="Arial" w:eastAsia="Arial" w:hAnsi="Arial"/>
          <w:sz w:val="12"/>
          <w:szCs w:val="12"/>
          <w:color w:val="auto"/>
        </w:rPr>
        <w:t>Improved employee engagement scores</w:t>
      </w:r>
    </w:p>
    <w:p>
      <w:pPr>
        <w:spacing w:after="0" w:line="382" w:lineRule="exact"/>
        <w:rPr>
          <w:rFonts w:ascii="Arial" w:cs="Arial" w:eastAsia="Arial" w:hAnsi="Arial"/>
          <w:sz w:val="12"/>
          <w:szCs w:val="12"/>
          <w:color w:val="auto"/>
        </w:rPr>
      </w:pPr>
    </w:p>
    <w:p>
      <w:pPr>
        <w:ind w:left="220" w:right="560" w:hanging="160"/>
        <w:spacing w:after="0" w:line="270" w:lineRule="auto"/>
        <w:rPr>
          <w:rFonts w:ascii="Arial" w:cs="Arial" w:eastAsia="Arial" w:hAnsi="Arial"/>
          <w:sz w:val="12"/>
          <w:szCs w:val="12"/>
          <w:color w:val="auto"/>
        </w:rPr>
      </w:pPr>
      <w:r>
        <w:rPr>
          <w:rFonts w:ascii="Arial" w:cs="Arial" w:eastAsia="Arial" w:hAnsi="Arial"/>
          <w:sz w:val="13"/>
          <w:szCs w:val="13"/>
          <w:color w:val="auto"/>
        </w:rPr>
        <w:t>* 20% represents CEO weighting and performance. For all other NEOs, this represents 10% of their weighting with the remaining 10% based on accomplishment of their pre-determined individual management/business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-214630</wp:posOffset>
            </wp:positionV>
            <wp:extent cx="7133590" cy="2038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3590" cy="20383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firstLine="546"/>
        <w:spacing w:after="0" w:line="265" w:lineRule="auto"/>
        <w:rPr>
          <w:sz w:val="20"/>
          <w:szCs w:val="20"/>
          <w:color w:val="auto"/>
        </w:rPr>
      </w:pPr>
      <w:r>
        <w:rPr>
          <w:rFonts w:ascii="Arial" w:cs="Arial" w:eastAsia="Arial" w:hAnsi="Arial"/>
          <w:sz w:val="16"/>
          <w:szCs w:val="16"/>
          <w:color w:val="auto"/>
        </w:rPr>
        <w:t>In evaluating the CEO performance and resulting EIP payment, the Committee employed a weighted scoring system based upon achievement of the performance metrics referenced above. Eighty percent of the performance metrics are quantitative and were selected by the Committee as strong measures of management's ability to drive profitability (Return-on-Common-Equity), and enhance shareholder equity (Stock Price-to-Book Ratio), resulting in both short- and long-term shareholder value. The Committee reviewed and discussed the CEO's performance against the EIP metrics and objectives, then determined the final EIP award based upon the results of the pre-determined quantitative metrics and the disciplined other short-term metrics. The Committee certified fourth (top) quartile performance for the Return-on-Common-Equity (96.2 percentile), and Stock Price-to-Book Ratio (94.9 percentile) metrics. Assessing performance of the qualitative measures, the Committee reviewed and discussed in detail the CEO's individual contributions and rated his performance “OUTSTANDING” in the pre-determined areas of community presence, reputation, leadership development, succession planning and strategic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1584325</wp:posOffset>
            </wp:positionH>
            <wp:positionV relativeFrom="paragraph">
              <wp:posOffset>129540</wp:posOffset>
            </wp:positionV>
            <wp:extent cx="3974465" cy="925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97446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 w:firstLine="546"/>
        <w:spacing w:after="0" w:line="302" w:lineRule="auto"/>
        <w:rPr>
          <w:sz w:val="20"/>
          <w:szCs w:val="20"/>
          <w:color w:val="auto"/>
        </w:rPr>
      </w:pPr>
      <w:r>
        <w:rPr>
          <w:rFonts w:ascii="Arial" w:cs="Arial" w:eastAsia="Arial" w:hAnsi="Arial"/>
          <w:sz w:val="14"/>
          <w:szCs w:val="14"/>
          <w:color w:val="auto"/>
        </w:rPr>
        <w:t>In evaluating the other NEOs, the Committee considered the recommendations of the CEO, and reviewed and discussed the other NEOs performance against the EIP metrics and objectives, the other NEOs performance in their respective managerial spheres of influence, the individual contributions and achievements of the other</w:t>
      </w:r>
    </w:p>
    <w:p>
      <w:pPr>
        <w:ind w:right="580"/>
        <w:spacing w:after="0" w:line="283" w:lineRule="auto"/>
        <w:rPr>
          <w:sz w:val="20"/>
          <w:szCs w:val="20"/>
          <w:color w:val="auto"/>
        </w:rPr>
      </w:pPr>
      <w:r>
        <w:rPr>
          <w:rFonts w:ascii="Arial" w:cs="Arial" w:eastAsia="Arial" w:hAnsi="Arial"/>
          <w:sz w:val="16"/>
          <w:szCs w:val="16"/>
          <w:color w:val="auto"/>
        </w:rPr>
        <w:t>NEOs. The Committee gauged the other NEOs individual performance and the Company performance against the established performance metrics and discussed the individual NEO sphere of influence achievements for each of the other NEOs.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Dean Y. Shigemura</w:t>
      </w:r>
    </w:p>
    <w:p>
      <w:pPr>
        <w:spacing w:after="0" w:line="231" w:lineRule="exact"/>
        <w:rPr>
          <w:sz w:val="20"/>
          <w:szCs w:val="20"/>
          <w:color w:val="auto"/>
        </w:rPr>
      </w:pPr>
    </w:p>
    <w:p>
      <w:pPr>
        <w:jc w:val="both"/>
        <w:ind w:right="340" w:firstLine="546"/>
        <w:spacing w:after="0" w:line="275" w:lineRule="auto"/>
        <w:rPr>
          <w:sz w:val="20"/>
          <w:szCs w:val="20"/>
          <w:color w:val="auto"/>
        </w:rPr>
      </w:pPr>
      <w:r>
        <w:rPr>
          <w:rFonts w:ascii="Arial" w:cs="Arial" w:eastAsia="Arial" w:hAnsi="Arial"/>
          <w:sz w:val="16"/>
          <w:szCs w:val="16"/>
          <w:color w:val="auto"/>
        </w:rPr>
        <w:t>Mr. Shigemura is Vice Chair and Chief Financial Officer. He is a member of the Company’s Executive Committee and has overall responsibility for the Finance group. The Finance group includes Financial and Regulatory Reporting, Tax Reporting, Accounting, Accounts Payable, Corporate Sourcing and Procurement, Financial Planning and Analytics, Treasury, and Investor Relations.</w:t>
      </w:r>
    </w:p>
    <w:p>
      <w:pPr>
        <w:spacing w:after="0" w:line="183" w:lineRule="exact"/>
        <w:rPr>
          <w:sz w:val="20"/>
          <w:szCs w:val="20"/>
          <w:color w:val="auto"/>
        </w:rPr>
      </w:pPr>
    </w:p>
    <w:p>
      <w:pPr>
        <w:ind w:right="100" w:firstLine="546"/>
        <w:spacing w:after="0" w:line="285" w:lineRule="auto"/>
        <w:rPr>
          <w:sz w:val="20"/>
          <w:szCs w:val="20"/>
          <w:color w:val="auto"/>
        </w:rPr>
      </w:pPr>
      <w:r>
        <w:rPr>
          <w:rFonts w:ascii="Arial" w:cs="Arial" w:eastAsia="Arial" w:hAnsi="Arial"/>
          <w:sz w:val="15"/>
          <w:szCs w:val="15"/>
          <w:color w:val="auto"/>
        </w:rPr>
        <w:t>The Committee discussed Mr. Shigemura's contributions in his area of responsibilities in 2021. Mr. Shigemura demonstrated disciplined financial management within established corporate goals and expectations, while leading his team through transformational organizational changes and top financial performance metrics for the Company. The Committee noted his significant contribution within the area of financial management including the continued improvements of the company-wide Pricing Committee and leading the annual budget process. In addition, Mr. Shigemura chaired the Asset/Liability Committee (“ALCO”), which oversees the balance sheet, capital and liquidity for the Company, helped lead the ALCO Pricing Committee which is responsible for loan, deposit, and fee pricing, oversaw the Company’s stress testing activities, and participated in a number of regulatory exams. In 2021, Mr. Shigemura led the issuance of the Company’s preferred stock offering which bolstered the Company’s capital position, continued to lead several initiatives that reduced non-interest expenses and maintained financial discipline that helped the Company increase the dividends to shareholders and maintained sound levels of capital and liquidity during the disruptive COVID-19 pandemic.</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Sharon M. Crofts</w:t>
      </w:r>
    </w:p>
    <w:p>
      <w:pPr>
        <w:spacing w:after="0" w:line="231" w:lineRule="exact"/>
        <w:rPr>
          <w:sz w:val="20"/>
          <w:szCs w:val="20"/>
          <w:color w:val="auto"/>
        </w:rPr>
      </w:pPr>
    </w:p>
    <w:p>
      <w:pPr>
        <w:ind w:right="80" w:firstLine="546"/>
        <w:spacing w:after="0" w:line="364" w:lineRule="auto"/>
        <w:rPr>
          <w:sz w:val="20"/>
          <w:szCs w:val="20"/>
          <w:color w:val="auto"/>
        </w:rPr>
      </w:pPr>
      <w:r>
        <w:rPr>
          <w:rFonts w:ascii="Arial" w:cs="Arial" w:eastAsia="Arial" w:hAnsi="Arial"/>
          <w:sz w:val="14"/>
          <w:szCs w:val="14"/>
          <w:color w:val="auto"/>
        </w:rPr>
        <w:t>Ms. Crofts is the Vice Chair of the Client Solutions Group. Ms. Crofts is a member of the Company’s Executive Committee has responsibilities for Information Technology, Enterprise Operations, Digital Channels including online, mobile and the ATM network, the Contact Center, Business Continuity and the Transformation Office.</w:t>
      </w:r>
    </w:p>
    <w:p>
      <w:pPr>
        <w:spacing w:after="0" w:line="127" w:lineRule="exact"/>
        <w:rPr>
          <w:sz w:val="20"/>
          <w:szCs w:val="20"/>
          <w:color w:val="auto"/>
        </w:rPr>
      </w:pPr>
    </w:p>
    <w:p>
      <w:pPr>
        <w:ind w:right="120" w:firstLine="546"/>
        <w:spacing w:after="0" w:line="312" w:lineRule="auto"/>
        <w:rPr>
          <w:sz w:val="20"/>
          <w:szCs w:val="20"/>
          <w:color w:val="auto"/>
        </w:rPr>
      </w:pPr>
      <w:r>
        <w:rPr>
          <w:rFonts w:ascii="Arial" w:cs="Arial" w:eastAsia="Arial" w:hAnsi="Arial"/>
          <w:sz w:val="14"/>
          <w:szCs w:val="14"/>
          <w:color w:val="auto"/>
        </w:rPr>
        <w:t>The Committee discussed Ms. Crofts’ contributions to the Company for 2021. These included successfully managing the transition to a new Chief Information Officer in technology that will take the technology organization to the next level with a much stronger business partnership focus, and leading operational excellence efforts that have included process redesign and centralization, digitization and robotics process automation. In addition, under Ms. Crofts’ leadership, the digital team embarked on transformational efforts for the online and mobile platform. Under newly hired leadership, the Contact Center began a dramatic transformational improvement which is critical in the current and future environment. The Business Continuity area also improved greatly and is better positioned to support the Company as events occur. And lastly, the newly created Transformation Office undertook on supporting several enterprise-wide efforts that will reap many benefits for the Company in the future.</w:t>
      </w:r>
    </w:p>
    <w:p>
      <w:pPr>
        <w:spacing w:after="0" w:line="162" w:lineRule="exact"/>
        <w:rPr>
          <w:sz w:val="20"/>
          <w:szCs w:val="20"/>
          <w:color w:val="auto"/>
        </w:rPr>
      </w:pPr>
    </w:p>
    <w:p>
      <w:pPr>
        <w:ind w:right="400" w:firstLine="546"/>
        <w:spacing w:after="0" w:line="289" w:lineRule="auto"/>
        <w:rPr>
          <w:sz w:val="20"/>
          <w:szCs w:val="20"/>
          <w:color w:val="auto"/>
        </w:rPr>
      </w:pPr>
      <w:r>
        <w:rPr>
          <w:rFonts w:ascii="Arial" w:cs="Arial" w:eastAsia="Arial" w:hAnsi="Arial"/>
          <w:sz w:val="16"/>
          <w:szCs w:val="16"/>
          <w:color w:val="auto"/>
        </w:rPr>
        <w:t>The Committee also discussed that much of the foundational efforts that were undertaken in 2021 by Ms. Crofts and her team have positioned us well for future success in 2022 and beyond.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James C. Polk</w:t>
      </w:r>
    </w:p>
    <w:p>
      <w:pPr>
        <w:spacing w:after="0" w:line="231" w:lineRule="exact"/>
        <w:rPr>
          <w:sz w:val="20"/>
          <w:szCs w:val="20"/>
          <w:color w:val="auto"/>
        </w:rPr>
      </w:pPr>
    </w:p>
    <w:p>
      <w:pPr>
        <w:ind w:right="260" w:firstLine="546"/>
        <w:spacing w:after="0" w:line="301" w:lineRule="auto"/>
        <w:rPr>
          <w:sz w:val="20"/>
          <w:szCs w:val="20"/>
          <w:color w:val="auto"/>
        </w:rPr>
      </w:pPr>
      <w:r>
        <w:rPr>
          <w:rFonts w:ascii="Arial" w:cs="Arial" w:eastAsia="Arial" w:hAnsi="Arial"/>
          <w:sz w:val="15"/>
          <w:szCs w:val="15"/>
          <w:color w:val="auto"/>
        </w:rPr>
        <w:t>Mr. Polk is Vice Chair and Chief Commercial Officer and is a member of the Company’s Executive Committee. Mr. Polk has responsibility for the Company’s Commercial Banking and Wealth Management businesses, as well as its Corporate Real Estate Division, which manages and maintains all of the Bank’s owned and leased real estate facilities. Additionally, Mr. Polk was instrumental in co-leading the Company’s COVID-19 Planning and COVID-19 Re-emergence teams.</w:t>
      </w:r>
    </w:p>
    <w:p>
      <w:pPr>
        <w:spacing w:after="0" w:line="167" w:lineRule="exact"/>
        <w:rPr>
          <w:sz w:val="20"/>
          <w:szCs w:val="20"/>
          <w:color w:val="auto"/>
        </w:rPr>
      </w:pPr>
    </w:p>
    <w:p>
      <w:pPr>
        <w:ind w:firstLine="546"/>
        <w:spacing w:after="0" w:line="270" w:lineRule="auto"/>
        <w:rPr>
          <w:sz w:val="20"/>
          <w:szCs w:val="20"/>
          <w:color w:val="auto"/>
        </w:rPr>
      </w:pPr>
      <w:r>
        <w:rPr>
          <w:rFonts w:ascii="Arial" w:cs="Arial" w:eastAsia="Arial" w:hAnsi="Arial"/>
          <w:sz w:val="16"/>
          <w:szCs w:val="16"/>
          <w:color w:val="auto"/>
        </w:rPr>
        <w:t>The Committee discussed Mr. Polk’s contributions to the Company in 2021 including his role in stepping into and leading the trust and investment businesses through a challenging and transitionary period. In addition to ensuring the Company met its key business and performance goals, Mr. Polk initiated multiple efforts to further enhance the risk management and sales disciplines within the business. Mr. Polk also led the effort to conduct a nationwide search, which culminated in the hiring of new senior executive leadership to oversee Wealth Management.</w:t>
      </w:r>
    </w:p>
    <w:p>
      <w:pPr>
        <w:spacing w:after="0" w:line="188" w:lineRule="exact"/>
        <w:rPr>
          <w:sz w:val="20"/>
          <w:szCs w:val="20"/>
          <w:color w:val="auto"/>
        </w:rPr>
      </w:pPr>
    </w:p>
    <w:p>
      <w:pPr>
        <w:ind w:right="80" w:firstLine="546"/>
        <w:spacing w:after="0" w:line="268" w:lineRule="auto"/>
        <w:rPr>
          <w:sz w:val="20"/>
          <w:szCs w:val="20"/>
          <w:color w:val="auto"/>
        </w:rPr>
      </w:pPr>
      <w:r>
        <w:rPr>
          <w:rFonts w:ascii="Arial" w:cs="Arial" w:eastAsia="Arial" w:hAnsi="Arial"/>
          <w:sz w:val="16"/>
          <w:szCs w:val="16"/>
          <w:color w:val="auto"/>
        </w:rPr>
        <w:t>In connection with his responsibilities for Corporate Real Estate, Mr. Polk led the team’s continued efforts to further enhance the Company’s ability to manage to the unique challenges presented by the ongoing pandemic environment with a priority focus on the safety and well-being of the Company’s employees and customers. This included a number of key initiatives including upgrading air filtration and fresh air circulation throughout the network. This was accomplished while completing the construction of the new Mililani and Kahala Branches, ensuring the timely closure of a number of in-store branches, completing the successful sale of the former Kalihi Branch and the sale and leaseback of the Hagatna Branch.</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Mary E. Sellers</w:t>
      </w:r>
    </w:p>
    <w:p>
      <w:pPr>
        <w:spacing w:after="0" w:line="231" w:lineRule="exact"/>
        <w:rPr>
          <w:sz w:val="20"/>
          <w:szCs w:val="20"/>
          <w:color w:val="auto"/>
        </w:rPr>
      </w:pPr>
    </w:p>
    <w:p>
      <w:pPr>
        <w:ind w:right="20" w:firstLine="546"/>
        <w:spacing w:after="0" w:line="290" w:lineRule="auto"/>
        <w:rPr>
          <w:sz w:val="20"/>
          <w:szCs w:val="20"/>
          <w:color w:val="auto"/>
        </w:rPr>
      </w:pPr>
      <w:r>
        <w:rPr>
          <w:rFonts w:ascii="Arial" w:cs="Arial" w:eastAsia="Arial" w:hAnsi="Arial"/>
          <w:sz w:val="15"/>
          <w:szCs w:val="15"/>
          <w:color w:val="auto"/>
        </w:rPr>
        <w:t>Ms. Sellers serves as the Vice Chair and Chief Risk Officer. In her role, she is responsible for the strategy to manage risk across the Company and is a member of the Company’s Executive Committee, as well as the Chair of the Risk Council, the Commercial and Retail Credit Policy Committees, the Capital and Liquidity Planning Committee, the Operational Risk Committee, the Employee Relations Committee, the Model Risk Committee and the Social Media Governance Committee. Areas reporting to her include Commercial and Retail Credit Administration and Approval, Special Assets, Credit Policy and Training, Enterprise Credit Analytics, Collections and Recovery, Enterprise Risk Management, Model Risk Management, Fiduciary Risk Management and Corporate Compliance.</w:t>
      </w:r>
    </w:p>
    <w:p>
      <w:pPr>
        <w:spacing w:after="0" w:line="175" w:lineRule="exact"/>
        <w:rPr>
          <w:sz w:val="20"/>
          <w:szCs w:val="20"/>
          <w:color w:val="auto"/>
        </w:rPr>
      </w:pPr>
    </w:p>
    <w:p>
      <w:pPr>
        <w:ind w:right="120" w:firstLine="546"/>
        <w:spacing w:after="0" w:line="284" w:lineRule="auto"/>
        <w:rPr>
          <w:sz w:val="20"/>
          <w:szCs w:val="20"/>
          <w:color w:val="auto"/>
        </w:rPr>
      </w:pPr>
      <w:r>
        <w:rPr>
          <w:rFonts w:ascii="Arial" w:cs="Arial" w:eastAsia="Arial" w:hAnsi="Arial"/>
          <w:sz w:val="15"/>
          <w:szCs w:val="15"/>
          <w:color w:val="auto"/>
        </w:rPr>
        <w:t>The Committee noted Ms. Sellers’ diverse and complex areas of responsibilities in critical areas that touch virtually all performance segments of the Company. Specifically, the Committee discussed Ms. Sellers’ performance and accomplishments in 2021 and responsibilities which include ensuring the Company has the appropriate integrated enterprise risk framework and infrastructure to support its strategy and business operations while ensuring risk is managed in accordance with the Risk Appetite established by the Board of Directors. Ms. Sellers successfully led a number of initiatives in 2021. This included continued work with customers that received some form of payment relief or support due to the COVID-19 pandemic. Portfolio management efforts remained focused on managing for the potential impact or outcomes from the COVID-19 pandemic and associated capital planning. Asset quality metrics remained strong; net charge offs for the full year were 0.05% of total average loans and leases outstanding and non-performing assets as a percentage of total loans and leases and foreclosed real estate were 0.15% as of December 31, 2021. As the Company continued to support its customers, Ms. Sellers oversaw risk guidance on lending activities that resulted in quality loan growth of 6.3% in 2021, while also enhancing risk management routines across all lending areas to provide more timely decisions to customers.</w:t>
      </w:r>
    </w:p>
    <w:p>
      <w:pPr>
        <w:spacing w:after="0" w:line="183" w:lineRule="exact"/>
        <w:rPr>
          <w:sz w:val="20"/>
          <w:szCs w:val="20"/>
          <w:color w:val="auto"/>
        </w:rPr>
      </w:pPr>
    </w:p>
    <w:p>
      <w:pPr>
        <w:ind w:firstLine="546"/>
        <w:spacing w:after="0" w:line="268" w:lineRule="auto"/>
        <w:rPr>
          <w:sz w:val="20"/>
          <w:szCs w:val="20"/>
          <w:color w:val="auto"/>
        </w:rPr>
      </w:pPr>
      <w:r>
        <w:rPr>
          <w:rFonts w:ascii="Arial" w:cs="Arial" w:eastAsia="Arial" w:hAnsi="Arial"/>
          <w:sz w:val="16"/>
          <w:szCs w:val="16"/>
          <w:color w:val="auto"/>
        </w:rPr>
        <w:t>The Committee further discussed Ms. Sellers’ success in continuing to refine the Company’s risk management infrastructure to support the Company’s strategic objectives while concurrently addressing emerging areas of risk focus. This included supporting expanded digital banking programs, new application platforms, dynamic product and process enhancements, and new products. Ms. Sellers also continued to display strong leadership in the continued development of key staff members in the Risk group and the successful recruitment of additional staff for leadership roles as part of ongoing succession planning. In addition, Ms. Sellers serves as the executive sponsor for the Company’s Women Inspired Employee Resource Group.</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Committee approved the CEO and the other NEO EIP awards as follows:</w:t>
      </w:r>
    </w:p>
    <w:p>
      <w:pPr>
        <w:spacing w:after="0" w:line="234" w:lineRule="exact"/>
        <w:rPr>
          <w:sz w:val="20"/>
          <w:szCs w:val="20"/>
          <w:color w:val="auto"/>
        </w:rPr>
      </w:pPr>
    </w:p>
    <w:tbl>
      <w:tblPr>
        <w:tblLayout w:type="fixed"/>
        <w:tblInd w:w="570" w:type="dxa"/>
        <w:tblCellMar>
          <w:top w:w="0" w:type="dxa"/>
          <w:left w:w="0" w:type="dxa"/>
          <w:bottom w:w="0" w:type="dxa"/>
          <w:right w:w="0" w:type="dxa"/>
        </w:tblCellMar>
      </w:tblPr>
      <w:tr>
        <w:trPr>
          <w:trHeight w:val="133"/>
        </w:trPr>
        <w:tc>
          <w:tcPr>
            <w:tcW w:w="1920" w:type="dxa"/>
            <w:vAlign w:val="bottom"/>
            <w:tcBorders>
              <w:top w:val="single" w:sz="8" w:color="auto"/>
              <w:left w:val="single" w:sz="8" w:color="auto"/>
            </w:tcBorders>
            <w:shd w:val="clear" w:color="auto" w:fill="086FB7"/>
          </w:tcPr>
          <w:p>
            <w:pPr>
              <w:spacing w:after="0"/>
              <w:rPr>
                <w:sz w:val="11"/>
                <w:szCs w:val="11"/>
                <w:color w:val="auto"/>
              </w:rPr>
            </w:pPr>
          </w:p>
        </w:tc>
        <w:tc>
          <w:tcPr>
            <w:tcW w:w="2200" w:type="dxa"/>
            <w:vAlign w:val="bottom"/>
            <w:tcBorders>
              <w:top w:val="single" w:sz="8" w:color="auto"/>
            </w:tcBorders>
            <w:shd w:val="clear" w:color="auto" w:fill="086FB7"/>
          </w:tcPr>
          <w:p>
            <w:pPr>
              <w:jc w:val="center"/>
              <w:ind w:left="157"/>
              <w:spacing w:after="0"/>
              <w:rPr>
                <w:sz w:val="20"/>
                <w:szCs w:val="20"/>
                <w:color w:val="auto"/>
              </w:rPr>
            </w:pPr>
            <w:r>
              <w:rPr>
                <w:rFonts w:ascii="Arial" w:cs="Arial" w:eastAsia="Arial" w:hAnsi="Arial"/>
                <w:sz w:val="11"/>
                <w:szCs w:val="11"/>
                <w:b w:val="1"/>
                <w:bCs w:val="1"/>
                <w:color w:val="FFFFFF"/>
                <w:w w:val="86"/>
              </w:rPr>
              <w:t>Annual Base</w:t>
            </w:r>
          </w:p>
        </w:tc>
        <w:tc>
          <w:tcPr>
            <w:tcW w:w="1780" w:type="dxa"/>
            <w:vAlign w:val="bottom"/>
            <w:tcBorders>
              <w:top w:val="single" w:sz="8" w:color="auto"/>
            </w:tcBorders>
            <w:shd w:val="clear" w:color="auto" w:fill="086FB7"/>
          </w:tcPr>
          <w:p>
            <w:pPr>
              <w:spacing w:after="0"/>
              <w:rPr>
                <w:sz w:val="11"/>
                <w:szCs w:val="11"/>
                <w:color w:val="auto"/>
              </w:rPr>
            </w:pPr>
          </w:p>
        </w:tc>
        <w:tc>
          <w:tcPr>
            <w:tcW w:w="2360" w:type="dxa"/>
            <w:vAlign w:val="bottom"/>
            <w:tcBorders>
              <w:top w:val="single" w:sz="8" w:color="auto"/>
            </w:tcBorders>
            <w:shd w:val="clear" w:color="auto" w:fill="086FB7"/>
          </w:tcPr>
          <w:p>
            <w:pPr>
              <w:spacing w:after="0"/>
              <w:rPr>
                <w:sz w:val="11"/>
                <w:szCs w:val="11"/>
                <w:color w:val="auto"/>
              </w:rPr>
            </w:pPr>
          </w:p>
        </w:tc>
        <w:tc>
          <w:tcPr>
            <w:tcW w:w="1860" w:type="dxa"/>
            <w:vAlign w:val="bottom"/>
            <w:tcBorders>
              <w:top w:val="single" w:sz="8" w:color="auto"/>
              <w:right w:val="single" w:sz="8" w:color="auto"/>
            </w:tcBorders>
            <w:shd w:val="clear" w:color="auto" w:fill="086FB7"/>
          </w:tcPr>
          <w:p>
            <w:pPr>
              <w:spacing w:after="0"/>
              <w:rPr>
                <w:sz w:val="11"/>
                <w:szCs w:val="11"/>
                <w:color w:val="auto"/>
              </w:rPr>
            </w:pPr>
          </w:p>
        </w:tc>
      </w:tr>
      <w:tr>
        <w:trPr>
          <w:trHeight w:val="120"/>
        </w:trPr>
        <w:tc>
          <w:tcPr>
            <w:tcW w:w="1920" w:type="dxa"/>
            <w:vAlign w:val="bottom"/>
            <w:tcBorders>
              <w:left w:val="single" w:sz="8" w:color="auto"/>
            </w:tcBorders>
            <w:shd w:val="clear" w:color="auto" w:fill="086FB7"/>
          </w:tcPr>
          <w:p>
            <w:pPr>
              <w:spacing w:after="0"/>
              <w:rPr>
                <w:sz w:val="10"/>
                <w:szCs w:val="10"/>
                <w:color w:val="auto"/>
              </w:rPr>
            </w:pPr>
          </w:p>
        </w:tc>
        <w:tc>
          <w:tcPr>
            <w:tcW w:w="2200" w:type="dxa"/>
            <w:vAlign w:val="bottom"/>
            <w:shd w:val="clear" w:color="auto" w:fill="086FB7"/>
          </w:tcPr>
          <w:p>
            <w:pPr>
              <w:jc w:val="center"/>
              <w:ind w:left="177"/>
              <w:spacing w:after="0" w:line="121" w:lineRule="exact"/>
              <w:rPr>
                <w:sz w:val="20"/>
                <w:szCs w:val="20"/>
                <w:color w:val="auto"/>
              </w:rPr>
            </w:pPr>
            <w:r>
              <w:rPr>
                <w:rFonts w:ascii="Arial" w:cs="Arial" w:eastAsia="Arial" w:hAnsi="Arial"/>
                <w:sz w:val="11"/>
                <w:szCs w:val="11"/>
                <w:b w:val="1"/>
                <w:bCs w:val="1"/>
                <w:color w:val="FFFFFF"/>
                <w:w w:val="84"/>
              </w:rPr>
              <w:t>Salary as of</w:t>
            </w:r>
          </w:p>
        </w:tc>
        <w:tc>
          <w:tcPr>
            <w:tcW w:w="1780" w:type="dxa"/>
            <w:vAlign w:val="bottom"/>
            <w:shd w:val="clear" w:color="auto" w:fill="086FB7"/>
          </w:tcPr>
          <w:p>
            <w:pPr>
              <w:spacing w:after="0"/>
              <w:rPr>
                <w:sz w:val="10"/>
                <w:szCs w:val="10"/>
                <w:color w:val="auto"/>
              </w:rPr>
            </w:pPr>
          </w:p>
        </w:tc>
        <w:tc>
          <w:tcPr>
            <w:tcW w:w="2360" w:type="dxa"/>
            <w:vAlign w:val="bottom"/>
            <w:shd w:val="clear" w:color="auto" w:fill="086FB7"/>
          </w:tcPr>
          <w:p>
            <w:pPr>
              <w:jc w:val="center"/>
              <w:spacing w:after="0" w:line="121" w:lineRule="exact"/>
              <w:rPr>
                <w:sz w:val="20"/>
                <w:szCs w:val="20"/>
                <w:color w:val="auto"/>
              </w:rPr>
            </w:pPr>
            <w:r>
              <w:rPr>
                <w:rFonts w:ascii="Arial" w:cs="Arial" w:eastAsia="Arial" w:hAnsi="Arial"/>
                <w:sz w:val="11"/>
                <w:szCs w:val="11"/>
                <w:b w:val="1"/>
                <w:bCs w:val="1"/>
                <w:color w:val="FFFFFF"/>
                <w:w w:val="88"/>
              </w:rPr>
              <w:t>Final Incentive</w:t>
            </w:r>
          </w:p>
        </w:tc>
        <w:tc>
          <w:tcPr>
            <w:tcW w:w="1860" w:type="dxa"/>
            <w:vAlign w:val="bottom"/>
            <w:tcBorders>
              <w:right w:val="single" w:sz="8" w:color="auto"/>
            </w:tcBorders>
            <w:shd w:val="clear" w:color="auto" w:fill="086FB7"/>
          </w:tcPr>
          <w:p>
            <w:pPr>
              <w:spacing w:after="0"/>
              <w:rPr>
                <w:sz w:val="10"/>
                <w:szCs w:val="10"/>
                <w:color w:val="auto"/>
              </w:rPr>
            </w:pPr>
          </w:p>
        </w:tc>
      </w:tr>
      <w:tr>
        <w:trPr>
          <w:trHeight w:val="120"/>
        </w:trPr>
        <w:tc>
          <w:tcPr>
            <w:tcW w:w="1920" w:type="dxa"/>
            <w:vAlign w:val="bottom"/>
            <w:tcBorders>
              <w:left w:val="single" w:sz="8" w:color="auto"/>
            </w:tcBorders>
            <w:shd w:val="clear" w:color="auto" w:fill="086FB7"/>
          </w:tcPr>
          <w:p>
            <w:pPr>
              <w:spacing w:after="0"/>
              <w:rPr>
                <w:sz w:val="10"/>
                <w:szCs w:val="10"/>
                <w:color w:val="auto"/>
              </w:rPr>
            </w:pPr>
          </w:p>
        </w:tc>
        <w:tc>
          <w:tcPr>
            <w:tcW w:w="2200" w:type="dxa"/>
            <w:vAlign w:val="bottom"/>
            <w:shd w:val="clear" w:color="auto" w:fill="086FB7"/>
          </w:tcPr>
          <w:p>
            <w:pPr>
              <w:jc w:val="center"/>
              <w:ind w:left="177"/>
              <w:spacing w:after="0" w:line="121" w:lineRule="exact"/>
              <w:rPr>
                <w:sz w:val="20"/>
                <w:szCs w:val="20"/>
                <w:color w:val="auto"/>
              </w:rPr>
            </w:pPr>
            <w:r>
              <w:rPr>
                <w:rFonts w:ascii="Arial" w:cs="Arial" w:eastAsia="Arial" w:hAnsi="Arial"/>
                <w:sz w:val="11"/>
                <w:szCs w:val="11"/>
                <w:b w:val="1"/>
                <w:bCs w:val="1"/>
                <w:color w:val="FFFFFF"/>
                <w:w w:val="88"/>
              </w:rPr>
              <w:t>December 31, 2021</w:t>
            </w:r>
          </w:p>
        </w:tc>
        <w:tc>
          <w:tcPr>
            <w:tcW w:w="1780" w:type="dxa"/>
            <w:vAlign w:val="bottom"/>
            <w:shd w:val="clear" w:color="auto" w:fill="086FB7"/>
          </w:tcPr>
          <w:p>
            <w:pPr>
              <w:jc w:val="center"/>
              <w:spacing w:after="0" w:line="121" w:lineRule="exact"/>
              <w:rPr>
                <w:sz w:val="20"/>
                <w:szCs w:val="20"/>
                <w:color w:val="auto"/>
              </w:rPr>
            </w:pPr>
            <w:r>
              <w:rPr>
                <w:rFonts w:ascii="Arial" w:cs="Arial" w:eastAsia="Arial" w:hAnsi="Arial"/>
                <w:sz w:val="11"/>
                <w:szCs w:val="11"/>
                <w:b w:val="1"/>
                <w:bCs w:val="1"/>
                <w:color w:val="FFFFFF"/>
                <w:w w:val="89"/>
              </w:rPr>
              <w:t>Target Annual</w:t>
            </w:r>
          </w:p>
        </w:tc>
        <w:tc>
          <w:tcPr>
            <w:tcW w:w="2360" w:type="dxa"/>
            <w:vAlign w:val="bottom"/>
            <w:shd w:val="clear" w:color="auto" w:fill="086FB7"/>
          </w:tcPr>
          <w:p>
            <w:pPr>
              <w:jc w:val="center"/>
              <w:spacing w:after="0" w:line="121" w:lineRule="exact"/>
              <w:rPr>
                <w:sz w:val="20"/>
                <w:szCs w:val="20"/>
                <w:color w:val="auto"/>
              </w:rPr>
            </w:pPr>
            <w:r>
              <w:rPr>
                <w:rFonts w:ascii="Arial" w:cs="Arial" w:eastAsia="Arial" w:hAnsi="Arial"/>
                <w:sz w:val="11"/>
                <w:szCs w:val="11"/>
                <w:b w:val="1"/>
                <w:bCs w:val="1"/>
                <w:color w:val="FFFFFF"/>
                <w:w w:val="87"/>
              </w:rPr>
              <w:t>Payout</w:t>
            </w:r>
          </w:p>
        </w:tc>
        <w:tc>
          <w:tcPr>
            <w:tcW w:w="1860" w:type="dxa"/>
            <w:vAlign w:val="bottom"/>
            <w:tcBorders>
              <w:right w:val="single" w:sz="8" w:color="auto"/>
            </w:tcBorders>
            <w:shd w:val="clear" w:color="auto" w:fill="086FB7"/>
          </w:tcPr>
          <w:p>
            <w:pPr>
              <w:jc w:val="right"/>
              <w:ind w:right="534"/>
              <w:spacing w:after="0" w:line="121" w:lineRule="exact"/>
              <w:rPr>
                <w:sz w:val="20"/>
                <w:szCs w:val="20"/>
                <w:color w:val="auto"/>
              </w:rPr>
            </w:pPr>
            <w:r>
              <w:rPr>
                <w:rFonts w:ascii="Arial" w:cs="Arial" w:eastAsia="Arial" w:hAnsi="Arial"/>
                <w:sz w:val="11"/>
                <w:szCs w:val="11"/>
                <w:b w:val="1"/>
                <w:bCs w:val="1"/>
                <w:color w:val="FFFFFF"/>
              </w:rPr>
              <w:t>Final Incentive</w:t>
            </w:r>
          </w:p>
        </w:tc>
      </w:tr>
      <w:tr>
        <w:trPr>
          <w:trHeight w:val="134"/>
        </w:trPr>
        <w:tc>
          <w:tcPr>
            <w:tcW w:w="1920" w:type="dxa"/>
            <w:vAlign w:val="bottom"/>
            <w:tcBorders>
              <w:left w:val="single" w:sz="8" w:color="auto"/>
              <w:bottom w:val="single" w:sz="8" w:color="auto"/>
            </w:tcBorders>
            <w:shd w:val="clear" w:color="auto" w:fill="086FB7"/>
          </w:tcPr>
          <w:p>
            <w:pPr>
              <w:ind w:left="140"/>
              <w:spacing w:after="0"/>
              <w:rPr>
                <w:sz w:val="20"/>
                <w:szCs w:val="20"/>
                <w:color w:val="auto"/>
              </w:rPr>
            </w:pPr>
            <w:r>
              <w:rPr>
                <w:rFonts w:ascii="Arial" w:cs="Arial" w:eastAsia="Arial" w:hAnsi="Arial"/>
                <w:sz w:val="11"/>
                <w:szCs w:val="11"/>
                <w:b w:val="1"/>
                <w:bCs w:val="1"/>
                <w:color w:val="FFFFFF"/>
              </w:rPr>
              <w:t>Name</w:t>
            </w:r>
          </w:p>
        </w:tc>
        <w:tc>
          <w:tcPr>
            <w:tcW w:w="2200" w:type="dxa"/>
            <w:vAlign w:val="bottom"/>
            <w:tcBorders>
              <w:bottom w:val="single" w:sz="8" w:color="auto"/>
            </w:tcBorders>
            <w:shd w:val="clear" w:color="auto" w:fill="086FB7"/>
          </w:tcPr>
          <w:p>
            <w:pPr>
              <w:jc w:val="center"/>
              <w:ind w:left="177"/>
              <w:spacing w:after="0"/>
              <w:rPr>
                <w:sz w:val="20"/>
                <w:szCs w:val="20"/>
                <w:color w:val="auto"/>
              </w:rPr>
            </w:pPr>
            <w:r>
              <w:rPr>
                <w:rFonts w:ascii="Arial" w:cs="Arial" w:eastAsia="Arial" w:hAnsi="Arial"/>
                <w:sz w:val="11"/>
                <w:szCs w:val="11"/>
                <w:b w:val="1"/>
                <w:bCs w:val="1"/>
                <w:color w:val="FFFFFF"/>
                <w:w w:val="88"/>
              </w:rPr>
              <w:t>($)</w:t>
            </w:r>
          </w:p>
        </w:tc>
        <w:tc>
          <w:tcPr>
            <w:tcW w:w="1780" w:type="dxa"/>
            <w:vAlign w:val="bottom"/>
            <w:tcBorders>
              <w:bottom w:val="single" w:sz="8" w:color="auto"/>
            </w:tcBorders>
            <w:shd w:val="clear" w:color="auto" w:fill="086FB7"/>
          </w:tcPr>
          <w:p>
            <w:pPr>
              <w:jc w:val="center"/>
              <w:spacing w:after="0"/>
              <w:rPr>
                <w:sz w:val="20"/>
                <w:szCs w:val="20"/>
                <w:color w:val="auto"/>
              </w:rPr>
            </w:pPr>
            <w:r>
              <w:rPr>
                <w:rFonts w:ascii="Arial" w:cs="Arial" w:eastAsia="Arial" w:hAnsi="Arial"/>
                <w:sz w:val="11"/>
                <w:szCs w:val="11"/>
                <w:b w:val="1"/>
                <w:bCs w:val="1"/>
                <w:color w:val="FFFFFF"/>
                <w:w w:val="87"/>
              </w:rPr>
              <w:t>Incentive</w:t>
            </w:r>
          </w:p>
        </w:tc>
        <w:tc>
          <w:tcPr>
            <w:tcW w:w="2360" w:type="dxa"/>
            <w:vAlign w:val="bottom"/>
            <w:tcBorders>
              <w:bottom w:val="single" w:sz="8" w:color="auto"/>
            </w:tcBorders>
            <w:shd w:val="clear" w:color="auto" w:fill="086FB7"/>
          </w:tcPr>
          <w:p>
            <w:pPr>
              <w:jc w:val="center"/>
              <w:spacing w:after="0"/>
              <w:rPr>
                <w:sz w:val="20"/>
                <w:szCs w:val="20"/>
                <w:color w:val="auto"/>
              </w:rPr>
            </w:pPr>
            <w:r>
              <w:rPr>
                <w:rFonts w:ascii="Arial" w:cs="Arial" w:eastAsia="Arial" w:hAnsi="Arial"/>
                <w:sz w:val="11"/>
                <w:szCs w:val="11"/>
                <w:b w:val="1"/>
                <w:bCs w:val="1"/>
                <w:color w:val="FFFFFF"/>
                <w:w w:val="89"/>
              </w:rPr>
              <w:t>(% of Annual Base Salary)</w:t>
            </w:r>
          </w:p>
        </w:tc>
        <w:tc>
          <w:tcPr>
            <w:tcW w:w="1860" w:type="dxa"/>
            <w:vAlign w:val="bottom"/>
            <w:tcBorders>
              <w:bottom w:val="single" w:sz="8" w:color="auto"/>
              <w:right w:val="single" w:sz="8" w:color="auto"/>
            </w:tcBorders>
            <w:shd w:val="clear" w:color="auto" w:fill="086FB7"/>
          </w:tcPr>
          <w:p>
            <w:pPr>
              <w:jc w:val="right"/>
              <w:ind w:right="654"/>
              <w:spacing w:after="0"/>
              <w:rPr>
                <w:sz w:val="20"/>
                <w:szCs w:val="20"/>
                <w:color w:val="auto"/>
              </w:rPr>
            </w:pPr>
            <w:r>
              <w:rPr>
                <w:rFonts w:ascii="Arial" w:cs="Arial" w:eastAsia="Arial" w:hAnsi="Arial"/>
                <w:sz w:val="11"/>
                <w:szCs w:val="11"/>
                <w:b w:val="1"/>
                <w:bCs w:val="1"/>
                <w:color w:val="FFFFFF"/>
              </w:rPr>
              <w:t>Award ($)</w:t>
            </w:r>
          </w:p>
        </w:tc>
      </w:tr>
      <w:tr>
        <w:trPr>
          <w:trHeight w:val="149"/>
        </w:trPr>
        <w:tc>
          <w:tcPr>
            <w:tcW w:w="19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Peter S. Ho</w:t>
            </w:r>
          </w:p>
        </w:tc>
        <w:tc>
          <w:tcPr>
            <w:tcW w:w="2200" w:type="dxa"/>
            <w:vAlign w:val="bottom"/>
          </w:tcPr>
          <w:p>
            <w:pPr>
              <w:jc w:val="right"/>
              <w:ind w:right="637"/>
              <w:spacing w:after="0" w:line="149" w:lineRule="exact"/>
              <w:rPr>
                <w:sz w:val="20"/>
                <w:szCs w:val="20"/>
                <w:color w:val="auto"/>
              </w:rPr>
            </w:pPr>
            <w:r>
              <w:rPr>
                <w:rFonts w:ascii="Arial" w:cs="Arial" w:eastAsia="Arial" w:hAnsi="Arial"/>
                <w:sz w:val="14"/>
                <w:szCs w:val="14"/>
                <w:color w:val="auto"/>
              </w:rPr>
              <w:t>860,000</w:t>
            </w: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89"/>
              </w:rPr>
              <w:t>100%</w:t>
            </w:r>
          </w:p>
        </w:tc>
        <w:tc>
          <w:tcPr>
            <w:tcW w:w="2360" w:type="dxa"/>
            <w:vAlign w:val="bottom"/>
          </w:tcPr>
          <w:p>
            <w:pPr>
              <w:jc w:val="center"/>
              <w:spacing w:after="0" w:line="149" w:lineRule="exact"/>
              <w:rPr>
                <w:sz w:val="20"/>
                <w:szCs w:val="20"/>
                <w:color w:val="auto"/>
              </w:rPr>
            </w:pPr>
            <w:r>
              <w:rPr>
                <w:rFonts w:ascii="Arial" w:cs="Arial" w:eastAsia="Arial" w:hAnsi="Arial"/>
                <w:sz w:val="14"/>
                <w:szCs w:val="14"/>
                <w:color w:val="auto"/>
                <w:w w:val="89"/>
              </w:rPr>
              <w:t>250%</w:t>
            </w:r>
          </w:p>
        </w:tc>
        <w:tc>
          <w:tcPr>
            <w:tcW w:w="1860" w:type="dxa"/>
            <w:vAlign w:val="bottom"/>
            <w:tcBorders>
              <w:right w:val="single" w:sz="8" w:color="auto"/>
            </w:tcBorders>
          </w:tcPr>
          <w:p>
            <w:pPr>
              <w:jc w:val="right"/>
              <w:ind w:right="54"/>
              <w:spacing w:after="0" w:line="149" w:lineRule="exact"/>
              <w:rPr>
                <w:sz w:val="20"/>
                <w:szCs w:val="20"/>
                <w:color w:val="auto"/>
              </w:rPr>
            </w:pPr>
            <w:r>
              <w:rPr>
                <w:rFonts w:ascii="Arial" w:cs="Arial" w:eastAsia="Arial" w:hAnsi="Arial"/>
                <w:sz w:val="14"/>
                <w:szCs w:val="14"/>
                <w:color w:val="auto"/>
              </w:rPr>
              <w:t>2,150,000</w:t>
            </w:r>
          </w:p>
        </w:tc>
      </w:tr>
      <w:tr>
        <w:trPr>
          <w:trHeight w:val="160"/>
        </w:trPr>
        <w:tc>
          <w:tcPr>
            <w:tcW w:w="19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Dean Y. Shigemura</w:t>
            </w:r>
          </w:p>
        </w:tc>
        <w:tc>
          <w:tcPr>
            <w:tcW w:w="2200" w:type="dxa"/>
            <w:vAlign w:val="bottom"/>
          </w:tcPr>
          <w:p>
            <w:pPr>
              <w:jc w:val="right"/>
              <w:ind w:right="637"/>
              <w:spacing w:after="0"/>
              <w:rPr>
                <w:sz w:val="20"/>
                <w:szCs w:val="20"/>
                <w:color w:val="auto"/>
              </w:rPr>
            </w:pPr>
            <w:r>
              <w:rPr>
                <w:rFonts w:ascii="Arial" w:cs="Arial" w:eastAsia="Arial" w:hAnsi="Arial"/>
                <w:sz w:val="14"/>
                <w:szCs w:val="14"/>
                <w:color w:val="auto"/>
              </w:rPr>
              <w:t>435,000</w:t>
            </w:r>
          </w:p>
        </w:tc>
        <w:tc>
          <w:tcPr>
            <w:tcW w:w="1780" w:type="dxa"/>
            <w:vAlign w:val="bottom"/>
          </w:tcPr>
          <w:p>
            <w:pPr>
              <w:jc w:val="center"/>
              <w:spacing w:after="0"/>
              <w:rPr>
                <w:sz w:val="20"/>
                <w:szCs w:val="20"/>
                <w:color w:val="auto"/>
              </w:rPr>
            </w:pPr>
            <w:r>
              <w:rPr>
                <w:rFonts w:ascii="Arial" w:cs="Arial" w:eastAsia="Arial" w:hAnsi="Arial"/>
                <w:sz w:val="14"/>
                <w:szCs w:val="14"/>
                <w:color w:val="auto"/>
                <w:w w:val="92"/>
              </w:rPr>
              <w:t>80%</w:t>
            </w:r>
          </w:p>
        </w:tc>
        <w:tc>
          <w:tcPr>
            <w:tcW w:w="2360" w:type="dxa"/>
            <w:vAlign w:val="bottom"/>
          </w:tcPr>
          <w:p>
            <w:pPr>
              <w:jc w:val="center"/>
              <w:spacing w:after="0"/>
              <w:rPr>
                <w:sz w:val="20"/>
                <w:szCs w:val="20"/>
                <w:color w:val="auto"/>
              </w:rPr>
            </w:pPr>
            <w:r>
              <w:rPr>
                <w:rFonts w:ascii="Arial" w:cs="Arial" w:eastAsia="Arial" w:hAnsi="Arial"/>
                <w:sz w:val="14"/>
                <w:szCs w:val="14"/>
                <w:color w:val="auto"/>
                <w:w w:val="89"/>
              </w:rPr>
              <w:t>149%</w:t>
            </w:r>
          </w:p>
        </w:tc>
        <w:tc>
          <w:tcPr>
            <w:tcW w:w="1860" w:type="dxa"/>
            <w:vAlign w:val="bottom"/>
            <w:tcBorders>
              <w:right w:val="single" w:sz="8" w:color="auto"/>
            </w:tcBorders>
          </w:tcPr>
          <w:p>
            <w:pPr>
              <w:jc w:val="right"/>
              <w:ind w:right="54"/>
              <w:spacing w:after="0"/>
              <w:rPr>
                <w:sz w:val="20"/>
                <w:szCs w:val="20"/>
                <w:color w:val="auto"/>
              </w:rPr>
            </w:pPr>
            <w:r>
              <w:rPr>
                <w:rFonts w:ascii="Arial" w:cs="Arial" w:eastAsia="Arial" w:hAnsi="Arial"/>
                <w:sz w:val="14"/>
                <w:szCs w:val="14"/>
                <w:color w:val="auto"/>
              </w:rPr>
              <w:t>650,000</w:t>
            </w:r>
          </w:p>
        </w:tc>
      </w:tr>
      <w:tr>
        <w:trPr>
          <w:trHeight w:val="160"/>
        </w:trPr>
        <w:tc>
          <w:tcPr>
            <w:tcW w:w="19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Sharon M. Crofts</w:t>
            </w:r>
          </w:p>
        </w:tc>
        <w:tc>
          <w:tcPr>
            <w:tcW w:w="2200" w:type="dxa"/>
            <w:vAlign w:val="bottom"/>
          </w:tcPr>
          <w:p>
            <w:pPr>
              <w:jc w:val="right"/>
              <w:ind w:right="637"/>
              <w:spacing w:after="0"/>
              <w:rPr>
                <w:sz w:val="20"/>
                <w:szCs w:val="20"/>
                <w:color w:val="auto"/>
              </w:rPr>
            </w:pPr>
            <w:r>
              <w:rPr>
                <w:rFonts w:ascii="Arial" w:cs="Arial" w:eastAsia="Arial" w:hAnsi="Arial"/>
                <w:sz w:val="14"/>
                <w:szCs w:val="14"/>
                <w:color w:val="auto"/>
              </w:rPr>
              <w:t>435,000</w:t>
            </w:r>
          </w:p>
        </w:tc>
        <w:tc>
          <w:tcPr>
            <w:tcW w:w="1780" w:type="dxa"/>
            <w:vAlign w:val="bottom"/>
          </w:tcPr>
          <w:p>
            <w:pPr>
              <w:jc w:val="center"/>
              <w:spacing w:after="0"/>
              <w:rPr>
                <w:sz w:val="20"/>
                <w:szCs w:val="20"/>
                <w:color w:val="auto"/>
              </w:rPr>
            </w:pPr>
            <w:r>
              <w:rPr>
                <w:rFonts w:ascii="Arial" w:cs="Arial" w:eastAsia="Arial" w:hAnsi="Arial"/>
                <w:sz w:val="14"/>
                <w:szCs w:val="14"/>
                <w:color w:val="auto"/>
                <w:w w:val="92"/>
              </w:rPr>
              <w:t>80%</w:t>
            </w:r>
          </w:p>
        </w:tc>
        <w:tc>
          <w:tcPr>
            <w:tcW w:w="2360" w:type="dxa"/>
            <w:vAlign w:val="bottom"/>
          </w:tcPr>
          <w:p>
            <w:pPr>
              <w:jc w:val="center"/>
              <w:spacing w:after="0"/>
              <w:rPr>
                <w:sz w:val="20"/>
                <w:szCs w:val="20"/>
                <w:color w:val="auto"/>
              </w:rPr>
            </w:pPr>
            <w:r>
              <w:rPr>
                <w:rFonts w:ascii="Arial" w:cs="Arial" w:eastAsia="Arial" w:hAnsi="Arial"/>
                <w:sz w:val="14"/>
                <w:szCs w:val="14"/>
                <w:color w:val="auto"/>
                <w:w w:val="89"/>
              </w:rPr>
              <w:t>149%</w:t>
            </w:r>
          </w:p>
        </w:tc>
        <w:tc>
          <w:tcPr>
            <w:tcW w:w="1860" w:type="dxa"/>
            <w:vAlign w:val="bottom"/>
            <w:tcBorders>
              <w:right w:val="single" w:sz="8" w:color="auto"/>
            </w:tcBorders>
          </w:tcPr>
          <w:p>
            <w:pPr>
              <w:jc w:val="right"/>
              <w:ind w:right="54"/>
              <w:spacing w:after="0"/>
              <w:rPr>
                <w:sz w:val="20"/>
                <w:szCs w:val="20"/>
                <w:color w:val="auto"/>
              </w:rPr>
            </w:pPr>
            <w:r>
              <w:rPr>
                <w:rFonts w:ascii="Arial" w:cs="Arial" w:eastAsia="Arial" w:hAnsi="Arial"/>
                <w:sz w:val="14"/>
                <w:szCs w:val="14"/>
                <w:color w:val="auto"/>
              </w:rPr>
              <w:t>650,000</w:t>
            </w:r>
          </w:p>
        </w:tc>
      </w:tr>
      <w:tr>
        <w:trPr>
          <w:trHeight w:val="160"/>
        </w:trPr>
        <w:tc>
          <w:tcPr>
            <w:tcW w:w="19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James C. Polk</w:t>
            </w:r>
          </w:p>
        </w:tc>
        <w:tc>
          <w:tcPr>
            <w:tcW w:w="2200" w:type="dxa"/>
            <w:vAlign w:val="bottom"/>
          </w:tcPr>
          <w:p>
            <w:pPr>
              <w:jc w:val="right"/>
              <w:ind w:right="637"/>
              <w:spacing w:after="0"/>
              <w:rPr>
                <w:sz w:val="20"/>
                <w:szCs w:val="20"/>
                <w:color w:val="auto"/>
              </w:rPr>
            </w:pPr>
            <w:r>
              <w:rPr>
                <w:rFonts w:ascii="Arial" w:cs="Arial" w:eastAsia="Arial" w:hAnsi="Arial"/>
                <w:sz w:val="14"/>
                <w:szCs w:val="14"/>
                <w:color w:val="auto"/>
              </w:rPr>
              <w:t>435,000</w:t>
            </w:r>
          </w:p>
        </w:tc>
        <w:tc>
          <w:tcPr>
            <w:tcW w:w="1780" w:type="dxa"/>
            <w:vAlign w:val="bottom"/>
          </w:tcPr>
          <w:p>
            <w:pPr>
              <w:jc w:val="center"/>
              <w:spacing w:after="0"/>
              <w:rPr>
                <w:sz w:val="20"/>
                <w:szCs w:val="20"/>
                <w:color w:val="auto"/>
              </w:rPr>
            </w:pPr>
            <w:r>
              <w:rPr>
                <w:rFonts w:ascii="Arial" w:cs="Arial" w:eastAsia="Arial" w:hAnsi="Arial"/>
                <w:sz w:val="14"/>
                <w:szCs w:val="14"/>
                <w:color w:val="auto"/>
                <w:w w:val="92"/>
              </w:rPr>
              <w:t>80%</w:t>
            </w:r>
          </w:p>
        </w:tc>
        <w:tc>
          <w:tcPr>
            <w:tcW w:w="2360" w:type="dxa"/>
            <w:vAlign w:val="bottom"/>
          </w:tcPr>
          <w:p>
            <w:pPr>
              <w:jc w:val="center"/>
              <w:spacing w:after="0"/>
              <w:rPr>
                <w:sz w:val="20"/>
                <w:szCs w:val="20"/>
                <w:color w:val="auto"/>
              </w:rPr>
            </w:pPr>
            <w:r>
              <w:rPr>
                <w:rFonts w:ascii="Arial" w:cs="Arial" w:eastAsia="Arial" w:hAnsi="Arial"/>
                <w:sz w:val="14"/>
                <w:szCs w:val="14"/>
                <w:color w:val="auto"/>
                <w:w w:val="89"/>
              </w:rPr>
              <w:t>149%</w:t>
            </w:r>
          </w:p>
        </w:tc>
        <w:tc>
          <w:tcPr>
            <w:tcW w:w="1860" w:type="dxa"/>
            <w:vAlign w:val="bottom"/>
            <w:tcBorders>
              <w:right w:val="single" w:sz="8" w:color="auto"/>
            </w:tcBorders>
          </w:tcPr>
          <w:p>
            <w:pPr>
              <w:jc w:val="right"/>
              <w:ind w:right="54"/>
              <w:spacing w:after="0"/>
              <w:rPr>
                <w:sz w:val="20"/>
                <w:szCs w:val="20"/>
                <w:color w:val="auto"/>
              </w:rPr>
            </w:pPr>
            <w:r>
              <w:rPr>
                <w:rFonts w:ascii="Arial" w:cs="Arial" w:eastAsia="Arial" w:hAnsi="Arial"/>
                <w:sz w:val="14"/>
                <w:szCs w:val="14"/>
                <w:color w:val="auto"/>
              </w:rPr>
              <w:t>650,000</w:t>
            </w:r>
          </w:p>
        </w:tc>
      </w:tr>
      <w:tr>
        <w:trPr>
          <w:trHeight w:val="166"/>
        </w:trPr>
        <w:tc>
          <w:tcPr>
            <w:tcW w:w="19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Mary E. Sellers</w:t>
            </w:r>
          </w:p>
        </w:tc>
        <w:tc>
          <w:tcPr>
            <w:tcW w:w="22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color w:val="auto"/>
              </w:rPr>
              <w:t>436,000</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80%</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149%</w:t>
            </w:r>
          </w:p>
        </w:tc>
        <w:tc>
          <w:tcPr>
            <w:tcW w:w="1860" w:type="dxa"/>
            <w:vAlign w:val="bottom"/>
            <w:tcBorders>
              <w:bottom w:val="single" w:sz="8" w:color="auto"/>
              <w:right w:val="single" w:sz="8" w:color="auto"/>
            </w:tcBorders>
          </w:tcPr>
          <w:p>
            <w:pPr>
              <w:jc w:val="right"/>
              <w:ind w:right="54"/>
              <w:spacing w:after="0"/>
              <w:rPr>
                <w:sz w:val="20"/>
                <w:szCs w:val="20"/>
                <w:color w:val="auto"/>
              </w:rPr>
            </w:pPr>
            <w:r>
              <w:rPr>
                <w:rFonts w:ascii="Arial" w:cs="Arial" w:eastAsia="Arial" w:hAnsi="Arial"/>
                <w:sz w:val="14"/>
                <w:szCs w:val="14"/>
                <w:color w:val="auto"/>
              </w:rPr>
              <w:t>650,000</w:t>
            </w: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2021 Long-Term Incentive Compensation - Threshold, Target and Maximum Performance Levels</w:t>
      </w:r>
    </w:p>
    <w:p>
      <w:pPr>
        <w:spacing w:after="0" w:line="235" w:lineRule="exact"/>
        <w:rPr>
          <w:sz w:val="20"/>
          <w:szCs w:val="20"/>
          <w:color w:val="auto"/>
        </w:rPr>
      </w:pPr>
    </w:p>
    <w:p>
      <w:pPr>
        <w:ind w:right="120" w:firstLine="546"/>
        <w:spacing w:after="0" w:line="268" w:lineRule="auto"/>
        <w:rPr>
          <w:sz w:val="20"/>
          <w:szCs w:val="20"/>
          <w:color w:val="auto"/>
        </w:rPr>
      </w:pPr>
      <w:r>
        <w:rPr>
          <w:rFonts w:ascii="Arial" w:cs="Arial" w:eastAsia="Arial" w:hAnsi="Arial"/>
          <w:sz w:val="16"/>
          <w:szCs w:val="16"/>
          <w:color w:val="auto"/>
        </w:rPr>
        <w:t>In setting the CEO's and other NEOs' long-term incentive compensation, the Committee considered, among other factors, Company performance, shareholder value creation, the competitive marketplace, the awards given in past years, peer group analysis and other market factors. In applying these factors, the Committee determined the number of performance shares to be awarded under the 2021- 2023 long-term incentive plan to the CEO and other NEOs, as described in the Grants of Plan-Based Awards table on page 60. The Company’s 2021- 2023 long-term incentive plan is 100% performance-based and awarded in the form of performance shares with a three-year cliff vesting schedule.</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plan requires achievement of a three-year sustained performance period with performance metrics and hurdles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161290</wp:posOffset>
            </wp:positionV>
            <wp:extent cx="6207760" cy="11042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07760" cy="1104265"/>
                    </a:xfrm>
                    <a:prstGeom prst="rect">
                      <a:avLst/>
                    </a:prstGeom>
                    <a:noFill/>
                  </pic:spPr>
                </pic:pic>
              </a:graphicData>
            </a:graphic>
          </wp:anchor>
        </w:drawing>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FFFFFF"/>
        </w:rPr>
        <w:t>2021 Design Elements</w:t>
      </w:r>
    </w:p>
    <w:p>
      <w:pPr>
        <w:spacing w:after="0" w:line="42" w:lineRule="exact"/>
        <w:rPr>
          <w:sz w:val="20"/>
          <w:szCs w:val="20"/>
          <w:color w:val="auto"/>
        </w:rPr>
      </w:pPr>
    </w:p>
    <w:p>
      <w:pPr>
        <w:ind w:left="920" w:hanging="117"/>
        <w:spacing w:after="0"/>
        <w:tabs>
          <w:tab w:leader="none" w:pos="920" w:val="left"/>
        </w:tabs>
        <w:numPr>
          <w:ilvl w:val="1"/>
          <w:numId w:val="75"/>
        </w:numPr>
        <w:rPr>
          <w:rFonts w:ascii="Arial" w:cs="Arial" w:eastAsia="Arial" w:hAnsi="Arial"/>
          <w:sz w:val="14"/>
          <w:szCs w:val="14"/>
          <w:color w:val="auto"/>
        </w:rPr>
      </w:pPr>
      <w:r>
        <w:rPr>
          <w:rFonts w:ascii="Arial" w:cs="Arial" w:eastAsia="Arial" w:hAnsi="Arial"/>
          <w:sz w:val="14"/>
          <w:szCs w:val="14"/>
          <w:color w:val="auto"/>
        </w:rPr>
        <w:t>Three-year plan</w:t>
      </w:r>
    </w:p>
    <w:p>
      <w:pPr>
        <w:ind w:left="920" w:hanging="117"/>
        <w:spacing w:after="0" w:line="219" w:lineRule="auto"/>
        <w:tabs>
          <w:tab w:leader="none" w:pos="920" w:val="left"/>
        </w:tabs>
        <w:numPr>
          <w:ilvl w:val="1"/>
          <w:numId w:val="75"/>
        </w:numPr>
        <w:rPr>
          <w:rFonts w:ascii="Arial" w:cs="Arial" w:eastAsia="Arial" w:hAnsi="Arial"/>
          <w:sz w:val="14"/>
          <w:szCs w:val="14"/>
          <w:color w:val="auto"/>
        </w:rPr>
      </w:pPr>
      <w:r>
        <w:rPr>
          <w:rFonts w:ascii="Arial" w:cs="Arial" w:eastAsia="Arial" w:hAnsi="Arial"/>
          <w:sz w:val="14"/>
          <w:szCs w:val="14"/>
          <w:color w:val="auto"/>
        </w:rPr>
        <w:t>Three-year sustained performance period</w:t>
      </w:r>
    </w:p>
    <w:p>
      <w:pPr>
        <w:ind w:left="920" w:hanging="117"/>
        <w:spacing w:after="0" w:line="219" w:lineRule="auto"/>
        <w:tabs>
          <w:tab w:leader="none" w:pos="920" w:val="left"/>
        </w:tabs>
        <w:numPr>
          <w:ilvl w:val="1"/>
          <w:numId w:val="75"/>
        </w:numPr>
        <w:rPr>
          <w:rFonts w:ascii="Arial" w:cs="Arial" w:eastAsia="Arial" w:hAnsi="Arial"/>
          <w:sz w:val="14"/>
          <w:szCs w:val="14"/>
          <w:color w:val="auto"/>
        </w:rPr>
      </w:pPr>
      <w:r>
        <w:rPr>
          <w:rFonts w:ascii="Arial" w:cs="Arial" w:eastAsia="Arial" w:hAnsi="Arial"/>
          <w:sz w:val="14"/>
          <w:szCs w:val="14"/>
          <w:color w:val="auto"/>
        </w:rPr>
        <w:t>Three-year cliff vesting</w:t>
      </w:r>
    </w:p>
    <w:p>
      <w:pPr>
        <w:ind w:left="920" w:hanging="117"/>
        <w:spacing w:after="0" w:line="219" w:lineRule="auto"/>
        <w:tabs>
          <w:tab w:leader="none" w:pos="920" w:val="left"/>
        </w:tabs>
        <w:numPr>
          <w:ilvl w:val="1"/>
          <w:numId w:val="75"/>
        </w:numPr>
        <w:rPr>
          <w:rFonts w:ascii="Arial" w:cs="Arial" w:eastAsia="Arial" w:hAnsi="Arial"/>
          <w:sz w:val="14"/>
          <w:szCs w:val="14"/>
          <w:color w:val="auto"/>
        </w:rPr>
      </w:pPr>
      <w:r>
        <w:rPr>
          <w:rFonts w:ascii="Arial" w:cs="Arial" w:eastAsia="Arial" w:hAnsi="Arial"/>
          <w:sz w:val="14"/>
          <w:szCs w:val="14"/>
          <w:color w:val="auto"/>
        </w:rPr>
        <w:t>100% quantitative performance metrics</w:t>
      </w:r>
    </w:p>
    <w:p>
      <w:pPr>
        <w:ind w:left="1160" w:hanging="116"/>
        <w:spacing w:after="0" w:line="219" w:lineRule="auto"/>
        <w:tabs>
          <w:tab w:leader="none" w:pos="1160" w:val="left"/>
        </w:tabs>
        <w:numPr>
          <w:ilvl w:val="2"/>
          <w:numId w:val="75"/>
        </w:numPr>
        <w:rPr>
          <w:rFonts w:ascii="Arial" w:cs="Arial" w:eastAsia="Arial" w:hAnsi="Arial"/>
          <w:sz w:val="14"/>
          <w:szCs w:val="14"/>
          <w:color w:val="auto"/>
        </w:rPr>
      </w:pPr>
      <w:r>
        <w:rPr>
          <w:rFonts w:ascii="Arial" w:cs="Arial" w:eastAsia="Arial" w:hAnsi="Arial"/>
          <w:sz w:val="14"/>
          <w:szCs w:val="14"/>
          <w:color w:val="auto"/>
        </w:rPr>
        <w:t>Two performance metrics set at challenging levels relative to peers* weighted as follows:</w:t>
      </w:r>
    </w:p>
    <w:p>
      <w:pPr>
        <w:ind w:left="1400" w:hanging="115"/>
        <w:spacing w:after="0" w:line="219" w:lineRule="auto"/>
        <w:tabs>
          <w:tab w:leader="none" w:pos="1400" w:val="left"/>
        </w:tabs>
        <w:numPr>
          <w:ilvl w:val="3"/>
          <w:numId w:val="75"/>
        </w:numPr>
        <w:rPr>
          <w:rFonts w:ascii="Arial" w:cs="Arial" w:eastAsia="Arial" w:hAnsi="Arial"/>
          <w:sz w:val="14"/>
          <w:szCs w:val="14"/>
          <w:color w:val="auto"/>
        </w:rPr>
      </w:pPr>
      <w:r>
        <w:rPr>
          <w:rFonts w:ascii="Arial" w:cs="Arial" w:eastAsia="Arial" w:hAnsi="Arial"/>
          <w:sz w:val="14"/>
          <w:szCs w:val="14"/>
          <w:color w:val="auto"/>
        </w:rPr>
        <w:t>Return-on-Common-Equity (50%); and</w:t>
      </w:r>
    </w:p>
    <w:p>
      <w:pPr>
        <w:ind w:left="1400" w:hanging="115"/>
        <w:spacing w:after="0" w:line="219" w:lineRule="auto"/>
        <w:tabs>
          <w:tab w:leader="none" w:pos="1400" w:val="left"/>
        </w:tabs>
        <w:numPr>
          <w:ilvl w:val="3"/>
          <w:numId w:val="75"/>
        </w:numPr>
        <w:rPr>
          <w:rFonts w:ascii="Arial" w:cs="Arial" w:eastAsia="Arial" w:hAnsi="Arial"/>
          <w:sz w:val="14"/>
          <w:szCs w:val="14"/>
          <w:color w:val="auto"/>
        </w:rPr>
      </w:pPr>
      <w:r>
        <w:rPr>
          <w:rFonts w:ascii="Arial" w:cs="Arial" w:eastAsia="Arial" w:hAnsi="Arial"/>
          <w:sz w:val="14"/>
          <w:szCs w:val="14"/>
          <w:color w:val="auto"/>
        </w:rPr>
        <w:t>Stock Price-to-Book Ratio (50%).</w:t>
      </w:r>
    </w:p>
    <w:p>
      <w:pPr>
        <w:ind w:left="920" w:hanging="117"/>
        <w:spacing w:after="0" w:line="219" w:lineRule="auto"/>
        <w:tabs>
          <w:tab w:leader="none" w:pos="920" w:val="left"/>
        </w:tabs>
        <w:numPr>
          <w:ilvl w:val="1"/>
          <w:numId w:val="75"/>
        </w:numPr>
        <w:rPr>
          <w:rFonts w:ascii="Arial" w:cs="Arial" w:eastAsia="Arial" w:hAnsi="Arial"/>
          <w:sz w:val="14"/>
          <w:szCs w:val="14"/>
          <w:color w:val="auto"/>
        </w:rPr>
      </w:pPr>
      <w:r>
        <w:rPr>
          <w:rFonts w:ascii="Arial" w:cs="Arial" w:eastAsia="Arial" w:hAnsi="Arial"/>
          <w:sz w:val="14"/>
          <w:szCs w:val="14"/>
          <w:color w:val="auto"/>
        </w:rPr>
        <w:t>To achieve full payout, top quartile performance in Return-on-Common-Equity and Stock Price-to-Book Ratio must occur</w:t>
      </w:r>
    </w:p>
    <w:p>
      <w:pPr>
        <w:ind w:left="920" w:hanging="117"/>
        <w:spacing w:after="0"/>
        <w:tabs>
          <w:tab w:leader="none" w:pos="920" w:val="left"/>
        </w:tabs>
        <w:numPr>
          <w:ilvl w:val="1"/>
          <w:numId w:val="75"/>
        </w:numPr>
        <w:rPr>
          <w:rFonts w:ascii="Arial" w:cs="Arial" w:eastAsia="Arial" w:hAnsi="Arial"/>
          <w:sz w:val="14"/>
          <w:szCs w:val="14"/>
          <w:color w:val="auto"/>
        </w:rPr>
      </w:pPr>
      <w:r>
        <w:rPr>
          <w:rFonts w:ascii="Arial" w:cs="Arial" w:eastAsia="Arial" w:hAnsi="Arial"/>
          <w:sz w:val="14"/>
          <w:szCs w:val="14"/>
          <w:color w:val="auto"/>
        </w:rPr>
        <w:t>To achieve any payout, top two quartile performance must occur with the actual payout determined by performance and metric weighting</w:t>
      </w:r>
    </w:p>
    <w:p>
      <w:pPr>
        <w:spacing w:after="0" w:line="249"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3"/>
          <w:szCs w:val="13"/>
          <w:color w:val="auto"/>
        </w:rPr>
        <w:t>*</w:t>
      </w:r>
      <w:r>
        <w:rPr>
          <w:rFonts w:ascii="Arial" w:cs="Arial" w:eastAsia="Arial" w:hAnsi="Arial"/>
          <w:sz w:val="12"/>
          <w:szCs w:val="12"/>
          <w:color w:val="auto"/>
        </w:rPr>
        <w:t>S&amp;P Supercomposite Regional Bank Index (excluding banks with assets &gt; $50.0 billion) as of January 4, 2021</w:t>
      </w:r>
    </w:p>
    <w:p>
      <w:pPr>
        <w:spacing w:after="0" w:line="213" w:lineRule="exact"/>
        <w:rPr>
          <w:sz w:val="20"/>
          <w:szCs w:val="20"/>
          <w:color w:val="auto"/>
        </w:rPr>
      </w:pPr>
    </w:p>
    <w:p>
      <w:pPr>
        <w:jc w:val="both"/>
        <w:ind w:right="80" w:firstLine="546"/>
        <w:spacing w:after="0" w:line="275" w:lineRule="auto"/>
        <w:rPr>
          <w:sz w:val="20"/>
          <w:szCs w:val="20"/>
          <w:color w:val="auto"/>
        </w:rPr>
      </w:pPr>
      <w:r>
        <w:rPr>
          <w:rFonts w:ascii="Arial" w:cs="Arial" w:eastAsia="Arial" w:hAnsi="Arial"/>
          <w:sz w:val="16"/>
          <w:szCs w:val="16"/>
          <w:color w:val="auto"/>
        </w:rPr>
        <w:t>As indicated above, performance shares awarded to the NEOs pursuant to the 2021 long-term incentive plan require a three-year (2021-2023) sustained performance period, with the three-year cliff vesting determined at the conclusion of the three-year performance period. The total vesting award is determined by the quartile performance achievement over the three-year performance period.</w:t>
      </w:r>
    </w:p>
    <w:p>
      <w:pPr>
        <w:spacing w:after="0" w:line="183" w:lineRule="exact"/>
        <w:rPr>
          <w:sz w:val="20"/>
          <w:szCs w:val="20"/>
          <w:color w:val="auto"/>
        </w:rPr>
      </w:pPr>
    </w:p>
    <w:p>
      <w:pPr>
        <w:ind w:right="120" w:firstLine="546"/>
        <w:spacing w:after="0" w:line="265" w:lineRule="auto"/>
        <w:rPr>
          <w:sz w:val="20"/>
          <w:szCs w:val="20"/>
          <w:color w:val="auto"/>
        </w:rPr>
      </w:pPr>
      <w:r>
        <w:rPr>
          <w:rFonts w:ascii="Arial" w:cs="Arial" w:eastAsia="Arial" w:hAnsi="Arial"/>
          <w:sz w:val="16"/>
          <w:szCs w:val="16"/>
          <w:color w:val="auto"/>
        </w:rPr>
        <w:t>The Company has set a target award of 100% of the performance shares to be awarded under the 2021- 2023 long-term incentive plan with a threshold or minimum award of 50% of target and maximum award of 100% of target. To achieve any performance share award, top two quartile performance must occur with the actual award determined by performance and metric weighting. Company performance below the third quartile of the quantitative performance measures results in forfeiture of the entire weighted opportunity for each of the performance measures. The period of restriction terminates based upon the level of achievement of the specified financial performance criteria, where the First Category Shares are conditioned upon “Return-on-Common-Equity”, and the Second Category Shares are conditioned upon “Stock Price-to-Book Ratio” (“Financial Performance Criteria”). In this regard, the Period of Restriction terminates with respect to the “Applicable Vesting Percentage” of the First Category Shares and Second Category Shares, as the case may be, based upon the Company’s achievement of the respective Financial Performance Criteria in accordance with the following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1431290</wp:posOffset>
            </wp:positionH>
            <wp:positionV relativeFrom="paragraph">
              <wp:posOffset>137795</wp:posOffset>
            </wp:positionV>
            <wp:extent cx="4279900" cy="10871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279900" cy="1087120"/>
                    </a:xfrm>
                    <a:prstGeom prst="rect">
                      <a:avLst/>
                    </a:prstGeom>
                    <a:noFill/>
                  </pic:spPr>
                </pic:pic>
              </a:graphicData>
            </a:graphic>
          </wp:anchor>
        </w:drawing>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FFFFFF"/>
        </w:rPr>
        <w:t>Return-on-Common-Equity and Stock Price-to-Book Ratio</w:t>
      </w:r>
    </w:p>
    <w:p>
      <w:pPr>
        <w:spacing w:after="0" w:line="57" w:lineRule="exact"/>
        <w:rPr>
          <w:sz w:val="20"/>
          <w:szCs w:val="20"/>
          <w:color w:val="auto"/>
        </w:rPr>
      </w:pPr>
    </w:p>
    <w:tbl>
      <w:tblPr>
        <w:tblLayout w:type="fixed"/>
        <w:tblInd w:w="2260" w:type="dxa"/>
        <w:tblCellMar>
          <w:top w:w="0" w:type="dxa"/>
          <w:left w:w="0" w:type="dxa"/>
          <w:bottom w:w="0" w:type="dxa"/>
          <w:right w:w="0" w:type="dxa"/>
        </w:tblCellMar>
      </w:tblPr>
      <w:tr>
        <w:trPr>
          <w:trHeight w:val="200"/>
        </w:trPr>
        <w:tc>
          <w:tcPr>
            <w:tcW w:w="3820" w:type="dxa"/>
            <w:vAlign w:val="bottom"/>
            <w:tcBorders>
              <w:right w:val="single" w:sz="8" w:color="auto"/>
            </w:tcBorders>
          </w:tcPr>
          <w:p>
            <w:pPr>
              <w:jc w:val="center"/>
              <w:ind w:right="105"/>
              <w:spacing w:after="0"/>
              <w:rPr>
                <w:sz w:val="20"/>
                <w:szCs w:val="20"/>
                <w:color w:val="auto"/>
              </w:rPr>
            </w:pPr>
            <w:r>
              <w:rPr>
                <w:rFonts w:ascii="Arial" w:cs="Arial" w:eastAsia="Arial" w:hAnsi="Arial"/>
                <w:sz w:val="16"/>
                <w:szCs w:val="16"/>
                <w:b w:val="1"/>
                <w:bCs w:val="1"/>
                <w:color w:val="auto"/>
                <w:w w:val="93"/>
              </w:rPr>
              <w:t>Financial Performance Criteria --</w:t>
            </w:r>
          </w:p>
        </w:tc>
        <w:tc>
          <w:tcPr>
            <w:tcW w:w="2920" w:type="dxa"/>
            <w:vAlign w:val="bottom"/>
          </w:tcPr>
          <w:p>
            <w:pPr>
              <w:jc w:val="center"/>
              <w:spacing w:after="0"/>
              <w:rPr>
                <w:sz w:val="20"/>
                <w:szCs w:val="20"/>
                <w:color w:val="auto"/>
              </w:rPr>
            </w:pPr>
            <w:r>
              <w:rPr>
                <w:rFonts w:ascii="Arial" w:cs="Arial" w:eastAsia="Arial" w:hAnsi="Arial"/>
                <w:sz w:val="16"/>
                <w:szCs w:val="16"/>
                <w:b w:val="1"/>
                <w:bCs w:val="1"/>
                <w:color w:val="auto"/>
                <w:w w:val="90"/>
              </w:rPr>
              <w:t>Applicable Vesting</w:t>
            </w:r>
          </w:p>
        </w:tc>
      </w:tr>
      <w:tr>
        <w:trPr>
          <w:trHeight w:val="209"/>
        </w:trPr>
        <w:tc>
          <w:tcPr>
            <w:tcW w:w="3820" w:type="dxa"/>
            <w:vAlign w:val="bottom"/>
            <w:tcBorders>
              <w:right w:val="single" w:sz="8" w:color="auto"/>
            </w:tcBorders>
          </w:tcPr>
          <w:p>
            <w:pPr>
              <w:jc w:val="center"/>
              <w:ind w:right="85"/>
              <w:spacing w:after="0"/>
              <w:rPr>
                <w:sz w:val="20"/>
                <w:szCs w:val="20"/>
                <w:color w:val="auto"/>
              </w:rPr>
            </w:pPr>
            <w:r>
              <w:rPr>
                <w:rFonts w:ascii="Arial" w:cs="Arial" w:eastAsia="Arial" w:hAnsi="Arial"/>
                <w:sz w:val="16"/>
                <w:szCs w:val="16"/>
                <w:b w:val="1"/>
                <w:bCs w:val="1"/>
                <w:color w:val="auto"/>
                <w:w w:val="90"/>
              </w:rPr>
              <w:t>Three Year Average Percentile Rank</w:t>
            </w:r>
          </w:p>
        </w:tc>
        <w:tc>
          <w:tcPr>
            <w:tcW w:w="2920" w:type="dxa"/>
            <w:vAlign w:val="bottom"/>
          </w:tcPr>
          <w:p>
            <w:pPr>
              <w:jc w:val="center"/>
              <w:spacing w:after="0"/>
              <w:rPr>
                <w:sz w:val="20"/>
                <w:szCs w:val="20"/>
                <w:color w:val="auto"/>
              </w:rPr>
            </w:pPr>
            <w:r>
              <w:rPr>
                <w:rFonts w:ascii="Arial" w:cs="Arial" w:eastAsia="Arial" w:hAnsi="Arial"/>
                <w:sz w:val="16"/>
                <w:szCs w:val="16"/>
                <w:b w:val="1"/>
                <w:bCs w:val="1"/>
                <w:color w:val="auto"/>
                <w:w w:val="86"/>
              </w:rPr>
              <w:t>Percentages</w:t>
            </w:r>
          </w:p>
        </w:tc>
      </w:tr>
      <w:tr>
        <w:trPr>
          <w:trHeight w:val="32"/>
        </w:trPr>
        <w:tc>
          <w:tcPr>
            <w:tcW w:w="382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07"/>
        </w:trPr>
        <w:tc>
          <w:tcPr>
            <w:tcW w:w="3820" w:type="dxa"/>
            <w:vAlign w:val="bottom"/>
            <w:tcBorders>
              <w:bottom w:val="single" w:sz="8" w:color="auto"/>
              <w:right w:val="single" w:sz="8" w:color="auto"/>
            </w:tcBorders>
          </w:tcPr>
          <w:p>
            <w:pPr>
              <w:jc w:val="center"/>
              <w:ind w:right="85"/>
              <w:spacing w:after="0" w:line="207" w:lineRule="exact"/>
              <w:rPr>
                <w:sz w:val="20"/>
                <w:szCs w:val="20"/>
                <w:color w:val="auto"/>
              </w:rPr>
            </w:pPr>
            <w:r>
              <w:rPr>
                <w:rFonts w:ascii="Arial" w:cs="Arial" w:eastAsia="Arial" w:hAnsi="Arial"/>
                <w:sz w:val="15"/>
                <w:szCs w:val="15"/>
                <w:color w:val="auto"/>
                <w:w w:val="98"/>
              </w:rPr>
              <w:t>75</w:t>
            </w:r>
            <w:r>
              <w:rPr>
                <w:rFonts w:ascii="Arial" w:cs="Arial" w:eastAsia="Arial" w:hAnsi="Arial"/>
                <w:sz w:val="24"/>
                <w:szCs w:val="24"/>
                <w:color w:val="auto"/>
                <w:w w:val="98"/>
                <w:vertAlign w:val="superscript"/>
              </w:rPr>
              <w:t>th</w:t>
            </w:r>
            <w:r>
              <w:rPr>
                <w:rFonts w:ascii="Arial" w:cs="Arial" w:eastAsia="Arial" w:hAnsi="Arial"/>
                <w:sz w:val="15"/>
                <w:szCs w:val="15"/>
                <w:color w:val="auto"/>
                <w:w w:val="98"/>
              </w:rPr>
              <w:t xml:space="preserve"> and Above (Maximum)</w:t>
            </w: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207"/>
        </w:trPr>
        <w:tc>
          <w:tcPr>
            <w:tcW w:w="3820" w:type="dxa"/>
            <w:vAlign w:val="bottom"/>
            <w:tcBorders>
              <w:bottom w:val="single" w:sz="8" w:color="auto"/>
              <w:right w:val="single" w:sz="8" w:color="auto"/>
            </w:tcBorders>
          </w:tcPr>
          <w:p>
            <w:pPr>
              <w:jc w:val="center"/>
              <w:ind w:right="85"/>
              <w:spacing w:after="0" w:line="207" w:lineRule="exact"/>
              <w:rPr>
                <w:sz w:val="20"/>
                <w:szCs w:val="20"/>
                <w:color w:val="auto"/>
              </w:rPr>
            </w:pPr>
            <w:r>
              <w:rPr>
                <w:rFonts w:ascii="Arial" w:cs="Arial" w:eastAsia="Arial" w:hAnsi="Arial"/>
                <w:sz w:val="15"/>
                <w:szCs w:val="15"/>
                <w:color w:val="auto"/>
                <w:w w:val="91"/>
              </w:rPr>
              <w:t>62.5</w:t>
            </w:r>
            <w:r>
              <w:rPr>
                <w:rFonts w:ascii="Arial" w:cs="Arial" w:eastAsia="Arial" w:hAnsi="Arial"/>
                <w:sz w:val="24"/>
                <w:szCs w:val="24"/>
                <w:color w:val="auto"/>
                <w:w w:val="91"/>
                <w:vertAlign w:val="superscript"/>
              </w:rPr>
              <w:t>th</w:t>
            </w:r>
            <w:r>
              <w:rPr>
                <w:rFonts w:ascii="Arial" w:cs="Arial" w:eastAsia="Arial" w:hAnsi="Arial"/>
                <w:sz w:val="15"/>
                <w:szCs w:val="15"/>
                <w:color w:val="auto"/>
                <w:w w:val="91"/>
              </w:rPr>
              <w:t xml:space="preserve"> - 74.9</w:t>
            </w:r>
            <w:r>
              <w:rPr>
                <w:rFonts w:ascii="Arial" w:cs="Arial" w:eastAsia="Arial" w:hAnsi="Arial"/>
                <w:sz w:val="24"/>
                <w:szCs w:val="24"/>
                <w:color w:val="auto"/>
                <w:w w:val="91"/>
                <w:vertAlign w:val="superscript"/>
              </w:rPr>
              <w:t>th</w:t>
            </w: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75%</w:t>
            </w:r>
          </w:p>
        </w:tc>
      </w:tr>
      <w:tr>
        <w:trPr>
          <w:trHeight w:val="207"/>
        </w:trPr>
        <w:tc>
          <w:tcPr>
            <w:tcW w:w="3820" w:type="dxa"/>
            <w:vAlign w:val="bottom"/>
            <w:tcBorders>
              <w:bottom w:val="single" w:sz="8" w:color="auto"/>
              <w:right w:val="single" w:sz="8" w:color="auto"/>
            </w:tcBorders>
          </w:tcPr>
          <w:p>
            <w:pPr>
              <w:jc w:val="center"/>
              <w:ind w:right="85"/>
              <w:spacing w:after="0" w:line="207" w:lineRule="exact"/>
              <w:rPr>
                <w:sz w:val="20"/>
                <w:szCs w:val="20"/>
                <w:color w:val="auto"/>
              </w:rPr>
            </w:pPr>
            <w:r>
              <w:rPr>
                <w:rFonts w:ascii="Arial" w:cs="Arial" w:eastAsia="Arial" w:hAnsi="Arial"/>
                <w:sz w:val="15"/>
                <w:szCs w:val="15"/>
                <w:color w:val="auto"/>
                <w:w w:val="91"/>
              </w:rPr>
              <w:t>50</w:t>
            </w:r>
            <w:r>
              <w:rPr>
                <w:rFonts w:ascii="Arial" w:cs="Arial" w:eastAsia="Arial" w:hAnsi="Arial"/>
                <w:sz w:val="24"/>
                <w:szCs w:val="24"/>
                <w:color w:val="auto"/>
                <w:w w:val="91"/>
                <w:vertAlign w:val="superscript"/>
              </w:rPr>
              <w:t>th</w:t>
            </w:r>
            <w:r>
              <w:rPr>
                <w:rFonts w:ascii="Arial" w:cs="Arial" w:eastAsia="Arial" w:hAnsi="Arial"/>
                <w:sz w:val="15"/>
                <w:szCs w:val="15"/>
                <w:color w:val="auto"/>
                <w:w w:val="91"/>
              </w:rPr>
              <w:t xml:space="preserve"> - 62.49</w:t>
            </w:r>
            <w:r>
              <w:rPr>
                <w:rFonts w:ascii="Arial" w:cs="Arial" w:eastAsia="Arial" w:hAnsi="Arial"/>
                <w:sz w:val="24"/>
                <w:szCs w:val="24"/>
                <w:color w:val="auto"/>
                <w:w w:val="91"/>
                <w:vertAlign w:val="superscript"/>
              </w:rPr>
              <w:t>th</w:t>
            </w: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50%</w:t>
            </w:r>
          </w:p>
        </w:tc>
      </w:tr>
      <w:tr>
        <w:trPr>
          <w:trHeight w:val="207"/>
        </w:trPr>
        <w:tc>
          <w:tcPr>
            <w:tcW w:w="3820" w:type="dxa"/>
            <w:vAlign w:val="bottom"/>
            <w:tcBorders>
              <w:bottom w:val="single" w:sz="8" w:color="auto"/>
              <w:right w:val="single" w:sz="8" w:color="auto"/>
            </w:tcBorders>
          </w:tcPr>
          <w:p>
            <w:pPr>
              <w:jc w:val="center"/>
              <w:ind w:right="105"/>
              <w:spacing w:after="0" w:line="207" w:lineRule="exact"/>
              <w:rPr>
                <w:sz w:val="20"/>
                <w:szCs w:val="20"/>
                <w:color w:val="auto"/>
              </w:rPr>
            </w:pPr>
            <w:r>
              <w:rPr>
                <w:rFonts w:ascii="Arial" w:cs="Arial" w:eastAsia="Arial" w:hAnsi="Arial"/>
                <w:sz w:val="15"/>
                <w:szCs w:val="15"/>
                <w:color w:val="auto"/>
                <w:w w:val="95"/>
              </w:rPr>
              <w:t>Below 50</w:t>
            </w:r>
            <w:r>
              <w:rPr>
                <w:rFonts w:ascii="Arial" w:cs="Arial" w:eastAsia="Arial" w:hAnsi="Arial"/>
                <w:sz w:val="24"/>
                <w:szCs w:val="24"/>
                <w:color w:val="auto"/>
                <w:w w:val="95"/>
                <w:vertAlign w:val="superscript"/>
              </w:rPr>
              <w:t>th</w:t>
            </w: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0%</w:t>
            </w:r>
          </w:p>
        </w:tc>
      </w:tr>
    </w:tbl>
    <w:p>
      <w:pPr>
        <w:spacing w:after="0" w:line="217" w:lineRule="exact"/>
        <w:rPr>
          <w:sz w:val="20"/>
          <w:szCs w:val="20"/>
          <w:color w:val="auto"/>
        </w:rPr>
      </w:pPr>
    </w:p>
    <w:p>
      <w:pPr>
        <w:ind w:firstLine="546"/>
        <w:spacing w:after="0" w:line="266" w:lineRule="auto"/>
        <w:rPr>
          <w:sz w:val="20"/>
          <w:szCs w:val="20"/>
          <w:color w:val="auto"/>
        </w:rPr>
      </w:pPr>
      <w:r>
        <w:rPr>
          <w:rFonts w:ascii="Arial" w:cs="Arial" w:eastAsia="Arial" w:hAnsi="Arial"/>
          <w:sz w:val="16"/>
          <w:szCs w:val="16"/>
          <w:color w:val="auto"/>
        </w:rPr>
        <w:t>The terms “Return-on-Common-Equity” (generally defined as the net income available to common shareholders as a percent of average common equity, but as determined by the Committee) shall be measured as of December 31 of such year and “Stock Price-to-Book Ratio” shall be measured based on stock price as of December 31 and book value as of September 30 of such year, shall mean such terms as determined for the banks that comprise the S&amp;P Supercomposite Regional Bank Index. With respect to the given Financial Performance Criteria, the “Three Year Average Percentile” shall mean the Company’s percentile level on the S&amp;P Supercomposite Regional Bank Index for the average of the numerical measures over the three years 2021, 2022, and 2023. The Financial Performance Criteria shall be determined based on references to measures and percentiles for the peer group banks that comprise the January 4, 2021, S&amp;P Supercomposite Regional Bank Index (with peer group banks determined by excluding banks with assets &gt;$50B).</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2021, the Committee certified fourth (top) quartile performance for the Return-on-Common-Equity and Stock Price-to-Book Ratio metrics.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Compensatory Retention Arrangements of Certain Officers</w:t>
      </w:r>
    </w:p>
    <w:p>
      <w:pPr>
        <w:spacing w:after="0" w:line="235" w:lineRule="exact"/>
        <w:rPr>
          <w:sz w:val="20"/>
          <w:szCs w:val="20"/>
          <w:color w:val="auto"/>
        </w:rPr>
      </w:pPr>
    </w:p>
    <w:p>
      <w:pPr>
        <w:ind w:right="80" w:firstLine="546"/>
        <w:spacing w:after="0" w:line="270" w:lineRule="auto"/>
        <w:rPr>
          <w:sz w:val="20"/>
          <w:szCs w:val="20"/>
          <w:color w:val="auto"/>
        </w:rPr>
      </w:pPr>
      <w:r>
        <w:rPr>
          <w:rFonts w:ascii="Arial" w:cs="Arial" w:eastAsia="Arial" w:hAnsi="Arial"/>
          <w:sz w:val="16"/>
          <w:szCs w:val="16"/>
          <w:color w:val="auto"/>
        </w:rPr>
        <w:t>The Company’s success largely depends on maintaining stability among its senior executives, both in terms of continuing the Company’s levels of high performance, as well as properly executing the Company’s well-defined succession planning objectives overseen by its Board. The Board’s governance of the process that creates an overlap of experience between the current executive team and the next generation of leadership provides the Company with the highest probability of maintaining long-term sustainable success.</w:t>
      </w:r>
    </w:p>
    <w:p>
      <w:pPr>
        <w:spacing w:after="0" w:line="188" w:lineRule="exact"/>
        <w:rPr>
          <w:sz w:val="20"/>
          <w:szCs w:val="20"/>
          <w:color w:val="auto"/>
        </w:rPr>
      </w:pPr>
    </w:p>
    <w:p>
      <w:pPr>
        <w:ind w:right="80" w:firstLine="546"/>
        <w:spacing w:after="0" w:line="263" w:lineRule="auto"/>
        <w:rPr>
          <w:sz w:val="20"/>
          <w:szCs w:val="20"/>
          <w:color w:val="auto"/>
        </w:rPr>
      </w:pPr>
      <w:r>
        <w:rPr>
          <w:rFonts w:ascii="Arial" w:cs="Arial" w:eastAsia="Arial" w:hAnsi="Arial"/>
          <w:sz w:val="16"/>
          <w:szCs w:val="16"/>
          <w:color w:val="auto"/>
        </w:rPr>
        <w:t>Competition for bank executive expertise in the local marketplace is increasing, causing the Board to conclude in 2021 that additional efforts are necessary to retain the Company’s top talent. Accordingly, on March 26, 2021, the Human Resources &amp; Compensation Committee of the Board approved a Select Executive Retention Program (the “Retention Program”) for the following named executive officers:</w:t>
      </w:r>
    </w:p>
    <w:p>
      <w:pPr>
        <w:spacing w:after="0" w:line="1" w:lineRule="exact"/>
        <w:rPr>
          <w:sz w:val="20"/>
          <w:szCs w:val="20"/>
          <w:color w:val="auto"/>
        </w:rPr>
      </w:pPr>
    </w:p>
    <w:p>
      <w:pPr>
        <w:ind w:left="1260" w:hanging="707"/>
        <w:spacing w:after="0"/>
        <w:tabs>
          <w:tab w:leader="none" w:pos="12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Mary E. Sellers, Vice Chair and Chief Risk Officer;</w:t>
      </w:r>
    </w:p>
    <w:p>
      <w:pPr>
        <w:spacing w:after="0" w:line="16" w:lineRule="exact"/>
        <w:rPr>
          <w:rFonts w:ascii="Arial" w:cs="Arial" w:eastAsia="Arial" w:hAnsi="Arial"/>
          <w:sz w:val="16"/>
          <w:szCs w:val="16"/>
          <w:color w:val="auto"/>
        </w:rPr>
      </w:pPr>
    </w:p>
    <w:p>
      <w:pPr>
        <w:ind w:left="1260" w:hanging="707"/>
        <w:spacing w:after="0"/>
        <w:tabs>
          <w:tab w:leader="none" w:pos="12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Sharon M. Crofts, Vice Chair and Client Solutions Group;</w:t>
      </w:r>
    </w:p>
    <w:p>
      <w:pPr>
        <w:spacing w:after="0" w:line="16" w:lineRule="exact"/>
        <w:rPr>
          <w:rFonts w:ascii="Arial" w:cs="Arial" w:eastAsia="Arial" w:hAnsi="Arial"/>
          <w:sz w:val="16"/>
          <w:szCs w:val="16"/>
          <w:color w:val="auto"/>
        </w:rPr>
      </w:pPr>
    </w:p>
    <w:p>
      <w:pPr>
        <w:ind w:left="1260" w:hanging="707"/>
        <w:spacing w:after="0"/>
        <w:tabs>
          <w:tab w:leader="none" w:pos="12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James C. Polk, Vice Chair and Chief Commercial Officer; and</w:t>
      </w:r>
    </w:p>
    <w:p>
      <w:pPr>
        <w:spacing w:after="0" w:line="16" w:lineRule="exact"/>
        <w:rPr>
          <w:rFonts w:ascii="Arial" w:cs="Arial" w:eastAsia="Arial" w:hAnsi="Arial"/>
          <w:sz w:val="16"/>
          <w:szCs w:val="16"/>
          <w:color w:val="auto"/>
        </w:rPr>
      </w:pPr>
    </w:p>
    <w:p>
      <w:pPr>
        <w:ind w:left="1260" w:hanging="707"/>
        <w:spacing w:after="0"/>
        <w:tabs>
          <w:tab w:leader="none" w:pos="12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Dean Y. Shigemura, Vice Chair and Chief Financial Officer.</w:t>
      </w:r>
    </w:p>
    <w:p>
      <w:pPr>
        <w:spacing w:after="0" w:line="226" w:lineRule="exact"/>
        <w:rPr>
          <w:sz w:val="20"/>
          <w:szCs w:val="20"/>
          <w:color w:val="auto"/>
        </w:rPr>
      </w:pPr>
    </w:p>
    <w:p>
      <w:pPr>
        <w:ind w:right="180" w:firstLine="546"/>
        <w:spacing w:after="0" w:line="289" w:lineRule="auto"/>
        <w:rPr>
          <w:sz w:val="20"/>
          <w:szCs w:val="20"/>
          <w:color w:val="auto"/>
        </w:rPr>
      </w:pPr>
      <w:r>
        <w:rPr>
          <w:rFonts w:ascii="Arial" w:cs="Arial" w:eastAsia="Arial" w:hAnsi="Arial"/>
          <w:sz w:val="16"/>
          <w:szCs w:val="16"/>
          <w:color w:val="auto"/>
        </w:rPr>
        <w:t>The Retention Program consists of two plans: 1) a Special Retention Incentive Plan (“SRIP”) for Mmes. Sellers and Crofts; and 2) a Supplemental Restricted Stock Grant Program (“SRSGP”) for Messrs. Polk and Shigemura.</w:t>
      </w:r>
    </w:p>
    <w:p>
      <w:pPr>
        <w:spacing w:after="0" w:line="172" w:lineRule="exact"/>
        <w:rPr>
          <w:sz w:val="20"/>
          <w:szCs w:val="20"/>
          <w:color w:val="auto"/>
        </w:rPr>
      </w:pPr>
    </w:p>
    <w:p>
      <w:pPr>
        <w:ind w:right="140" w:firstLine="546"/>
        <w:spacing w:after="0" w:line="270" w:lineRule="auto"/>
        <w:rPr>
          <w:sz w:val="20"/>
          <w:szCs w:val="20"/>
          <w:color w:val="auto"/>
        </w:rPr>
      </w:pPr>
      <w:r>
        <w:rPr>
          <w:rFonts w:ascii="Arial" w:cs="Arial" w:eastAsia="Arial" w:hAnsi="Arial"/>
          <w:sz w:val="16"/>
          <w:szCs w:val="16"/>
          <w:color w:val="auto"/>
        </w:rPr>
        <w:t>Ms. Sellers was granted a $4,500,000 performance-based award and Ms. Crofts was granted a $3,000,000 performance-based award. These awards will payout 50% in the form of cash and 50% in the form of restricted stock with vesting following a three-year performance period, pursuant to the Bank of Hawaii Corporation 2014 Stock and Incentive Plan (“2014 Stock and Incentive Plan”). For the award to vest, Mmes. Sellers and Crofts must remain employed with the Company through March 29, 2024, and perform at “Meets Expectations” or better level.</w:t>
      </w:r>
    </w:p>
    <w:p>
      <w:pPr>
        <w:spacing w:after="0" w:line="188" w:lineRule="exact"/>
        <w:rPr>
          <w:sz w:val="20"/>
          <w:szCs w:val="20"/>
          <w:color w:val="auto"/>
        </w:rPr>
      </w:pPr>
    </w:p>
    <w:p>
      <w:pPr>
        <w:ind w:right="480" w:firstLine="546"/>
        <w:spacing w:after="0" w:line="364" w:lineRule="auto"/>
        <w:rPr>
          <w:sz w:val="20"/>
          <w:szCs w:val="20"/>
          <w:color w:val="auto"/>
        </w:rPr>
      </w:pPr>
      <w:r>
        <w:rPr>
          <w:rFonts w:ascii="Arial" w:cs="Arial" w:eastAsia="Arial" w:hAnsi="Arial"/>
          <w:sz w:val="14"/>
          <w:szCs w:val="14"/>
          <w:color w:val="auto"/>
        </w:rPr>
        <w:t>The final award amount will depend upon the Company's performance relative to regional bank comparators, as measured by the above described performance metrics over the three-year performance period of 2021-2023. Going forward, Mmes. Sellers and Crofts will not be eligible for future equity incentive awards.</w:t>
      </w:r>
    </w:p>
    <w:p>
      <w:pPr>
        <w:spacing w:after="0" w:line="127" w:lineRule="exact"/>
        <w:rPr>
          <w:sz w:val="20"/>
          <w:szCs w:val="20"/>
          <w:color w:val="auto"/>
        </w:rPr>
      </w:pPr>
    </w:p>
    <w:p>
      <w:pPr>
        <w:jc w:val="both"/>
        <w:ind w:right="40" w:firstLine="546"/>
        <w:spacing w:after="0" w:line="275" w:lineRule="auto"/>
        <w:rPr>
          <w:sz w:val="20"/>
          <w:szCs w:val="20"/>
          <w:color w:val="auto"/>
        </w:rPr>
      </w:pPr>
      <w:r>
        <w:rPr>
          <w:rFonts w:ascii="Arial" w:cs="Arial" w:eastAsia="Arial" w:hAnsi="Arial"/>
          <w:sz w:val="16"/>
          <w:szCs w:val="16"/>
          <w:color w:val="auto"/>
        </w:rPr>
        <w:t>Messrs. Polk and Shigemura were each granted a $1,000,000 performance-based award in the form of restricted stock with vesting following a five-year performance period, pursuant to the 2014 Stock and Incentive Plan. For the award to vest, Messrs. Polk and Shigemura must remain employed with the Company through March 31, 2026, and perform at “Meets Expectations” or better level.</w:t>
      </w:r>
    </w:p>
    <w:p>
      <w:pPr>
        <w:spacing w:after="0" w:line="183" w:lineRule="exact"/>
        <w:rPr>
          <w:sz w:val="20"/>
          <w:szCs w:val="20"/>
          <w:color w:val="auto"/>
        </w:rPr>
      </w:pPr>
    </w:p>
    <w:p>
      <w:pPr>
        <w:ind w:right="120" w:firstLine="546"/>
        <w:spacing w:after="0" w:line="364" w:lineRule="auto"/>
        <w:rPr>
          <w:sz w:val="20"/>
          <w:szCs w:val="20"/>
          <w:color w:val="auto"/>
        </w:rPr>
      </w:pPr>
      <w:r>
        <w:rPr>
          <w:rFonts w:ascii="Arial" w:cs="Arial" w:eastAsia="Arial" w:hAnsi="Arial"/>
          <w:sz w:val="14"/>
          <w:szCs w:val="14"/>
          <w:color w:val="auto"/>
        </w:rPr>
        <w:t>The final award amounts will also depend upon the Company's performance relative to regional bank comparators, as measured by the above described performance metrics, over the five-year performance period of 2021-2026. Messrs. Polk and Shigemura will remain eligible for annual equity incentive awards as well as EIP payouts.</w:t>
      </w:r>
    </w:p>
    <w:p>
      <w:pPr>
        <w:spacing w:after="0" w:line="127" w:lineRule="exact"/>
        <w:rPr>
          <w:sz w:val="20"/>
          <w:szCs w:val="20"/>
          <w:color w:val="auto"/>
        </w:rPr>
      </w:pPr>
    </w:p>
    <w:p>
      <w:pPr>
        <w:ind w:right="100" w:firstLine="546"/>
        <w:spacing w:after="0" w:line="289" w:lineRule="auto"/>
        <w:rPr>
          <w:sz w:val="20"/>
          <w:szCs w:val="20"/>
          <w:color w:val="auto"/>
        </w:rPr>
      </w:pPr>
      <w:r>
        <w:rPr>
          <w:rFonts w:ascii="Arial" w:cs="Arial" w:eastAsia="Arial" w:hAnsi="Arial"/>
          <w:sz w:val="16"/>
          <w:szCs w:val="16"/>
          <w:color w:val="auto"/>
        </w:rPr>
        <w:t>The Company believes that these awards will keep the named key executives in place for the foreseeable future and ensure a smooth transition to the next generation of leadership, all of which is critical to the continued success of the organization.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Benefits and Retirement Plans Sponsored by the Company</w:t>
      </w:r>
    </w:p>
    <w:p>
      <w:pPr>
        <w:spacing w:after="0" w:line="235" w:lineRule="exact"/>
        <w:rPr>
          <w:sz w:val="20"/>
          <w:szCs w:val="20"/>
          <w:color w:val="auto"/>
        </w:rPr>
      </w:pPr>
    </w:p>
    <w:p>
      <w:pPr>
        <w:ind w:right="60" w:firstLine="546"/>
        <w:spacing w:after="0" w:line="281" w:lineRule="auto"/>
        <w:rPr>
          <w:sz w:val="20"/>
          <w:szCs w:val="20"/>
          <w:color w:val="auto"/>
        </w:rPr>
      </w:pPr>
      <w:r>
        <w:rPr>
          <w:rFonts w:ascii="Arial" w:cs="Arial" w:eastAsia="Arial" w:hAnsi="Arial"/>
          <w:sz w:val="15"/>
          <w:szCs w:val="15"/>
          <w:color w:val="auto"/>
        </w:rPr>
        <w:t>Executive officers are eligible to participate in health and insurance plans, retirement plans, and other benefits generally available to full-time employees. This is consistent with the Company’s belief in offering employees comprehensive health and retirement benefits that are competitive in our markets. The retirement programs assist employees in planning for their retirement income needs. Benefits under the qualified health and retirement plans are not directly tied to specific Company</w:t>
      </w:r>
    </w:p>
    <w:p>
      <w:pPr>
        <w:ind w:right="400"/>
        <w:spacing w:after="0" w:line="358" w:lineRule="auto"/>
        <w:rPr>
          <w:sz w:val="20"/>
          <w:szCs w:val="20"/>
          <w:color w:val="auto"/>
        </w:rPr>
      </w:pPr>
      <w:r>
        <w:rPr>
          <w:rFonts w:ascii="Arial" w:cs="Arial" w:eastAsia="Arial" w:hAnsi="Arial"/>
          <w:sz w:val="14"/>
          <w:szCs w:val="14"/>
          <w:color w:val="auto"/>
        </w:rPr>
        <w:t>performance. Employees who meet service requirements are eligible to participate in the Company-sponsored Retirement Savings Plan (“RSP”), a tax-qualified defined contribution pension plan. Benefits are reviewed on a regular basis, and appropriate changes are made to ensure our program continues to be effective and competitive.</w:t>
      </w:r>
    </w:p>
    <w:p>
      <w:pPr>
        <w:spacing w:after="0" w:line="131" w:lineRule="exact"/>
        <w:rPr>
          <w:sz w:val="20"/>
          <w:szCs w:val="20"/>
          <w:color w:val="auto"/>
        </w:rPr>
      </w:pPr>
    </w:p>
    <w:p>
      <w:pPr>
        <w:ind w:right="60" w:firstLine="546"/>
        <w:spacing w:after="0" w:line="294" w:lineRule="auto"/>
        <w:rPr>
          <w:sz w:val="20"/>
          <w:szCs w:val="20"/>
          <w:color w:val="auto"/>
        </w:rPr>
      </w:pPr>
      <w:r>
        <w:rPr>
          <w:rFonts w:ascii="Arial" w:cs="Arial" w:eastAsia="Arial" w:hAnsi="Arial"/>
          <w:sz w:val="15"/>
          <w:szCs w:val="15"/>
          <w:color w:val="auto"/>
        </w:rPr>
        <w:t>The Committee has adopted the Bank of Hawaii Corporation Executive Deferred Compensation Program (the “Deferred Compensation Program”), a program that offers senior management (including the NEOs) the ability to defer up to 80% of base salary and 100% of incentive amounts under the Executive Incentive Plan in order to allow executives to defer, along with the receipt of the compensation, the income tax liability on such payments (including any appreciation in value as a result of the deemed investment of such amounts) until receipt. This program allows participants to manage their cash flow and estate planning needs.</w:t>
      </w:r>
    </w:p>
    <w:p>
      <w:pPr>
        <w:spacing w:after="0" w:line="171" w:lineRule="exact"/>
        <w:rPr>
          <w:sz w:val="20"/>
          <w:szCs w:val="20"/>
          <w:color w:val="auto"/>
        </w:rPr>
      </w:pPr>
    </w:p>
    <w:p>
      <w:pPr>
        <w:ind w:firstLine="546"/>
        <w:spacing w:after="0" w:line="270" w:lineRule="auto"/>
        <w:rPr>
          <w:sz w:val="20"/>
          <w:szCs w:val="20"/>
          <w:color w:val="auto"/>
        </w:rPr>
      </w:pPr>
      <w:r>
        <w:rPr>
          <w:rFonts w:ascii="Arial" w:cs="Arial" w:eastAsia="Arial" w:hAnsi="Arial"/>
          <w:sz w:val="16"/>
          <w:szCs w:val="16"/>
          <w:color w:val="auto"/>
        </w:rPr>
        <w:t>The Company also maintains the Bank of Hawaii Retirement Savings Excess Benefit Plan (the “Excess Benefit Plan”), a nonqualified supplemental retirement benefit plan that compensates participants for benefits that would otherwise be payable under the Company's Retirement Savings Plan but for certain Internal Revenue Code (“IRC”) limitations. The Committee believes that this plan is important to ensure equitability in retirement funding amounts between those that fall below and above the IRC limitations.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Gains from long-term incentive compensation are not included in the determination of nonqualified deferred compensation benefits.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Perquisites</w:t>
      </w:r>
    </w:p>
    <w:p>
      <w:pPr>
        <w:spacing w:after="0" w:line="235" w:lineRule="exact"/>
        <w:rPr>
          <w:sz w:val="20"/>
          <w:szCs w:val="20"/>
          <w:color w:val="auto"/>
        </w:rPr>
      </w:pPr>
    </w:p>
    <w:p>
      <w:pPr>
        <w:ind w:right="380" w:firstLine="546"/>
        <w:spacing w:after="0" w:line="289" w:lineRule="auto"/>
        <w:rPr>
          <w:sz w:val="20"/>
          <w:szCs w:val="20"/>
          <w:color w:val="auto"/>
        </w:rPr>
      </w:pPr>
      <w:r>
        <w:rPr>
          <w:rFonts w:ascii="Arial" w:cs="Arial" w:eastAsia="Arial" w:hAnsi="Arial"/>
          <w:sz w:val="16"/>
          <w:szCs w:val="16"/>
          <w:color w:val="auto"/>
        </w:rPr>
        <w:t>The Company offers and provides perquisites to NEOs that the Committee believes are competitive, yet reasonable in attracting and retaining a strong executive team. The Committee believes perquisites should be limited in scope and value.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Change-in-Control and Severance Arrangements</w:t>
      </w:r>
    </w:p>
    <w:p>
      <w:pPr>
        <w:spacing w:after="0" w:line="235" w:lineRule="exact"/>
        <w:rPr>
          <w:sz w:val="20"/>
          <w:szCs w:val="20"/>
          <w:color w:val="auto"/>
        </w:rPr>
      </w:pPr>
    </w:p>
    <w:p>
      <w:pPr>
        <w:ind w:right="200" w:firstLine="546"/>
        <w:spacing w:after="0" w:line="268" w:lineRule="auto"/>
        <w:rPr>
          <w:sz w:val="20"/>
          <w:szCs w:val="20"/>
          <w:color w:val="auto"/>
        </w:rPr>
      </w:pPr>
      <w:r>
        <w:rPr>
          <w:rFonts w:ascii="Arial" w:cs="Arial" w:eastAsia="Arial" w:hAnsi="Arial"/>
          <w:sz w:val="16"/>
          <w:szCs w:val="16"/>
          <w:color w:val="auto"/>
        </w:rPr>
        <w:t>The Committee believes that an essential component to protecting and enhancing the best interests of the Company and its shareholders is to provide for the protection of its executive team in the event of a change-in-control of the Company. Change-in-control benefits play an important role in attracting and retaining key executives. The payment of such benefits ensures a smooth transition in management following a change-in-control by giving an executive the incentive to remain with the Company through the transition period, and, in the event the executive's employment is terminated as part of the transition, by compensating the executive with a degree of financial and personal security during a period in which he or she is likely to be unemployed.</w:t>
      </w:r>
    </w:p>
    <w:p>
      <w:pPr>
        <w:spacing w:after="0" w:line="190" w:lineRule="exact"/>
        <w:rPr>
          <w:sz w:val="20"/>
          <w:szCs w:val="20"/>
          <w:color w:val="auto"/>
        </w:rPr>
      </w:pPr>
    </w:p>
    <w:p>
      <w:pPr>
        <w:ind w:firstLine="546"/>
        <w:spacing w:after="0" w:line="275" w:lineRule="auto"/>
        <w:rPr>
          <w:sz w:val="20"/>
          <w:szCs w:val="20"/>
          <w:color w:val="auto"/>
        </w:rPr>
      </w:pPr>
      <w:r>
        <w:rPr>
          <w:rFonts w:ascii="Arial" w:cs="Arial" w:eastAsia="Arial" w:hAnsi="Arial"/>
          <w:sz w:val="16"/>
          <w:szCs w:val="16"/>
          <w:color w:val="auto"/>
        </w:rPr>
        <w:t>The Change-in-Control Retention Plan (the “Retention Plan”), provides benefits only in the event that a participant's employment is terminated by the Company without cause or by the participant for “good reason” within 24 months following a change-in-control. The Committee believes that this encourages executives to remain with the Company upon a change-in-control. The key provisions of the Retention Plan for NEOs, including the CEO and vice chairs, are:</w:t>
      </w:r>
    </w:p>
    <w:p>
      <w:pPr>
        <w:spacing w:after="0" w:line="76" w:lineRule="exact"/>
        <w:rPr>
          <w:sz w:val="20"/>
          <w:szCs w:val="20"/>
          <w:color w:val="auto"/>
        </w:rPr>
      </w:pPr>
    </w:p>
    <w:p>
      <w:pPr>
        <w:ind w:left="1080" w:hanging="538"/>
        <w:spacing w:after="0"/>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Severance benefit - a “two times base salary and bonus” payment which is payable in the month following termination of employment.</w:t>
      </w:r>
    </w:p>
    <w:p>
      <w:pPr>
        <w:spacing w:after="0" w:line="163" w:lineRule="exact"/>
        <w:rPr>
          <w:rFonts w:ascii="Arial" w:cs="Arial" w:eastAsia="Arial" w:hAnsi="Arial"/>
          <w:sz w:val="16"/>
          <w:szCs w:val="16"/>
          <w:color w:val="auto"/>
        </w:rPr>
      </w:pPr>
    </w:p>
    <w:p>
      <w:pPr>
        <w:ind w:left="1080" w:right="300" w:hanging="538"/>
        <w:spacing w:after="0" w:line="289"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Payment for non-competition - an additional “one times base salary and bonus” payment that is payable only if the executive complies with the 12-month non-competition restrictions specified under the Retention Plan.</w:t>
      </w:r>
    </w:p>
    <w:p>
      <w:pPr>
        <w:spacing w:after="0" w:line="65" w:lineRule="exact"/>
        <w:rPr>
          <w:rFonts w:ascii="Arial" w:cs="Arial" w:eastAsia="Arial" w:hAnsi="Arial"/>
          <w:sz w:val="16"/>
          <w:szCs w:val="16"/>
          <w:color w:val="auto"/>
        </w:rPr>
      </w:pPr>
    </w:p>
    <w:p>
      <w:pPr>
        <w:ind w:left="1080" w:hanging="538"/>
        <w:spacing w:after="0"/>
        <w:tabs>
          <w:tab w:leader="none" w:pos="10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 addition to non-competition restrictions, the Retention Plan imposes non-disclosure, non-solicitation and non-disparagement restrictions on participants.</w:t>
      </w:r>
    </w:p>
    <w:p>
      <w:pPr>
        <w:spacing w:after="0" w:line="294" w:lineRule="exact"/>
        <w:rPr>
          <w:sz w:val="20"/>
          <w:szCs w:val="20"/>
          <w:color w:val="auto"/>
        </w:rPr>
      </w:pPr>
    </w:p>
    <w:p>
      <w:pPr>
        <w:ind w:right="80" w:firstLine="546"/>
        <w:spacing w:after="0" w:line="289" w:lineRule="auto"/>
        <w:rPr>
          <w:sz w:val="20"/>
          <w:szCs w:val="20"/>
          <w:color w:val="auto"/>
        </w:rPr>
      </w:pPr>
      <w:r>
        <w:rPr>
          <w:rFonts w:ascii="Arial" w:cs="Arial" w:eastAsia="Arial" w:hAnsi="Arial"/>
          <w:sz w:val="16"/>
          <w:szCs w:val="16"/>
          <w:color w:val="auto"/>
        </w:rPr>
        <w:t>Each of the NEOs participates in the Retention Plan. See the discussion under “Change-in-Control, Termination, and Other Arrangements” on page 63 for additional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Excise Tax Gross-Ups</w:t>
      </w:r>
    </w:p>
    <w:p>
      <w:pPr>
        <w:spacing w:after="0" w:line="235" w:lineRule="exact"/>
        <w:rPr>
          <w:sz w:val="20"/>
          <w:szCs w:val="20"/>
          <w:color w:val="auto"/>
        </w:rPr>
      </w:pPr>
    </w:p>
    <w:p>
      <w:pPr>
        <w:ind w:right="360" w:firstLine="546"/>
        <w:spacing w:after="0" w:line="275" w:lineRule="auto"/>
        <w:rPr>
          <w:sz w:val="20"/>
          <w:szCs w:val="20"/>
          <w:color w:val="auto"/>
        </w:rPr>
      </w:pPr>
      <w:r>
        <w:rPr>
          <w:rFonts w:ascii="Arial" w:cs="Arial" w:eastAsia="Arial" w:hAnsi="Arial"/>
          <w:sz w:val="16"/>
          <w:szCs w:val="16"/>
          <w:color w:val="auto"/>
        </w:rPr>
        <w:t>The Retention Plan does not permit the Company to pay any tax gross up payments to executives in connection with any payment or benefit under the Plan. In addition, the Retention Plan limits any payment or benefit under the plan to an amount that would not be subject to Excise Tax even if the benefits would be substantially eliminated as a result of this limit.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Vesting of Equity Incentive Compensation on Change-in-Control (Double-Trigger)</w:t>
      </w:r>
    </w:p>
    <w:p>
      <w:pPr>
        <w:spacing w:after="0" w:line="235" w:lineRule="exact"/>
        <w:rPr>
          <w:sz w:val="20"/>
          <w:szCs w:val="20"/>
          <w:color w:val="auto"/>
        </w:rPr>
      </w:pPr>
    </w:p>
    <w:p>
      <w:pPr>
        <w:ind w:right="20" w:firstLine="546"/>
        <w:spacing w:after="0" w:line="288" w:lineRule="auto"/>
        <w:rPr>
          <w:sz w:val="20"/>
          <w:szCs w:val="20"/>
          <w:color w:val="auto"/>
        </w:rPr>
      </w:pPr>
      <w:r>
        <w:rPr>
          <w:rFonts w:ascii="Arial" w:cs="Arial" w:eastAsia="Arial" w:hAnsi="Arial"/>
          <w:sz w:val="15"/>
          <w:szCs w:val="15"/>
          <w:color w:val="auto"/>
        </w:rPr>
        <w:t>The terms of the Company's 2014 Stock and Incentive Compensation Plan provide for full acceleration of vesting of restricted stock, restricted stock units, and stock options upon the occurrence of a change-in-control of the Company (as defined in the Retention Plan, which requires, among other things, a double-trigger termination for vesting to occur). The Committee believes that it is generally appropriate to fully vest equity and incentive-based awards to employees in a change-in-control transaction because such a transaction may often cut short or reduce the employee's ability to realize value with respect to such awards. Similarly, the Executive Incentive Plan provides that incentive awards will, upon a change-in-control of the Company, be prorated as though the applicable performance period ended on the change-in-control date and will be calculated as an amount equal to two times a participant's incentive allocation for the prorated performance period.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Matters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Ownership Requirements</w:t>
      </w:r>
    </w:p>
    <w:p>
      <w:pPr>
        <w:spacing w:after="0" w:line="235" w:lineRule="exact"/>
        <w:rPr>
          <w:sz w:val="20"/>
          <w:szCs w:val="20"/>
          <w:color w:val="auto"/>
        </w:rPr>
      </w:pPr>
    </w:p>
    <w:p>
      <w:pPr>
        <w:ind w:right="80" w:firstLine="546"/>
        <w:spacing w:after="0" w:line="301" w:lineRule="auto"/>
        <w:rPr>
          <w:sz w:val="20"/>
          <w:szCs w:val="20"/>
          <w:color w:val="auto"/>
        </w:rPr>
      </w:pPr>
      <w:r>
        <w:rPr>
          <w:rFonts w:ascii="Arial" w:cs="Arial" w:eastAsia="Arial" w:hAnsi="Arial"/>
          <w:sz w:val="14"/>
          <w:szCs w:val="14"/>
          <w:color w:val="auto"/>
        </w:rPr>
        <w:t>The Committee believes that significant ownership of our common stock by our executives directly aligns their interest with those of our shareholders and also helps balance the incentives for risk-taking inherent in equity-based awards. Under the Company's executive stock ownership guidelines, the CEO must own Company common stock having a market value equal to at least five times base salary and vice chairs must own Company stock having a market value equal to at least two times base</w:t>
      </w:r>
    </w:p>
    <w:p>
      <w:pPr>
        <w:spacing w:after="0" w:line="272" w:lineRule="auto"/>
        <w:rPr>
          <w:sz w:val="20"/>
          <w:szCs w:val="20"/>
          <w:color w:val="auto"/>
        </w:rPr>
      </w:pPr>
      <w:r>
        <w:rPr>
          <w:rFonts w:ascii="Arial" w:cs="Arial" w:eastAsia="Arial" w:hAnsi="Arial"/>
          <w:sz w:val="16"/>
          <w:szCs w:val="16"/>
          <w:color w:val="auto"/>
        </w:rPr>
        <w:t>salary. Stock ownership includes the value of vested stock options, restricted stock, restricted stock units from qualified plans, and other stock held by the executive. The guidelines require the CEO to comply with the stock ownership levels within five years of the date hired or promoted to such position within the Company; for all other NEOs the attainment period is three years. As of December 31, 2021, all of the NEOs satisfied the stock ownership guidelines.</w:t>
      </w:r>
    </w:p>
    <w:p>
      <w:pPr>
        <w:spacing w:after="0" w:line="189" w:lineRule="exact"/>
        <w:rPr>
          <w:sz w:val="20"/>
          <w:szCs w:val="20"/>
          <w:color w:val="auto"/>
        </w:rPr>
      </w:pPr>
    </w:p>
    <w:tbl>
      <w:tblPr>
        <w:tblLayout w:type="fixed"/>
        <w:tblInd w:w="2270" w:type="dxa"/>
        <w:tblCellMar>
          <w:top w:w="0" w:type="dxa"/>
          <w:left w:w="0" w:type="dxa"/>
          <w:bottom w:w="0" w:type="dxa"/>
          <w:right w:w="0" w:type="dxa"/>
        </w:tblCellMar>
      </w:tblPr>
      <w:tr>
        <w:trPr>
          <w:trHeight w:val="222"/>
        </w:trPr>
        <w:tc>
          <w:tcPr>
            <w:tcW w:w="3820" w:type="dxa"/>
            <w:vAlign w:val="bottom"/>
            <w:tcBorders>
              <w:top w:val="single" w:sz="8" w:color="auto"/>
              <w:left w:val="single" w:sz="8" w:color="auto"/>
              <w:right w:val="single" w:sz="8" w:color="auto"/>
            </w:tcBorders>
            <w:shd w:val="clear" w:color="auto" w:fill="086FB8"/>
          </w:tcPr>
          <w:p>
            <w:pPr>
              <w:spacing w:after="0"/>
              <w:rPr>
                <w:sz w:val="19"/>
                <w:szCs w:val="19"/>
                <w:color w:val="auto"/>
              </w:rPr>
            </w:pPr>
          </w:p>
        </w:tc>
        <w:tc>
          <w:tcPr>
            <w:tcW w:w="2920" w:type="dxa"/>
            <w:vAlign w:val="bottom"/>
            <w:tcBorders>
              <w:top w:val="single" w:sz="8" w:color="auto"/>
              <w:right w:val="single" w:sz="8" w:color="auto"/>
            </w:tcBorders>
            <w:shd w:val="clear" w:color="auto" w:fill="086FB8"/>
          </w:tcPr>
          <w:p>
            <w:pPr>
              <w:jc w:val="center"/>
              <w:ind w:left="15"/>
              <w:spacing w:after="0"/>
              <w:rPr>
                <w:sz w:val="20"/>
                <w:szCs w:val="20"/>
                <w:color w:val="auto"/>
              </w:rPr>
            </w:pPr>
            <w:r>
              <w:rPr>
                <w:rFonts w:ascii="Arial" w:cs="Arial" w:eastAsia="Arial" w:hAnsi="Arial"/>
                <w:sz w:val="18"/>
                <w:szCs w:val="18"/>
                <w:b w:val="1"/>
                <w:bCs w:val="1"/>
                <w:color w:val="FFFFFF"/>
                <w:w w:val="88"/>
              </w:rPr>
              <w:t>Stockholding Guideline</w:t>
            </w:r>
          </w:p>
        </w:tc>
      </w:tr>
      <w:tr>
        <w:trPr>
          <w:trHeight w:val="232"/>
        </w:trPr>
        <w:tc>
          <w:tcPr>
            <w:tcW w:w="3820" w:type="dxa"/>
            <w:vAlign w:val="bottom"/>
            <w:tcBorders>
              <w:left w:val="single" w:sz="8" w:color="auto"/>
              <w:bottom w:val="single" w:sz="8" w:color="auto"/>
              <w:right w:val="single" w:sz="8" w:color="auto"/>
            </w:tcBorders>
            <w:shd w:val="clear" w:color="auto" w:fill="086FB8"/>
          </w:tcPr>
          <w:p>
            <w:pPr>
              <w:jc w:val="center"/>
              <w:ind w:right="77"/>
              <w:spacing w:after="0"/>
              <w:rPr>
                <w:sz w:val="20"/>
                <w:szCs w:val="20"/>
                <w:color w:val="auto"/>
              </w:rPr>
            </w:pPr>
            <w:r>
              <w:rPr>
                <w:rFonts w:ascii="Arial" w:cs="Arial" w:eastAsia="Arial" w:hAnsi="Arial"/>
                <w:sz w:val="18"/>
                <w:szCs w:val="18"/>
                <w:b w:val="1"/>
                <w:bCs w:val="1"/>
                <w:color w:val="FFFFFF"/>
                <w:w w:val="92"/>
              </w:rPr>
              <w:t>Officer</w:t>
            </w:r>
          </w:p>
        </w:tc>
        <w:tc>
          <w:tcPr>
            <w:tcW w:w="2920" w:type="dxa"/>
            <w:vAlign w:val="bottom"/>
            <w:tcBorders>
              <w:bottom w:val="single" w:sz="8" w:color="auto"/>
              <w:right w:val="single" w:sz="8" w:color="auto"/>
            </w:tcBorders>
            <w:shd w:val="clear" w:color="auto" w:fill="086FB8"/>
          </w:tcPr>
          <w:p>
            <w:pPr>
              <w:jc w:val="center"/>
              <w:ind w:left="15"/>
              <w:spacing w:after="0"/>
              <w:rPr>
                <w:sz w:val="20"/>
                <w:szCs w:val="20"/>
                <w:color w:val="auto"/>
              </w:rPr>
            </w:pPr>
            <w:r>
              <w:rPr>
                <w:rFonts w:ascii="Arial" w:cs="Arial" w:eastAsia="Arial" w:hAnsi="Arial"/>
                <w:sz w:val="18"/>
                <w:szCs w:val="18"/>
                <w:b w:val="1"/>
                <w:bCs w:val="1"/>
                <w:color w:val="FFFFFF"/>
                <w:w w:val="88"/>
              </w:rPr>
              <w:t>(multiple of base salary)</w:t>
            </w:r>
          </w:p>
        </w:tc>
      </w:tr>
      <w:tr>
        <w:trPr>
          <w:trHeight w:val="205"/>
        </w:trPr>
        <w:tc>
          <w:tcPr>
            <w:tcW w:w="3820" w:type="dxa"/>
            <w:vAlign w:val="bottom"/>
            <w:tcBorders>
              <w:left w:val="single" w:sz="8" w:color="auto"/>
              <w:bottom w:val="single" w:sz="8" w:color="auto"/>
              <w:right w:val="single" w:sz="8" w:color="auto"/>
            </w:tcBorders>
          </w:tcPr>
          <w:p>
            <w:pPr>
              <w:jc w:val="center"/>
              <w:ind w:right="77"/>
              <w:spacing w:after="0"/>
              <w:rPr>
                <w:sz w:val="20"/>
                <w:szCs w:val="20"/>
                <w:color w:val="auto"/>
              </w:rPr>
            </w:pPr>
            <w:r>
              <w:rPr>
                <w:rFonts w:ascii="Arial" w:cs="Arial" w:eastAsia="Arial" w:hAnsi="Arial"/>
                <w:sz w:val="16"/>
                <w:szCs w:val="16"/>
                <w:color w:val="auto"/>
                <w:w w:val="90"/>
              </w:rPr>
              <w:t>Chairman and CEO</w:t>
            </w:r>
          </w:p>
        </w:tc>
        <w:tc>
          <w:tcPr>
            <w:tcW w:w="292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6"/>
                <w:szCs w:val="16"/>
                <w:color w:val="auto"/>
              </w:rPr>
              <w:t>5x</w:t>
            </w:r>
          </w:p>
        </w:tc>
      </w:tr>
      <w:tr>
        <w:trPr>
          <w:trHeight w:val="207"/>
        </w:trPr>
        <w:tc>
          <w:tcPr>
            <w:tcW w:w="3820" w:type="dxa"/>
            <w:vAlign w:val="bottom"/>
            <w:tcBorders>
              <w:left w:val="single" w:sz="8" w:color="auto"/>
              <w:bottom w:val="single" w:sz="8" w:color="auto"/>
              <w:right w:val="single" w:sz="8" w:color="auto"/>
            </w:tcBorders>
          </w:tcPr>
          <w:p>
            <w:pPr>
              <w:jc w:val="center"/>
              <w:ind w:right="97"/>
              <w:spacing w:after="0"/>
              <w:rPr>
                <w:sz w:val="20"/>
                <w:szCs w:val="20"/>
                <w:color w:val="auto"/>
              </w:rPr>
            </w:pPr>
            <w:r>
              <w:rPr>
                <w:rFonts w:ascii="Arial" w:cs="Arial" w:eastAsia="Arial" w:hAnsi="Arial"/>
                <w:sz w:val="16"/>
                <w:szCs w:val="16"/>
                <w:color w:val="auto"/>
                <w:w w:val="92"/>
              </w:rPr>
              <w:t>Vice Chairs</w:t>
            </w:r>
          </w:p>
        </w:tc>
        <w:tc>
          <w:tcPr>
            <w:tcW w:w="292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6"/>
                <w:szCs w:val="16"/>
                <w:color w:val="auto"/>
              </w:rPr>
              <w:t>2x</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Clawback Policy</w:t>
      </w:r>
    </w:p>
    <w:p>
      <w:pPr>
        <w:spacing w:after="0" w:line="235" w:lineRule="exact"/>
        <w:rPr>
          <w:sz w:val="20"/>
          <w:szCs w:val="20"/>
          <w:color w:val="auto"/>
        </w:rPr>
      </w:pPr>
    </w:p>
    <w:p>
      <w:pPr>
        <w:ind w:firstLine="546"/>
        <w:spacing w:after="0" w:line="266" w:lineRule="auto"/>
        <w:rPr>
          <w:sz w:val="20"/>
          <w:szCs w:val="20"/>
          <w:color w:val="auto"/>
        </w:rPr>
      </w:pPr>
      <w:r>
        <w:rPr>
          <w:rFonts w:ascii="Arial" w:cs="Arial" w:eastAsia="Arial" w:hAnsi="Arial"/>
          <w:sz w:val="16"/>
          <w:szCs w:val="16"/>
          <w:color w:val="auto"/>
        </w:rPr>
        <w:t>To the extent permitted by law, if the Committee determines that any bonus, incentive payment or equity-based compensation has been awarded or received by an executive officer and that such compensation was based on any financial results or operating metrics that were satisfied as a result of such officer’s fraudulent or intentional illegal conduct, as defined by applicable law, then the Committee shall recover from the officer such compensation (in whole or in part) as it deems appropriate under the circumstances. In determining whether to recover such payment, the Committee shall take into account such considerations as it deems appropriate, including whether the assertion of a claim may violate applicable law or prejudice the interests of the Bank in any related proceeding or investigation. Further, following a restatement of the Bank’s financial statements, on the recommendation of the Audit &amp; Risk Committee, the Committee shall cause the Bank to recover any compensation that is required to be recovered by Section 304 of the Sarbanes-Oxley Act of 2002.</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Anti-Hedging and Pledging Policies</w:t>
      </w:r>
    </w:p>
    <w:p>
      <w:pPr>
        <w:spacing w:after="0" w:line="235" w:lineRule="exact"/>
        <w:rPr>
          <w:sz w:val="20"/>
          <w:szCs w:val="20"/>
          <w:color w:val="auto"/>
        </w:rPr>
      </w:pPr>
    </w:p>
    <w:p>
      <w:pPr>
        <w:ind w:right="380" w:firstLine="546"/>
        <w:spacing w:after="0" w:line="270" w:lineRule="auto"/>
        <w:rPr>
          <w:sz w:val="20"/>
          <w:szCs w:val="20"/>
          <w:color w:val="auto"/>
        </w:rPr>
      </w:pPr>
      <w:r>
        <w:rPr>
          <w:rFonts w:ascii="Arial" w:cs="Arial" w:eastAsia="Arial" w:hAnsi="Arial"/>
          <w:sz w:val="16"/>
          <w:szCs w:val="16"/>
          <w:color w:val="auto"/>
        </w:rPr>
        <w:t>The Company's Securities Trading Policy specifically prohibits directors and employees from hedging the risk associated with the ownership of Bank of Hawaii Corporation's common stock. The Policy also prohibits directors and employees from pledging transactions involving Bank of Hawaii Corporation common stock as collateral, including the use of a traditional margin account with a broker-dealer. No officers or directors are parties to transactions involving the hedging or pledging of Company stock.</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Considerations</w:t>
      </w:r>
    </w:p>
    <w:p>
      <w:pPr>
        <w:spacing w:after="0" w:line="235" w:lineRule="exact"/>
        <w:rPr>
          <w:sz w:val="20"/>
          <w:szCs w:val="20"/>
          <w:color w:val="auto"/>
        </w:rPr>
      </w:pPr>
    </w:p>
    <w:p>
      <w:pPr>
        <w:ind w:right="60" w:firstLine="546"/>
        <w:spacing w:after="0" w:line="284" w:lineRule="auto"/>
        <w:rPr>
          <w:sz w:val="20"/>
          <w:szCs w:val="20"/>
          <w:color w:val="auto"/>
        </w:rPr>
      </w:pPr>
      <w:r>
        <w:rPr>
          <w:rFonts w:ascii="Arial" w:cs="Arial" w:eastAsia="Arial" w:hAnsi="Arial"/>
          <w:sz w:val="15"/>
          <w:szCs w:val="15"/>
          <w:color w:val="auto"/>
        </w:rPr>
        <w:t>Section 162(m) of the Internal Revenue Code (“Section 162(m)”) generally disallows a tax deduction to a public corporation for compensation over $1,000,000 paid in any year to a company’s chief executive officer or other named executive officers. However, in the case of tax years commencing before 2018, the statute exempted qualifying performance-based compensation from the deduction limit if certain requirements were met. Section 162(m) was amended in December 2017 to eliminate the exemption for performance-based compensation (other than with respect to payments made pursuant to certain “grandfathered” arrangements entered into prior to November 2, 2017, that have not since been materially modified) and to expand the group of current and former executive officers who may be covered by the deduction limit under Section 162(m). To maintain flexibility in compensating executive officers, the Committee does not require all compensation to be awarded in a tax deductible manner and compensation payable to our executive officers may exceed the Section 162(m) deductible limit at times. However, it is the intent of the Committee that executive compensation be deductible under the provisions of Section 162(m) to the fullest extent possible and consistent with overall corporate goals. Approximately $11.9 million of compensation paid in 2021 was not deductible by the Company pursuant to Section 162(m).</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EXECUTIVE COMPENSATION TABLES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SUMMARY COMPENSATION TABLE</w:t>
      </w:r>
    </w:p>
    <w:p>
      <w:pPr>
        <w:spacing w:after="0" w:line="2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total compensation paid to or earned by our named executive officers for each of the fiscal years indicated.</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142"/>
        </w:trPr>
        <w:tc>
          <w:tcPr>
            <w:tcW w:w="2440" w:type="dxa"/>
            <w:vAlign w:val="bottom"/>
            <w:tcBorders>
              <w:top w:val="single" w:sz="8" w:color="auto"/>
              <w:left w:val="single" w:sz="8" w:color="auto"/>
            </w:tcBorders>
            <w:shd w:val="clear" w:color="auto" w:fill="086FB8"/>
          </w:tcPr>
          <w:p>
            <w:pPr>
              <w:spacing w:after="0"/>
              <w:rPr>
                <w:sz w:val="12"/>
                <w:szCs w:val="12"/>
                <w:color w:val="auto"/>
              </w:rPr>
            </w:pPr>
          </w:p>
        </w:tc>
        <w:tc>
          <w:tcPr>
            <w:tcW w:w="1260" w:type="dxa"/>
            <w:vAlign w:val="bottom"/>
            <w:tcBorders>
              <w:top w:val="single" w:sz="8" w:color="auto"/>
            </w:tcBorders>
            <w:shd w:val="clear" w:color="auto" w:fill="086FB8"/>
          </w:tcPr>
          <w:p>
            <w:pPr>
              <w:spacing w:after="0"/>
              <w:rPr>
                <w:sz w:val="12"/>
                <w:szCs w:val="12"/>
                <w:color w:val="auto"/>
              </w:rPr>
            </w:pPr>
          </w:p>
        </w:tc>
        <w:tc>
          <w:tcPr>
            <w:tcW w:w="1040" w:type="dxa"/>
            <w:vAlign w:val="bottom"/>
            <w:tcBorders>
              <w:top w:val="single" w:sz="8" w:color="auto"/>
            </w:tcBorders>
            <w:shd w:val="clear" w:color="auto" w:fill="086FB8"/>
          </w:tcPr>
          <w:p>
            <w:pPr>
              <w:spacing w:after="0"/>
              <w:rPr>
                <w:sz w:val="12"/>
                <w:szCs w:val="12"/>
                <w:color w:val="auto"/>
              </w:rPr>
            </w:pPr>
          </w:p>
        </w:tc>
        <w:tc>
          <w:tcPr>
            <w:tcW w:w="920" w:type="dxa"/>
            <w:vAlign w:val="bottom"/>
            <w:tcBorders>
              <w:top w:val="single" w:sz="8" w:color="auto"/>
            </w:tcBorders>
            <w:shd w:val="clear" w:color="auto" w:fill="086FB8"/>
          </w:tcPr>
          <w:p>
            <w:pPr>
              <w:spacing w:after="0"/>
              <w:rPr>
                <w:sz w:val="12"/>
                <w:szCs w:val="12"/>
                <w:color w:val="auto"/>
              </w:rPr>
            </w:pPr>
          </w:p>
        </w:tc>
        <w:tc>
          <w:tcPr>
            <w:tcW w:w="920" w:type="dxa"/>
            <w:vAlign w:val="bottom"/>
            <w:tcBorders>
              <w:top w:val="single" w:sz="8" w:color="auto"/>
            </w:tcBorders>
            <w:shd w:val="clear" w:color="auto" w:fill="086FB8"/>
          </w:tcPr>
          <w:p>
            <w:pPr>
              <w:spacing w:after="0"/>
              <w:rPr>
                <w:sz w:val="12"/>
                <w:szCs w:val="12"/>
                <w:color w:val="auto"/>
              </w:rPr>
            </w:pPr>
          </w:p>
        </w:tc>
        <w:tc>
          <w:tcPr>
            <w:tcW w:w="860" w:type="dxa"/>
            <w:vAlign w:val="bottom"/>
            <w:tcBorders>
              <w:top w:val="single" w:sz="8" w:color="auto"/>
            </w:tcBorders>
            <w:shd w:val="clear" w:color="auto" w:fill="086FB8"/>
          </w:tcPr>
          <w:p>
            <w:pPr>
              <w:spacing w:after="0"/>
              <w:rPr>
                <w:sz w:val="12"/>
                <w:szCs w:val="12"/>
                <w:color w:val="auto"/>
              </w:rPr>
            </w:pPr>
          </w:p>
        </w:tc>
        <w:tc>
          <w:tcPr>
            <w:tcW w:w="1000" w:type="dxa"/>
            <w:vAlign w:val="bottom"/>
            <w:tcBorders>
              <w:top w:val="single" w:sz="8" w:color="auto"/>
            </w:tcBorders>
            <w:shd w:val="clear" w:color="auto" w:fill="086FB8"/>
          </w:tcPr>
          <w:p>
            <w:pPr>
              <w:spacing w:after="0"/>
              <w:rPr>
                <w:sz w:val="12"/>
                <w:szCs w:val="12"/>
                <w:color w:val="auto"/>
              </w:rPr>
            </w:pPr>
          </w:p>
        </w:tc>
        <w:tc>
          <w:tcPr>
            <w:tcW w:w="1000" w:type="dxa"/>
            <w:vAlign w:val="bottom"/>
            <w:tcBorders>
              <w:top w:val="single" w:sz="8" w:color="auto"/>
            </w:tcBorders>
            <w:shd w:val="clear" w:color="auto" w:fill="086FB8"/>
          </w:tcPr>
          <w:p>
            <w:pPr>
              <w:jc w:val="center"/>
              <w:spacing w:after="0"/>
              <w:rPr>
                <w:sz w:val="20"/>
                <w:szCs w:val="20"/>
                <w:color w:val="auto"/>
              </w:rPr>
            </w:pPr>
            <w:r>
              <w:rPr>
                <w:rFonts w:ascii="Arial" w:cs="Arial" w:eastAsia="Arial" w:hAnsi="Arial"/>
                <w:sz w:val="12"/>
                <w:szCs w:val="12"/>
                <w:b w:val="1"/>
                <w:bCs w:val="1"/>
                <w:color w:val="FFFFFF"/>
                <w:w w:val="93"/>
              </w:rPr>
              <w:t>Change in</w:t>
            </w:r>
          </w:p>
        </w:tc>
        <w:tc>
          <w:tcPr>
            <w:tcW w:w="1040" w:type="dxa"/>
            <w:vAlign w:val="bottom"/>
            <w:tcBorders>
              <w:top w:val="single" w:sz="8" w:color="auto"/>
            </w:tcBorders>
            <w:shd w:val="clear" w:color="auto" w:fill="086FB8"/>
          </w:tcPr>
          <w:p>
            <w:pPr>
              <w:spacing w:after="0"/>
              <w:rPr>
                <w:sz w:val="12"/>
                <w:szCs w:val="12"/>
                <w:color w:val="auto"/>
              </w:rPr>
            </w:pPr>
          </w:p>
        </w:tc>
        <w:tc>
          <w:tcPr>
            <w:tcW w:w="760" w:type="dxa"/>
            <w:vAlign w:val="bottom"/>
            <w:tcBorders>
              <w:top w:val="single" w:sz="8" w:color="auto"/>
              <w:right w:val="single" w:sz="8" w:color="auto"/>
            </w:tcBorders>
            <w:shd w:val="clear" w:color="auto" w:fill="086FB8"/>
          </w:tcPr>
          <w:p>
            <w:pPr>
              <w:spacing w:after="0"/>
              <w:rPr>
                <w:sz w:val="12"/>
                <w:szCs w:val="12"/>
                <w:color w:val="auto"/>
              </w:rPr>
            </w:pPr>
          </w:p>
        </w:tc>
      </w:tr>
      <w:tr>
        <w:trPr>
          <w:trHeight w:val="134"/>
        </w:trPr>
        <w:tc>
          <w:tcPr>
            <w:tcW w:w="2440" w:type="dxa"/>
            <w:vAlign w:val="bottom"/>
            <w:tcBorders>
              <w:left w:val="single" w:sz="8" w:color="auto"/>
            </w:tcBorders>
            <w:shd w:val="clear" w:color="auto" w:fill="086FB8"/>
          </w:tcPr>
          <w:p>
            <w:pPr>
              <w:spacing w:after="0"/>
              <w:rPr>
                <w:sz w:val="11"/>
                <w:szCs w:val="11"/>
                <w:color w:val="auto"/>
              </w:rPr>
            </w:pPr>
          </w:p>
        </w:tc>
        <w:tc>
          <w:tcPr>
            <w:tcW w:w="1260" w:type="dxa"/>
            <w:vAlign w:val="bottom"/>
            <w:shd w:val="clear" w:color="auto" w:fill="086FB8"/>
          </w:tcPr>
          <w:p>
            <w:pPr>
              <w:spacing w:after="0"/>
              <w:rPr>
                <w:sz w:val="11"/>
                <w:szCs w:val="11"/>
                <w:color w:val="auto"/>
              </w:rPr>
            </w:pPr>
          </w:p>
        </w:tc>
        <w:tc>
          <w:tcPr>
            <w:tcW w:w="1040" w:type="dxa"/>
            <w:vAlign w:val="bottom"/>
            <w:shd w:val="clear" w:color="auto" w:fill="086FB8"/>
          </w:tcPr>
          <w:p>
            <w:pPr>
              <w:spacing w:after="0"/>
              <w:rPr>
                <w:sz w:val="11"/>
                <w:szCs w:val="11"/>
                <w:color w:val="auto"/>
              </w:rPr>
            </w:pPr>
          </w:p>
        </w:tc>
        <w:tc>
          <w:tcPr>
            <w:tcW w:w="920" w:type="dxa"/>
            <w:vAlign w:val="bottom"/>
            <w:shd w:val="clear" w:color="auto" w:fill="086FB8"/>
          </w:tcPr>
          <w:p>
            <w:pPr>
              <w:spacing w:after="0"/>
              <w:rPr>
                <w:sz w:val="11"/>
                <w:szCs w:val="11"/>
                <w:color w:val="auto"/>
              </w:rPr>
            </w:pPr>
          </w:p>
        </w:tc>
        <w:tc>
          <w:tcPr>
            <w:tcW w:w="920" w:type="dxa"/>
            <w:vAlign w:val="bottom"/>
            <w:shd w:val="clear" w:color="auto" w:fill="086FB8"/>
          </w:tcPr>
          <w:p>
            <w:pPr>
              <w:spacing w:after="0"/>
              <w:rPr>
                <w:sz w:val="11"/>
                <w:szCs w:val="11"/>
                <w:color w:val="auto"/>
              </w:rPr>
            </w:pPr>
          </w:p>
        </w:tc>
        <w:tc>
          <w:tcPr>
            <w:tcW w:w="860" w:type="dxa"/>
            <w:vAlign w:val="bottom"/>
            <w:shd w:val="clear" w:color="auto" w:fill="086FB8"/>
          </w:tcPr>
          <w:p>
            <w:pPr>
              <w:spacing w:after="0"/>
              <w:rPr>
                <w:sz w:val="11"/>
                <w:szCs w:val="11"/>
                <w:color w:val="auto"/>
              </w:rPr>
            </w:pPr>
          </w:p>
        </w:tc>
        <w:tc>
          <w:tcPr>
            <w:tcW w:w="1000" w:type="dxa"/>
            <w:vAlign w:val="bottom"/>
            <w:shd w:val="clear" w:color="auto" w:fill="086FB8"/>
          </w:tcPr>
          <w:p>
            <w:pPr>
              <w:spacing w:after="0"/>
              <w:rPr>
                <w:sz w:val="11"/>
                <w:szCs w:val="11"/>
                <w:color w:val="auto"/>
              </w:rPr>
            </w:pPr>
          </w:p>
        </w:tc>
        <w:tc>
          <w:tcPr>
            <w:tcW w:w="100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89"/>
              </w:rPr>
              <w:t>Pension</w:t>
            </w:r>
          </w:p>
        </w:tc>
        <w:tc>
          <w:tcPr>
            <w:tcW w:w="1040" w:type="dxa"/>
            <w:vAlign w:val="bottom"/>
            <w:shd w:val="clear" w:color="auto" w:fill="086FB8"/>
          </w:tcPr>
          <w:p>
            <w:pPr>
              <w:spacing w:after="0"/>
              <w:rPr>
                <w:sz w:val="11"/>
                <w:szCs w:val="11"/>
                <w:color w:val="auto"/>
              </w:rPr>
            </w:pPr>
          </w:p>
        </w:tc>
        <w:tc>
          <w:tcPr>
            <w:tcW w:w="760" w:type="dxa"/>
            <w:vAlign w:val="bottom"/>
            <w:tcBorders>
              <w:right w:val="single" w:sz="8" w:color="auto"/>
            </w:tcBorders>
            <w:shd w:val="clear" w:color="auto" w:fill="086FB8"/>
          </w:tcPr>
          <w:p>
            <w:pPr>
              <w:spacing w:after="0"/>
              <w:rPr>
                <w:sz w:val="11"/>
                <w:szCs w:val="11"/>
                <w:color w:val="auto"/>
              </w:rPr>
            </w:pPr>
          </w:p>
        </w:tc>
      </w:tr>
      <w:tr>
        <w:trPr>
          <w:trHeight w:val="134"/>
        </w:trPr>
        <w:tc>
          <w:tcPr>
            <w:tcW w:w="2440" w:type="dxa"/>
            <w:vAlign w:val="bottom"/>
            <w:tcBorders>
              <w:left w:val="single" w:sz="8" w:color="auto"/>
            </w:tcBorders>
            <w:shd w:val="clear" w:color="auto" w:fill="086FB8"/>
          </w:tcPr>
          <w:p>
            <w:pPr>
              <w:spacing w:after="0"/>
              <w:rPr>
                <w:sz w:val="11"/>
                <w:szCs w:val="11"/>
                <w:color w:val="auto"/>
              </w:rPr>
            </w:pPr>
          </w:p>
        </w:tc>
        <w:tc>
          <w:tcPr>
            <w:tcW w:w="1260" w:type="dxa"/>
            <w:vAlign w:val="bottom"/>
            <w:shd w:val="clear" w:color="auto" w:fill="086FB8"/>
          </w:tcPr>
          <w:p>
            <w:pPr>
              <w:spacing w:after="0"/>
              <w:rPr>
                <w:sz w:val="11"/>
                <w:szCs w:val="11"/>
                <w:color w:val="auto"/>
              </w:rPr>
            </w:pPr>
          </w:p>
        </w:tc>
        <w:tc>
          <w:tcPr>
            <w:tcW w:w="1040" w:type="dxa"/>
            <w:vAlign w:val="bottom"/>
            <w:shd w:val="clear" w:color="auto" w:fill="086FB8"/>
          </w:tcPr>
          <w:p>
            <w:pPr>
              <w:spacing w:after="0"/>
              <w:rPr>
                <w:sz w:val="11"/>
                <w:szCs w:val="11"/>
                <w:color w:val="auto"/>
              </w:rPr>
            </w:pPr>
          </w:p>
        </w:tc>
        <w:tc>
          <w:tcPr>
            <w:tcW w:w="920" w:type="dxa"/>
            <w:vAlign w:val="bottom"/>
            <w:shd w:val="clear" w:color="auto" w:fill="086FB8"/>
          </w:tcPr>
          <w:p>
            <w:pPr>
              <w:spacing w:after="0"/>
              <w:rPr>
                <w:sz w:val="11"/>
                <w:szCs w:val="11"/>
                <w:color w:val="auto"/>
              </w:rPr>
            </w:pPr>
          </w:p>
        </w:tc>
        <w:tc>
          <w:tcPr>
            <w:tcW w:w="920" w:type="dxa"/>
            <w:vAlign w:val="bottom"/>
            <w:shd w:val="clear" w:color="auto" w:fill="086FB8"/>
          </w:tcPr>
          <w:p>
            <w:pPr>
              <w:spacing w:after="0"/>
              <w:rPr>
                <w:sz w:val="11"/>
                <w:szCs w:val="11"/>
                <w:color w:val="auto"/>
              </w:rPr>
            </w:pPr>
          </w:p>
        </w:tc>
        <w:tc>
          <w:tcPr>
            <w:tcW w:w="860" w:type="dxa"/>
            <w:vAlign w:val="bottom"/>
            <w:shd w:val="clear" w:color="auto" w:fill="086FB8"/>
          </w:tcPr>
          <w:p>
            <w:pPr>
              <w:spacing w:after="0"/>
              <w:rPr>
                <w:sz w:val="11"/>
                <w:szCs w:val="11"/>
                <w:color w:val="auto"/>
              </w:rPr>
            </w:pPr>
          </w:p>
        </w:tc>
        <w:tc>
          <w:tcPr>
            <w:tcW w:w="1000" w:type="dxa"/>
            <w:vAlign w:val="bottom"/>
            <w:shd w:val="clear" w:color="auto" w:fill="086FB8"/>
          </w:tcPr>
          <w:p>
            <w:pPr>
              <w:spacing w:after="0"/>
              <w:rPr>
                <w:sz w:val="11"/>
                <w:szCs w:val="11"/>
                <w:color w:val="auto"/>
              </w:rPr>
            </w:pPr>
          </w:p>
        </w:tc>
        <w:tc>
          <w:tcPr>
            <w:tcW w:w="100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5"/>
              </w:rPr>
              <w:t>Value and</w:t>
            </w:r>
          </w:p>
        </w:tc>
        <w:tc>
          <w:tcPr>
            <w:tcW w:w="1040" w:type="dxa"/>
            <w:vAlign w:val="bottom"/>
            <w:shd w:val="clear" w:color="auto" w:fill="086FB8"/>
          </w:tcPr>
          <w:p>
            <w:pPr>
              <w:spacing w:after="0"/>
              <w:rPr>
                <w:sz w:val="11"/>
                <w:szCs w:val="11"/>
                <w:color w:val="auto"/>
              </w:rPr>
            </w:pPr>
          </w:p>
        </w:tc>
        <w:tc>
          <w:tcPr>
            <w:tcW w:w="760" w:type="dxa"/>
            <w:vAlign w:val="bottom"/>
            <w:tcBorders>
              <w:right w:val="single" w:sz="8" w:color="auto"/>
            </w:tcBorders>
            <w:shd w:val="clear" w:color="auto" w:fill="086FB8"/>
          </w:tcPr>
          <w:p>
            <w:pPr>
              <w:spacing w:after="0"/>
              <w:rPr>
                <w:sz w:val="11"/>
                <w:szCs w:val="11"/>
                <w:color w:val="auto"/>
              </w:rPr>
            </w:pPr>
          </w:p>
        </w:tc>
      </w:tr>
      <w:tr>
        <w:trPr>
          <w:trHeight w:val="134"/>
        </w:trPr>
        <w:tc>
          <w:tcPr>
            <w:tcW w:w="2440" w:type="dxa"/>
            <w:vAlign w:val="bottom"/>
            <w:tcBorders>
              <w:left w:val="single" w:sz="8" w:color="auto"/>
            </w:tcBorders>
            <w:shd w:val="clear" w:color="auto" w:fill="086FB8"/>
          </w:tcPr>
          <w:p>
            <w:pPr>
              <w:spacing w:after="0"/>
              <w:rPr>
                <w:sz w:val="11"/>
                <w:szCs w:val="11"/>
                <w:color w:val="auto"/>
              </w:rPr>
            </w:pPr>
          </w:p>
        </w:tc>
        <w:tc>
          <w:tcPr>
            <w:tcW w:w="1260" w:type="dxa"/>
            <w:vAlign w:val="bottom"/>
            <w:shd w:val="clear" w:color="auto" w:fill="086FB8"/>
          </w:tcPr>
          <w:p>
            <w:pPr>
              <w:spacing w:after="0"/>
              <w:rPr>
                <w:sz w:val="11"/>
                <w:szCs w:val="11"/>
                <w:color w:val="auto"/>
              </w:rPr>
            </w:pPr>
          </w:p>
        </w:tc>
        <w:tc>
          <w:tcPr>
            <w:tcW w:w="1040" w:type="dxa"/>
            <w:vAlign w:val="bottom"/>
            <w:shd w:val="clear" w:color="auto" w:fill="086FB8"/>
          </w:tcPr>
          <w:p>
            <w:pPr>
              <w:spacing w:after="0"/>
              <w:rPr>
                <w:sz w:val="11"/>
                <w:szCs w:val="11"/>
                <w:color w:val="auto"/>
              </w:rPr>
            </w:pPr>
          </w:p>
        </w:tc>
        <w:tc>
          <w:tcPr>
            <w:tcW w:w="920" w:type="dxa"/>
            <w:vAlign w:val="bottom"/>
            <w:shd w:val="clear" w:color="auto" w:fill="086FB8"/>
          </w:tcPr>
          <w:p>
            <w:pPr>
              <w:spacing w:after="0"/>
              <w:rPr>
                <w:sz w:val="11"/>
                <w:szCs w:val="11"/>
                <w:color w:val="auto"/>
              </w:rPr>
            </w:pPr>
          </w:p>
        </w:tc>
        <w:tc>
          <w:tcPr>
            <w:tcW w:w="920" w:type="dxa"/>
            <w:vAlign w:val="bottom"/>
            <w:shd w:val="clear" w:color="auto" w:fill="086FB8"/>
          </w:tcPr>
          <w:p>
            <w:pPr>
              <w:spacing w:after="0"/>
              <w:rPr>
                <w:sz w:val="11"/>
                <w:szCs w:val="11"/>
                <w:color w:val="auto"/>
              </w:rPr>
            </w:pPr>
          </w:p>
        </w:tc>
        <w:tc>
          <w:tcPr>
            <w:tcW w:w="860" w:type="dxa"/>
            <w:vAlign w:val="bottom"/>
            <w:shd w:val="clear" w:color="auto" w:fill="086FB8"/>
          </w:tcPr>
          <w:p>
            <w:pPr>
              <w:spacing w:after="0"/>
              <w:rPr>
                <w:sz w:val="11"/>
                <w:szCs w:val="11"/>
                <w:color w:val="auto"/>
              </w:rPr>
            </w:pPr>
          </w:p>
        </w:tc>
        <w:tc>
          <w:tcPr>
            <w:tcW w:w="100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6"/>
              </w:rPr>
              <w:t>Non-Equity</w:t>
            </w:r>
          </w:p>
        </w:tc>
        <w:tc>
          <w:tcPr>
            <w:tcW w:w="100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6"/>
              </w:rPr>
              <w:t>Nonqualified</w:t>
            </w:r>
          </w:p>
        </w:tc>
        <w:tc>
          <w:tcPr>
            <w:tcW w:w="1040" w:type="dxa"/>
            <w:vAlign w:val="bottom"/>
            <w:shd w:val="clear" w:color="auto" w:fill="086FB8"/>
          </w:tcPr>
          <w:p>
            <w:pPr>
              <w:spacing w:after="0"/>
              <w:rPr>
                <w:sz w:val="11"/>
                <w:szCs w:val="11"/>
                <w:color w:val="auto"/>
              </w:rPr>
            </w:pPr>
          </w:p>
        </w:tc>
        <w:tc>
          <w:tcPr>
            <w:tcW w:w="760" w:type="dxa"/>
            <w:vAlign w:val="bottom"/>
            <w:tcBorders>
              <w:right w:val="single" w:sz="8" w:color="auto"/>
            </w:tcBorders>
            <w:shd w:val="clear" w:color="auto" w:fill="086FB8"/>
          </w:tcPr>
          <w:p>
            <w:pPr>
              <w:spacing w:after="0"/>
              <w:rPr>
                <w:sz w:val="11"/>
                <w:szCs w:val="11"/>
                <w:color w:val="auto"/>
              </w:rPr>
            </w:pPr>
          </w:p>
        </w:tc>
      </w:tr>
      <w:tr>
        <w:trPr>
          <w:trHeight w:val="134"/>
        </w:trPr>
        <w:tc>
          <w:tcPr>
            <w:tcW w:w="2440" w:type="dxa"/>
            <w:vAlign w:val="bottom"/>
            <w:tcBorders>
              <w:left w:val="single" w:sz="8" w:color="auto"/>
            </w:tcBorders>
            <w:shd w:val="clear" w:color="auto" w:fill="086FB8"/>
          </w:tcPr>
          <w:p>
            <w:pPr>
              <w:spacing w:after="0"/>
              <w:rPr>
                <w:sz w:val="11"/>
                <w:szCs w:val="11"/>
                <w:color w:val="auto"/>
              </w:rPr>
            </w:pPr>
          </w:p>
        </w:tc>
        <w:tc>
          <w:tcPr>
            <w:tcW w:w="1260" w:type="dxa"/>
            <w:vAlign w:val="bottom"/>
            <w:shd w:val="clear" w:color="auto" w:fill="086FB8"/>
          </w:tcPr>
          <w:p>
            <w:pPr>
              <w:spacing w:after="0"/>
              <w:rPr>
                <w:sz w:val="11"/>
                <w:szCs w:val="11"/>
                <w:color w:val="auto"/>
              </w:rPr>
            </w:pPr>
          </w:p>
        </w:tc>
        <w:tc>
          <w:tcPr>
            <w:tcW w:w="1040" w:type="dxa"/>
            <w:vAlign w:val="bottom"/>
            <w:shd w:val="clear" w:color="auto" w:fill="086FB8"/>
          </w:tcPr>
          <w:p>
            <w:pPr>
              <w:spacing w:after="0"/>
              <w:rPr>
                <w:sz w:val="11"/>
                <w:szCs w:val="11"/>
                <w:color w:val="auto"/>
              </w:rPr>
            </w:pPr>
          </w:p>
        </w:tc>
        <w:tc>
          <w:tcPr>
            <w:tcW w:w="920" w:type="dxa"/>
            <w:vAlign w:val="bottom"/>
            <w:shd w:val="clear" w:color="auto" w:fill="086FB8"/>
          </w:tcPr>
          <w:p>
            <w:pPr>
              <w:spacing w:after="0"/>
              <w:rPr>
                <w:sz w:val="11"/>
                <w:szCs w:val="11"/>
                <w:color w:val="auto"/>
              </w:rPr>
            </w:pPr>
          </w:p>
        </w:tc>
        <w:tc>
          <w:tcPr>
            <w:tcW w:w="920" w:type="dxa"/>
            <w:vAlign w:val="bottom"/>
            <w:shd w:val="clear" w:color="auto" w:fill="086FB8"/>
          </w:tcPr>
          <w:p>
            <w:pPr>
              <w:spacing w:after="0"/>
              <w:rPr>
                <w:sz w:val="11"/>
                <w:szCs w:val="11"/>
                <w:color w:val="auto"/>
              </w:rPr>
            </w:pPr>
          </w:p>
        </w:tc>
        <w:tc>
          <w:tcPr>
            <w:tcW w:w="860" w:type="dxa"/>
            <w:vAlign w:val="bottom"/>
            <w:shd w:val="clear" w:color="auto" w:fill="086FB8"/>
          </w:tcPr>
          <w:p>
            <w:pPr>
              <w:spacing w:after="0"/>
              <w:rPr>
                <w:sz w:val="11"/>
                <w:szCs w:val="11"/>
                <w:color w:val="auto"/>
              </w:rPr>
            </w:pPr>
          </w:p>
        </w:tc>
        <w:tc>
          <w:tcPr>
            <w:tcW w:w="100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6"/>
              </w:rPr>
              <w:t>Incentive</w:t>
            </w:r>
          </w:p>
        </w:tc>
        <w:tc>
          <w:tcPr>
            <w:tcW w:w="100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7"/>
              </w:rPr>
              <w:t>Deferred</w:t>
            </w:r>
          </w:p>
        </w:tc>
        <w:tc>
          <w:tcPr>
            <w:tcW w:w="1040" w:type="dxa"/>
            <w:vAlign w:val="bottom"/>
            <w:shd w:val="clear" w:color="auto" w:fill="086FB8"/>
          </w:tcPr>
          <w:p>
            <w:pPr>
              <w:spacing w:after="0"/>
              <w:rPr>
                <w:sz w:val="11"/>
                <w:szCs w:val="11"/>
                <w:color w:val="auto"/>
              </w:rPr>
            </w:pPr>
          </w:p>
        </w:tc>
        <w:tc>
          <w:tcPr>
            <w:tcW w:w="760" w:type="dxa"/>
            <w:vAlign w:val="bottom"/>
            <w:tcBorders>
              <w:right w:val="single" w:sz="8" w:color="auto"/>
            </w:tcBorders>
            <w:shd w:val="clear" w:color="auto" w:fill="086FB8"/>
          </w:tcPr>
          <w:p>
            <w:pPr>
              <w:spacing w:after="0"/>
              <w:rPr>
                <w:sz w:val="11"/>
                <w:szCs w:val="11"/>
                <w:color w:val="auto"/>
              </w:rPr>
            </w:pPr>
          </w:p>
        </w:tc>
      </w:tr>
      <w:tr>
        <w:trPr>
          <w:trHeight w:val="134"/>
        </w:trPr>
        <w:tc>
          <w:tcPr>
            <w:tcW w:w="2440" w:type="dxa"/>
            <w:vAlign w:val="bottom"/>
            <w:tcBorders>
              <w:left w:val="single" w:sz="8" w:color="auto"/>
            </w:tcBorders>
            <w:shd w:val="clear" w:color="auto" w:fill="086FB8"/>
          </w:tcPr>
          <w:p>
            <w:pPr>
              <w:spacing w:after="0"/>
              <w:rPr>
                <w:sz w:val="11"/>
                <w:szCs w:val="11"/>
                <w:color w:val="auto"/>
              </w:rPr>
            </w:pPr>
          </w:p>
        </w:tc>
        <w:tc>
          <w:tcPr>
            <w:tcW w:w="1260" w:type="dxa"/>
            <w:vAlign w:val="bottom"/>
            <w:shd w:val="clear" w:color="auto" w:fill="086FB8"/>
          </w:tcPr>
          <w:p>
            <w:pPr>
              <w:spacing w:after="0"/>
              <w:rPr>
                <w:sz w:val="11"/>
                <w:szCs w:val="11"/>
                <w:color w:val="auto"/>
              </w:rPr>
            </w:pPr>
          </w:p>
        </w:tc>
        <w:tc>
          <w:tcPr>
            <w:tcW w:w="1040" w:type="dxa"/>
            <w:vAlign w:val="bottom"/>
            <w:shd w:val="clear" w:color="auto" w:fill="086FB8"/>
          </w:tcPr>
          <w:p>
            <w:pPr>
              <w:spacing w:after="0"/>
              <w:rPr>
                <w:sz w:val="11"/>
                <w:szCs w:val="11"/>
                <w:color w:val="auto"/>
              </w:rPr>
            </w:pPr>
          </w:p>
        </w:tc>
        <w:tc>
          <w:tcPr>
            <w:tcW w:w="920" w:type="dxa"/>
            <w:vAlign w:val="bottom"/>
            <w:shd w:val="clear" w:color="auto" w:fill="086FB8"/>
          </w:tcPr>
          <w:p>
            <w:pPr>
              <w:spacing w:after="0"/>
              <w:rPr>
                <w:sz w:val="11"/>
                <w:szCs w:val="11"/>
                <w:color w:val="auto"/>
              </w:rPr>
            </w:pPr>
          </w:p>
        </w:tc>
        <w:tc>
          <w:tcPr>
            <w:tcW w:w="920" w:type="dxa"/>
            <w:vAlign w:val="bottom"/>
            <w:shd w:val="clear" w:color="auto" w:fill="086FB8"/>
          </w:tcPr>
          <w:p>
            <w:pPr>
              <w:jc w:val="center"/>
              <w:ind w:right="78"/>
              <w:spacing w:after="0" w:line="134" w:lineRule="exact"/>
              <w:rPr>
                <w:sz w:val="20"/>
                <w:szCs w:val="20"/>
                <w:color w:val="auto"/>
              </w:rPr>
            </w:pPr>
            <w:r>
              <w:rPr>
                <w:rFonts w:ascii="Arial" w:cs="Arial" w:eastAsia="Arial" w:hAnsi="Arial"/>
                <w:sz w:val="12"/>
                <w:szCs w:val="12"/>
                <w:b w:val="1"/>
                <w:bCs w:val="1"/>
                <w:color w:val="FFFFFF"/>
                <w:w w:val="91"/>
              </w:rPr>
              <w:t>Stock</w:t>
            </w:r>
          </w:p>
        </w:tc>
        <w:tc>
          <w:tcPr>
            <w:tcW w:w="86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2"/>
              </w:rPr>
              <w:t>Option</w:t>
            </w:r>
          </w:p>
        </w:tc>
        <w:tc>
          <w:tcPr>
            <w:tcW w:w="100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4"/>
              </w:rPr>
              <w:t>Plan</w:t>
            </w:r>
          </w:p>
        </w:tc>
        <w:tc>
          <w:tcPr>
            <w:tcW w:w="100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1"/>
              </w:rPr>
              <w:t>Compensation</w:t>
            </w:r>
          </w:p>
        </w:tc>
        <w:tc>
          <w:tcPr>
            <w:tcW w:w="1040" w:type="dxa"/>
            <w:vAlign w:val="bottom"/>
            <w:shd w:val="clear" w:color="auto" w:fill="086FB8"/>
          </w:tcPr>
          <w:p>
            <w:pPr>
              <w:jc w:val="center"/>
              <w:ind w:right="18"/>
              <w:spacing w:after="0" w:line="134" w:lineRule="exact"/>
              <w:rPr>
                <w:sz w:val="20"/>
                <w:szCs w:val="20"/>
                <w:color w:val="auto"/>
              </w:rPr>
            </w:pPr>
            <w:r>
              <w:rPr>
                <w:rFonts w:ascii="Arial" w:cs="Arial" w:eastAsia="Arial" w:hAnsi="Arial"/>
                <w:sz w:val="12"/>
                <w:szCs w:val="12"/>
                <w:b w:val="1"/>
                <w:bCs w:val="1"/>
                <w:color w:val="FFFFFF"/>
              </w:rPr>
              <w:t>All Other</w:t>
            </w:r>
          </w:p>
        </w:tc>
        <w:tc>
          <w:tcPr>
            <w:tcW w:w="760" w:type="dxa"/>
            <w:vAlign w:val="bottom"/>
            <w:tcBorders>
              <w:right w:val="single" w:sz="8" w:color="auto"/>
            </w:tcBorders>
            <w:shd w:val="clear" w:color="auto" w:fill="086FB8"/>
          </w:tcPr>
          <w:p>
            <w:pPr>
              <w:spacing w:after="0"/>
              <w:rPr>
                <w:sz w:val="11"/>
                <w:szCs w:val="11"/>
                <w:color w:val="auto"/>
              </w:rPr>
            </w:pPr>
          </w:p>
        </w:tc>
      </w:tr>
      <w:tr>
        <w:trPr>
          <w:trHeight w:val="134"/>
        </w:trPr>
        <w:tc>
          <w:tcPr>
            <w:tcW w:w="2440" w:type="dxa"/>
            <w:vAlign w:val="bottom"/>
            <w:tcBorders>
              <w:left w:val="single" w:sz="8" w:color="auto"/>
            </w:tcBorders>
            <w:shd w:val="clear" w:color="auto" w:fill="086FB8"/>
          </w:tcPr>
          <w:p>
            <w:pPr>
              <w:spacing w:after="0"/>
              <w:rPr>
                <w:sz w:val="11"/>
                <w:szCs w:val="11"/>
                <w:color w:val="auto"/>
              </w:rPr>
            </w:pPr>
          </w:p>
        </w:tc>
        <w:tc>
          <w:tcPr>
            <w:tcW w:w="1260" w:type="dxa"/>
            <w:vAlign w:val="bottom"/>
            <w:shd w:val="clear" w:color="auto" w:fill="086FB8"/>
          </w:tcPr>
          <w:p>
            <w:pPr>
              <w:spacing w:after="0"/>
              <w:rPr>
                <w:sz w:val="11"/>
                <w:szCs w:val="11"/>
                <w:color w:val="auto"/>
              </w:rPr>
            </w:pPr>
          </w:p>
        </w:tc>
        <w:tc>
          <w:tcPr>
            <w:tcW w:w="1040" w:type="dxa"/>
            <w:vAlign w:val="bottom"/>
            <w:shd w:val="clear" w:color="auto" w:fill="086FB8"/>
          </w:tcPr>
          <w:p>
            <w:pPr>
              <w:jc w:val="right"/>
              <w:ind w:right="338"/>
              <w:spacing w:after="0" w:line="134" w:lineRule="exact"/>
              <w:rPr>
                <w:sz w:val="20"/>
                <w:szCs w:val="20"/>
                <w:color w:val="auto"/>
              </w:rPr>
            </w:pPr>
            <w:r>
              <w:rPr>
                <w:rFonts w:ascii="Arial" w:cs="Arial" w:eastAsia="Arial" w:hAnsi="Arial"/>
                <w:sz w:val="12"/>
                <w:szCs w:val="12"/>
                <w:b w:val="1"/>
                <w:bCs w:val="1"/>
                <w:color w:val="FFFFFF"/>
              </w:rPr>
              <w:t>Salary</w:t>
            </w:r>
          </w:p>
        </w:tc>
        <w:tc>
          <w:tcPr>
            <w:tcW w:w="920" w:type="dxa"/>
            <w:vAlign w:val="bottom"/>
            <w:shd w:val="clear" w:color="auto" w:fill="086FB8"/>
          </w:tcPr>
          <w:p>
            <w:pPr>
              <w:ind w:left="200"/>
              <w:spacing w:after="0" w:line="134" w:lineRule="exact"/>
              <w:rPr>
                <w:sz w:val="20"/>
                <w:szCs w:val="20"/>
                <w:color w:val="auto"/>
              </w:rPr>
            </w:pPr>
            <w:r>
              <w:rPr>
                <w:rFonts w:ascii="Arial" w:cs="Arial" w:eastAsia="Arial" w:hAnsi="Arial"/>
                <w:sz w:val="12"/>
                <w:szCs w:val="12"/>
                <w:b w:val="1"/>
                <w:bCs w:val="1"/>
                <w:color w:val="FFFFFF"/>
              </w:rPr>
              <w:t>Bonus</w:t>
            </w:r>
          </w:p>
        </w:tc>
        <w:tc>
          <w:tcPr>
            <w:tcW w:w="920" w:type="dxa"/>
            <w:vAlign w:val="bottom"/>
            <w:shd w:val="clear" w:color="auto" w:fill="086FB8"/>
          </w:tcPr>
          <w:p>
            <w:pPr>
              <w:jc w:val="center"/>
              <w:ind w:right="98"/>
              <w:spacing w:after="0" w:line="134" w:lineRule="exact"/>
              <w:rPr>
                <w:sz w:val="20"/>
                <w:szCs w:val="20"/>
                <w:color w:val="auto"/>
              </w:rPr>
            </w:pPr>
            <w:r>
              <w:rPr>
                <w:rFonts w:ascii="Arial" w:cs="Arial" w:eastAsia="Arial" w:hAnsi="Arial"/>
                <w:sz w:val="12"/>
                <w:szCs w:val="12"/>
                <w:b w:val="1"/>
                <w:bCs w:val="1"/>
                <w:color w:val="FFFFFF"/>
                <w:w w:val="92"/>
              </w:rPr>
              <w:t>Awards</w:t>
            </w:r>
          </w:p>
        </w:tc>
        <w:tc>
          <w:tcPr>
            <w:tcW w:w="86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2"/>
              </w:rPr>
              <w:t>Awards</w:t>
            </w:r>
          </w:p>
        </w:tc>
        <w:tc>
          <w:tcPr>
            <w:tcW w:w="100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3"/>
              </w:rPr>
              <w:t>Compensation</w:t>
            </w:r>
          </w:p>
        </w:tc>
        <w:tc>
          <w:tcPr>
            <w:tcW w:w="100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3"/>
              </w:rPr>
              <w:t>Earnings</w:t>
            </w:r>
          </w:p>
        </w:tc>
        <w:tc>
          <w:tcPr>
            <w:tcW w:w="104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3"/>
              </w:rPr>
              <w:t>Compensation</w:t>
            </w:r>
          </w:p>
        </w:tc>
        <w:tc>
          <w:tcPr>
            <w:tcW w:w="760" w:type="dxa"/>
            <w:vAlign w:val="bottom"/>
            <w:tcBorders>
              <w:right w:val="single" w:sz="8" w:color="auto"/>
            </w:tcBorders>
            <w:shd w:val="clear" w:color="auto" w:fill="086FB8"/>
          </w:tcPr>
          <w:p>
            <w:pPr>
              <w:jc w:val="right"/>
              <w:ind w:right="198"/>
              <w:spacing w:after="0" w:line="134" w:lineRule="exact"/>
              <w:rPr>
                <w:sz w:val="20"/>
                <w:szCs w:val="20"/>
                <w:color w:val="auto"/>
              </w:rPr>
            </w:pPr>
            <w:r>
              <w:rPr>
                <w:rFonts w:ascii="Arial" w:cs="Arial" w:eastAsia="Arial" w:hAnsi="Arial"/>
                <w:sz w:val="12"/>
                <w:szCs w:val="12"/>
                <w:b w:val="1"/>
                <w:bCs w:val="1"/>
                <w:color w:val="FFFFFF"/>
              </w:rPr>
              <w:t>Total</w:t>
            </w:r>
          </w:p>
        </w:tc>
      </w:tr>
      <w:tr>
        <w:trPr>
          <w:trHeight w:val="152"/>
        </w:trPr>
        <w:tc>
          <w:tcPr>
            <w:tcW w:w="2440" w:type="dxa"/>
            <w:vAlign w:val="bottom"/>
            <w:tcBorders>
              <w:left w:val="single" w:sz="8" w:color="auto"/>
              <w:bottom w:val="single" w:sz="8" w:color="auto"/>
            </w:tcBorders>
            <w:shd w:val="clear" w:color="auto" w:fill="086FB8"/>
          </w:tcPr>
          <w:p>
            <w:pPr>
              <w:ind w:left="140"/>
              <w:spacing w:after="0"/>
              <w:rPr>
                <w:sz w:val="20"/>
                <w:szCs w:val="20"/>
                <w:color w:val="auto"/>
              </w:rPr>
            </w:pPr>
            <w:r>
              <w:rPr>
                <w:rFonts w:ascii="Arial" w:cs="Arial" w:eastAsia="Arial" w:hAnsi="Arial"/>
                <w:sz w:val="12"/>
                <w:szCs w:val="12"/>
                <w:b w:val="1"/>
                <w:bCs w:val="1"/>
                <w:color w:val="FFFFFF"/>
              </w:rPr>
              <w:t>Name and Principal Position</w:t>
            </w:r>
          </w:p>
        </w:tc>
        <w:tc>
          <w:tcPr>
            <w:tcW w:w="1260" w:type="dxa"/>
            <w:vAlign w:val="bottom"/>
            <w:tcBorders>
              <w:bottom w:val="single" w:sz="8" w:color="auto"/>
            </w:tcBorders>
            <w:shd w:val="clear" w:color="auto" w:fill="086FB8"/>
          </w:tcPr>
          <w:p>
            <w:pPr>
              <w:ind w:left="720"/>
              <w:spacing w:after="0"/>
              <w:rPr>
                <w:sz w:val="20"/>
                <w:szCs w:val="20"/>
                <w:color w:val="auto"/>
              </w:rPr>
            </w:pPr>
            <w:r>
              <w:rPr>
                <w:rFonts w:ascii="Arial" w:cs="Arial" w:eastAsia="Arial" w:hAnsi="Arial"/>
                <w:sz w:val="12"/>
                <w:szCs w:val="12"/>
                <w:b w:val="1"/>
                <w:bCs w:val="1"/>
                <w:color w:val="FFFFFF"/>
              </w:rPr>
              <w:t>Year</w:t>
            </w:r>
          </w:p>
        </w:tc>
        <w:tc>
          <w:tcPr>
            <w:tcW w:w="1040" w:type="dxa"/>
            <w:vAlign w:val="bottom"/>
            <w:tcBorders>
              <w:bottom w:val="single" w:sz="8" w:color="auto"/>
            </w:tcBorders>
            <w:shd w:val="clear" w:color="auto" w:fill="086FB8"/>
          </w:tcPr>
          <w:p>
            <w:pPr>
              <w:jc w:val="right"/>
              <w:ind w:right="358"/>
              <w:spacing w:after="0"/>
              <w:rPr>
                <w:sz w:val="20"/>
                <w:szCs w:val="20"/>
                <w:color w:val="auto"/>
              </w:rPr>
            </w:pPr>
            <w:r>
              <w:rPr>
                <w:rFonts w:ascii="Arial" w:cs="Arial" w:eastAsia="Arial" w:hAnsi="Arial"/>
                <w:sz w:val="12"/>
                <w:szCs w:val="12"/>
                <w:b w:val="1"/>
                <w:bCs w:val="1"/>
                <w:color w:val="FFFFFF"/>
              </w:rPr>
              <w:t>($)(1)</w:t>
            </w:r>
          </w:p>
        </w:tc>
        <w:tc>
          <w:tcPr>
            <w:tcW w:w="920" w:type="dxa"/>
            <w:vAlign w:val="bottom"/>
            <w:tcBorders>
              <w:bottom w:val="single" w:sz="8" w:color="auto"/>
            </w:tcBorders>
            <w:shd w:val="clear" w:color="auto" w:fill="086FB8"/>
          </w:tcPr>
          <w:p>
            <w:pPr>
              <w:ind w:left="300"/>
              <w:spacing w:after="0"/>
              <w:rPr>
                <w:sz w:val="20"/>
                <w:szCs w:val="20"/>
                <w:color w:val="auto"/>
              </w:rPr>
            </w:pPr>
            <w:r>
              <w:rPr>
                <w:rFonts w:ascii="Arial" w:cs="Arial" w:eastAsia="Arial" w:hAnsi="Arial"/>
                <w:sz w:val="12"/>
                <w:szCs w:val="12"/>
                <w:b w:val="1"/>
                <w:bCs w:val="1"/>
                <w:color w:val="FFFFFF"/>
              </w:rPr>
              <w:t>($)</w:t>
            </w:r>
          </w:p>
        </w:tc>
        <w:tc>
          <w:tcPr>
            <w:tcW w:w="920" w:type="dxa"/>
            <w:vAlign w:val="bottom"/>
            <w:tcBorders>
              <w:bottom w:val="single" w:sz="8" w:color="auto"/>
            </w:tcBorders>
            <w:shd w:val="clear" w:color="auto" w:fill="086FB8"/>
          </w:tcPr>
          <w:p>
            <w:pPr>
              <w:jc w:val="center"/>
              <w:ind w:right="78"/>
              <w:spacing w:after="0"/>
              <w:rPr>
                <w:sz w:val="20"/>
                <w:szCs w:val="20"/>
                <w:color w:val="auto"/>
              </w:rPr>
            </w:pPr>
            <w:r>
              <w:rPr>
                <w:rFonts w:ascii="Arial" w:cs="Arial" w:eastAsia="Arial" w:hAnsi="Arial"/>
                <w:sz w:val="12"/>
                <w:szCs w:val="12"/>
                <w:b w:val="1"/>
                <w:bCs w:val="1"/>
                <w:color w:val="FFFFFF"/>
              </w:rPr>
              <w:t>($)(2)</w:t>
            </w:r>
          </w:p>
        </w:tc>
        <w:tc>
          <w:tcPr>
            <w:tcW w:w="860" w:type="dxa"/>
            <w:vAlign w:val="bottom"/>
            <w:tcBorders>
              <w:bottom w:val="single" w:sz="8" w:color="auto"/>
            </w:tcBorders>
            <w:shd w:val="clear" w:color="auto" w:fill="086FB8"/>
          </w:tcPr>
          <w:p>
            <w:pPr>
              <w:jc w:val="center"/>
              <w:spacing w:after="0"/>
              <w:rPr>
                <w:sz w:val="20"/>
                <w:szCs w:val="20"/>
                <w:color w:val="auto"/>
              </w:rPr>
            </w:pPr>
            <w:r>
              <w:rPr>
                <w:rFonts w:ascii="Arial" w:cs="Arial" w:eastAsia="Arial" w:hAnsi="Arial"/>
                <w:sz w:val="12"/>
                <w:szCs w:val="12"/>
                <w:b w:val="1"/>
                <w:bCs w:val="1"/>
                <w:color w:val="FFFFFF"/>
              </w:rPr>
              <w:t>($)</w:t>
            </w:r>
          </w:p>
        </w:tc>
        <w:tc>
          <w:tcPr>
            <w:tcW w:w="1000" w:type="dxa"/>
            <w:vAlign w:val="bottom"/>
            <w:tcBorders>
              <w:bottom w:val="single" w:sz="8" w:color="auto"/>
            </w:tcBorders>
            <w:shd w:val="clear" w:color="auto" w:fill="086FB8"/>
          </w:tcPr>
          <w:p>
            <w:pPr>
              <w:jc w:val="center"/>
              <w:spacing w:after="0"/>
              <w:rPr>
                <w:sz w:val="20"/>
                <w:szCs w:val="20"/>
                <w:color w:val="auto"/>
              </w:rPr>
            </w:pPr>
            <w:r>
              <w:rPr>
                <w:rFonts w:ascii="Arial" w:cs="Arial" w:eastAsia="Arial" w:hAnsi="Arial"/>
                <w:sz w:val="12"/>
                <w:szCs w:val="12"/>
                <w:b w:val="1"/>
                <w:bCs w:val="1"/>
                <w:color w:val="FFFFFF"/>
                <w:w w:val="95"/>
              </w:rPr>
              <w:t>($)(3)</w:t>
            </w:r>
          </w:p>
        </w:tc>
        <w:tc>
          <w:tcPr>
            <w:tcW w:w="1000" w:type="dxa"/>
            <w:vAlign w:val="bottom"/>
            <w:tcBorders>
              <w:bottom w:val="single" w:sz="8" w:color="auto"/>
            </w:tcBorders>
            <w:shd w:val="clear" w:color="auto" w:fill="086FB8"/>
          </w:tcPr>
          <w:p>
            <w:pPr>
              <w:jc w:val="center"/>
              <w:spacing w:after="0"/>
              <w:rPr>
                <w:sz w:val="20"/>
                <w:szCs w:val="20"/>
                <w:color w:val="auto"/>
              </w:rPr>
            </w:pPr>
            <w:r>
              <w:rPr>
                <w:rFonts w:ascii="Arial" w:cs="Arial" w:eastAsia="Arial" w:hAnsi="Arial"/>
                <w:sz w:val="12"/>
                <w:szCs w:val="12"/>
                <w:b w:val="1"/>
                <w:bCs w:val="1"/>
                <w:color w:val="FFFFFF"/>
              </w:rPr>
              <w:t>($)(4)</w:t>
            </w:r>
          </w:p>
        </w:tc>
        <w:tc>
          <w:tcPr>
            <w:tcW w:w="1040" w:type="dxa"/>
            <w:vAlign w:val="bottom"/>
            <w:tcBorders>
              <w:bottom w:val="single" w:sz="8" w:color="auto"/>
            </w:tcBorders>
            <w:shd w:val="clear" w:color="auto" w:fill="086FB8"/>
          </w:tcPr>
          <w:p>
            <w:pPr>
              <w:jc w:val="center"/>
              <w:ind w:right="18"/>
              <w:spacing w:after="0"/>
              <w:rPr>
                <w:sz w:val="20"/>
                <w:szCs w:val="20"/>
                <w:color w:val="auto"/>
              </w:rPr>
            </w:pPr>
            <w:r>
              <w:rPr>
                <w:rFonts w:ascii="Arial" w:cs="Arial" w:eastAsia="Arial" w:hAnsi="Arial"/>
                <w:sz w:val="12"/>
                <w:szCs w:val="12"/>
                <w:b w:val="1"/>
                <w:bCs w:val="1"/>
                <w:color w:val="FFFFFF"/>
                <w:w w:val="95"/>
              </w:rPr>
              <w:t>($)(5)</w:t>
            </w:r>
          </w:p>
        </w:tc>
        <w:tc>
          <w:tcPr>
            <w:tcW w:w="760" w:type="dxa"/>
            <w:vAlign w:val="bottom"/>
            <w:tcBorders>
              <w:bottom w:val="single" w:sz="8" w:color="auto"/>
              <w:right w:val="single" w:sz="8" w:color="auto"/>
            </w:tcBorders>
            <w:shd w:val="clear" w:color="auto" w:fill="086FB8"/>
          </w:tcPr>
          <w:p>
            <w:pPr>
              <w:jc w:val="right"/>
              <w:ind w:right="258"/>
              <w:spacing w:after="0"/>
              <w:rPr>
                <w:sz w:val="20"/>
                <w:szCs w:val="20"/>
                <w:color w:val="auto"/>
              </w:rPr>
            </w:pPr>
            <w:r>
              <w:rPr>
                <w:rFonts w:ascii="Arial" w:cs="Arial" w:eastAsia="Arial" w:hAnsi="Arial"/>
                <w:sz w:val="12"/>
                <w:szCs w:val="12"/>
                <w:b w:val="1"/>
                <w:bCs w:val="1"/>
                <w:color w:val="FFFFFF"/>
              </w:rPr>
              <w:t>($)</w:t>
            </w:r>
          </w:p>
        </w:tc>
      </w:tr>
      <w:tr>
        <w:trPr>
          <w:trHeight w:val="140"/>
        </w:trPr>
        <w:tc>
          <w:tcPr>
            <w:tcW w:w="244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Peter S. Ho</w:t>
            </w:r>
          </w:p>
        </w:tc>
        <w:tc>
          <w:tcPr>
            <w:tcW w:w="1260" w:type="dxa"/>
            <w:vAlign w:val="bottom"/>
          </w:tcPr>
          <w:p>
            <w:pPr>
              <w:ind w:left="720"/>
              <w:spacing w:after="0"/>
              <w:rPr>
                <w:sz w:val="20"/>
                <w:szCs w:val="20"/>
                <w:color w:val="auto"/>
              </w:rPr>
            </w:pPr>
            <w:r>
              <w:rPr>
                <w:rFonts w:ascii="Arial" w:cs="Arial" w:eastAsia="Arial" w:hAnsi="Arial"/>
                <w:sz w:val="12"/>
                <w:szCs w:val="12"/>
                <w:color w:val="auto"/>
              </w:rPr>
              <w:t>2021</w:t>
            </w:r>
          </w:p>
        </w:tc>
        <w:tc>
          <w:tcPr>
            <w:tcW w:w="1040" w:type="dxa"/>
            <w:vAlign w:val="bottom"/>
          </w:tcPr>
          <w:p>
            <w:pPr>
              <w:jc w:val="right"/>
              <w:ind w:right="158"/>
              <w:spacing w:after="0"/>
              <w:rPr>
                <w:sz w:val="20"/>
                <w:szCs w:val="20"/>
                <w:color w:val="auto"/>
              </w:rPr>
            </w:pPr>
            <w:r>
              <w:rPr>
                <w:rFonts w:ascii="Arial" w:cs="Arial" w:eastAsia="Arial" w:hAnsi="Arial"/>
                <w:sz w:val="12"/>
                <w:szCs w:val="12"/>
                <w:color w:val="auto"/>
              </w:rPr>
              <w:t>860,000</w:t>
            </w:r>
          </w:p>
        </w:tc>
        <w:tc>
          <w:tcPr>
            <w:tcW w:w="920" w:type="dxa"/>
            <w:vAlign w:val="bottom"/>
          </w:tcPr>
          <w:p>
            <w:pPr>
              <w:ind w:left="60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18"/>
              <w:spacing w:after="0"/>
              <w:rPr>
                <w:sz w:val="20"/>
                <w:szCs w:val="20"/>
                <w:color w:val="auto"/>
              </w:rPr>
            </w:pPr>
            <w:r>
              <w:rPr>
                <w:rFonts w:ascii="Arial" w:cs="Arial" w:eastAsia="Arial" w:hAnsi="Arial"/>
                <w:sz w:val="12"/>
                <w:szCs w:val="12"/>
                <w:color w:val="auto"/>
              </w:rPr>
              <w:t>4,211,668</w:t>
            </w:r>
          </w:p>
        </w:tc>
        <w:tc>
          <w:tcPr>
            <w:tcW w:w="860" w:type="dxa"/>
            <w:vAlign w:val="bottom"/>
          </w:tcPr>
          <w:p>
            <w:pPr>
              <w:ind w:left="64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2,150,000</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118"/>
              <w:spacing w:after="0"/>
              <w:rPr>
                <w:sz w:val="20"/>
                <w:szCs w:val="20"/>
                <w:color w:val="auto"/>
              </w:rPr>
            </w:pPr>
            <w:r>
              <w:rPr>
                <w:rFonts w:ascii="Arial" w:cs="Arial" w:eastAsia="Arial" w:hAnsi="Arial"/>
                <w:sz w:val="12"/>
                <w:szCs w:val="12"/>
                <w:color w:val="auto"/>
              </w:rPr>
              <w:t>117,566</w:t>
            </w:r>
          </w:p>
        </w:tc>
        <w:tc>
          <w:tcPr>
            <w:tcW w:w="76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7,339,234</w:t>
            </w:r>
          </w:p>
        </w:tc>
      </w:tr>
      <w:tr>
        <w:trPr>
          <w:trHeight w:val="147"/>
        </w:trPr>
        <w:tc>
          <w:tcPr>
            <w:tcW w:w="2440" w:type="dxa"/>
            <w:vAlign w:val="bottom"/>
            <w:tcBorders>
              <w:left w:val="single" w:sz="8" w:color="auto"/>
            </w:tcBorders>
          </w:tcPr>
          <w:p>
            <w:pPr>
              <w:ind w:left="380"/>
              <w:spacing w:after="0"/>
              <w:rPr>
                <w:sz w:val="20"/>
                <w:szCs w:val="20"/>
                <w:color w:val="auto"/>
              </w:rPr>
            </w:pPr>
            <w:r>
              <w:rPr>
                <w:rFonts w:ascii="Arial" w:cs="Arial" w:eastAsia="Arial" w:hAnsi="Arial"/>
                <w:sz w:val="12"/>
                <w:szCs w:val="12"/>
                <w:color w:val="auto"/>
              </w:rPr>
              <w:t>Chairman of the Board,</w:t>
            </w:r>
          </w:p>
        </w:tc>
        <w:tc>
          <w:tcPr>
            <w:tcW w:w="1260" w:type="dxa"/>
            <w:vAlign w:val="bottom"/>
          </w:tcPr>
          <w:p>
            <w:pPr>
              <w:ind w:left="720"/>
              <w:spacing w:after="0"/>
              <w:rPr>
                <w:sz w:val="20"/>
                <w:szCs w:val="20"/>
                <w:color w:val="auto"/>
              </w:rPr>
            </w:pPr>
            <w:r>
              <w:rPr>
                <w:rFonts w:ascii="Arial" w:cs="Arial" w:eastAsia="Arial" w:hAnsi="Arial"/>
                <w:sz w:val="12"/>
                <w:szCs w:val="12"/>
                <w:color w:val="auto"/>
              </w:rPr>
              <w:t>2020</w:t>
            </w:r>
          </w:p>
        </w:tc>
        <w:tc>
          <w:tcPr>
            <w:tcW w:w="1040" w:type="dxa"/>
            <w:vAlign w:val="bottom"/>
          </w:tcPr>
          <w:p>
            <w:pPr>
              <w:jc w:val="right"/>
              <w:ind w:right="158"/>
              <w:spacing w:after="0"/>
              <w:rPr>
                <w:sz w:val="20"/>
                <w:szCs w:val="20"/>
                <w:color w:val="auto"/>
              </w:rPr>
            </w:pPr>
            <w:r>
              <w:rPr>
                <w:rFonts w:ascii="Arial" w:cs="Arial" w:eastAsia="Arial" w:hAnsi="Arial"/>
                <w:sz w:val="12"/>
                <w:szCs w:val="12"/>
                <w:color w:val="auto"/>
              </w:rPr>
              <w:t>850,173</w:t>
            </w:r>
          </w:p>
        </w:tc>
        <w:tc>
          <w:tcPr>
            <w:tcW w:w="920" w:type="dxa"/>
            <w:vAlign w:val="bottom"/>
          </w:tcPr>
          <w:p>
            <w:pPr>
              <w:ind w:left="60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18"/>
              <w:spacing w:after="0"/>
              <w:rPr>
                <w:sz w:val="20"/>
                <w:szCs w:val="20"/>
                <w:color w:val="auto"/>
              </w:rPr>
            </w:pPr>
            <w:r>
              <w:rPr>
                <w:rFonts w:ascii="Arial" w:cs="Arial" w:eastAsia="Arial" w:hAnsi="Arial"/>
                <w:sz w:val="12"/>
                <w:szCs w:val="12"/>
                <w:color w:val="auto"/>
              </w:rPr>
              <w:t>2,500,060</w:t>
            </w:r>
          </w:p>
        </w:tc>
        <w:tc>
          <w:tcPr>
            <w:tcW w:w="860" w:type="dxa"/>
            <w:vAlign w:val="bottom"/>
          </w:tcPr>
          <w:p>
            <w:pPr>
              <w:ind w:left="64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711,563</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2,855</w:t>
            </w:r>
          </w:p>
        </w:tc>
        <w:tc>
          <w:tcPr>
            <w:tcW w:w="1040" w:type="dxa"/>
            <w:vAlign w:val="bottom"/>
          </w:tcPr>
          <w:p>
            <w:pPr>
              <w:jc w:val="right"/>
              <w:ind w:right="118"/>
              <w:spacing w:after="0"/>
              <w:rPr>
                <w:sz w:val="20"/>
                <w:szCs w:val="20"/>
                <w:color w:val="auto"/>
              </w:rPr>
            </w:pPr>
            <w:r>
              <w:rPr>
                <w:rFonts w:ascii="Arial" w:cs="Arial" w:eastAsia="Arial" w:hAnsi="Arial"/>
                <w:sz w:val="12"/>
                <w:szCs w:val="12"/>
                <w:color w:val="auto"/>
              </w:rPr>
              <w:t>183,841</w:t>
            </w:r>
          </w:p>
        </w:tc>
        <w:tc>
          <w:tcPr>
            <w:tcW w:w="76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4,248,492</w:t>
            </w:r>
          </w:p>
        </w:tc>
      </w:tr>
      <w:tr>
        <w:trPr>
          <w:trHeight w:val="147"/>
        </w:trPr>
        <w:tc>
          <w:tcPr>
            <w:tcW w:w="2440" w:type="dxa"/>
            <w:vAlign w:val="bottom"/>
            <w:tcBorders>
              <w:left w:val="single" w:sz="8" w:color="auto"/>
            </w:tcBorders>
          </w:tcPr>
          <w:p>
            <w:pPr>
              <w:ind w:left="380"/>
              <w:spacing w:after="0"/>
              <w:rPr>
                <w:sz w:val="20"/>
                <w:szCs w:val="20"/>
                <w:color w:val="auto"/>
              </w:rPr>
            </w:pPr>
            <w:r>
              <w:rPr>
                <w:rFonts w:ascii="Arial" w:cs="Arial" w:eastAsia="Arial" w:hAnsi="Arial"/>
                <w:sz w:val="12"/>
                <w:szCs w:val="12"/>
                <w:color w:val="auto"/>
              </w:rPr>
              <w:t>Chief Executive Officer &amp;</w:t>
            </w:r>
          </w:p>
        </w:tc>
        <w:tc>
          <w:tcPr>
            <w:tcW w:w="1260" w:type="dxa"/>
            <w:vAlign w:val="bottom"/>
          </w:tcPr>
          <w:p>
            <w:pPr>
              <w:ind w:left="720"/>
              <w:spacing w:after="0"/>
              <w:rPr>
                <w:sz w:val="20"/>
                <w:szCs w:val="20"/>
                <w:color w:val="auto"/>
              </w:rPr>
            </w:pPr>
            <w:r>
              <w:rPr>
                <w:rFonts w:ascii="Arial" w:cs="Arial" w:eastAsia="Arial" w:hAnsi="Arial"/>
                <w:sz w:val="12"/>
                <w:szCs w:val="12"/>
                <w:color w:val="auto"/>
              </w:rPr>
              <w:t>2019</w:t>
            </w:r>
          </w:p>
        </w:tc>
        <w:tc>
          <w:tcPr>
            <w:tcW w:w="1040" w:type="dxa"/>
            <w:vAlign w:val="bottom"/>
          </w:tcPr>
          <w:p>
            <w:pPr>
              <w:jc w:val="right"/>
              <w:ind w:right="158"/>
              <w:spacing w:after="0"/>
              <w:rPr>
                <w:sz w:val="20"/>
                <w:szCs w:val="20"/>
                <w:color w:val="auto"/>
              </w:rPr>
            </w:pPr>
            <w:r>
              <w:rPr>
                <w:rFonts w:ascii="Arial" w:cs="Arial" w:eastAsia="Arial" w:hAnsi="Arial"/>
                <w:sz w:val="12"/>
                <w:szCs w:val="12"/>
                <w:color w:val="auto"/>
              </w:rPr>
              <w:t>818,173</w:t>
            </w:r>
          </w:p>
        </w:tc>
        <w:tc>
          <w:tcPr>
            <w:tcW w:w="920" w:type="dxa"/>
            <w:vAlign w:val="bottom"/>
          </w:tcPr>
          <w:p>
            <w:pPr>
              <w:ind w:left="60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18"/>
              <w:spacing w:after="0"/>
              <w:rPr>
                <w:sz w:val="20"/>
                <w:szCs w:val="20"/>
                <w:color w:val="auto"/>
              </w:rPr>
            </w:pPr>
            <w:r>
              <w:rPr>
                <w:rFonts w:ascii="Arial" w:cs="Arial" w:eastAsia="Arial" w:hAnsi="Arial"/>
                <w:sz w:val="12"/>
                <w:szCs w:val="12"/>
                <w:color w:val="auto"/>
              </w:rPr>
              <w:t>2,200,066</w:t>
            </w:r>
          </w:p>
        </w:tc>
        <w:tc>
          <w:tcPr>
            <w:tcW w:w="860" w:type="dxa"/>
            <w:vAlign w:val="bottom"/>
          </w:tcPr>
          <w:p>
            <w:pPr>
              <w:ind w:left="64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2,062,500</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3,607</w:t>
            </w:r>
          </w:p>
        </w:tc>
        <w:tc>
          <w:tcPr>
            <w:tcW w:w="1040" w:type="dxa"/>
            <w:vAlign w:val="bottom"/>
          </w:tcPr>
          <w:p>
            <w:pPr>
              <w:jc w:val="right"/>
              <w:ind w:right="118"/>
              <w:spacing w:after="0"/>
              <w:rPr>
                <w:sz w:val="20"/>
                <w:szCs w:val="20"/>
                <w:color w:val="auto"/>
              </w:rPr>
            </w:pPr>
            <w:r>
              <w:rPr>
                <w:rFonts w:ascii="Arial" w:cs="Arial" w:eastAsia="Arial" w:hAnsi="Arial"/>
                <w:sz w:val="12"/>
                <w:szCs w:val="12"/>
                <w:color w:val="auto"/>
              </w:rPr>
              <w:t>222,826</w:t>
            </w:r>
          </w:p>
        </w:tc>
        <w:tc>
          <w:tcPr>
            <w:tcW w:w="76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5,307,172</w:t>
            </w:r>
          </w:p>
        </w:tc>
      </w:tr>
      <w:tr>
        <w:trPr>
          <w:trHeight w:val="157"/>
        </w:trPr>
        <w:tc>
          <w:tcPr>
            <w:tcW w:w="2440" w:type="dxa"/>
            <w:vAlign w:val="bottom"/>
            <w:tcBorders>
              <w:left w:val="single" w:sz="8" w:color="auto"/>
            </w:tcBorders>
          </w:tcPr>
          <w:p>
            <w:pPr>
              <w:ind w:left="380"/>
              <w:spacing w:after="0"/>
              <w:rPr>
                <w:sz w:val="20"/>
                <w:szCs w:val="20"/>
                <w:color w:val="auto"/>
              </w:rPr>
            </w:pPr>
            <w:r>
              <w:rPr>
                <w:rFonts w:ascii="Arial" w:cs="Arial" w:eastAsia="Arial" w:hAnsi="Arial"/>
                <w:sz w:val="12"/>
                <w:szCs w:val="12"/>
                <w:color w:val="auto"/>
              </w:rPr>
              <w:t>President</w:t>
            </w:r>
          </w:p>
        </w:tc>
        <w:tc>
          <w:tcPr>
            <w:tcW w:w="1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r>
      <w:tr>
        <w:trPr>
          <w:trHeight w:val="138"/>
        </w:trPr>
        <w:tc>
          <w:tcPr>
            <w:tcW w:w="2440" w:type="dxa"/>
            <w:vAlign w:val="bottom"/>
            <w:tcBorders>
              <w:left w:val="single" w:sz="8" w:color="auto"/>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r>
      <w:tr>
        <w:trPr>
          <w:trHeight w:val="140"/>
        </w:trPr>
        <w:tc>
          <w:tcPr>
            <w:tcW w:w="244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Dean Y. Shigemura</w:t>
            </w:r>
          </w:p>
        </w:tc>
        <w:tc>
          <w:tcPr>
            <w:tcW w:w="1260" w:type="dxa"/>
            <w:vAlign w:val="bottom"/>
          </w:tcPr>
          <w:p>
            <w:pPr>
              <w:ind w:left="720"/>
              <w:spacing w:after="0"/>
              <w:rPr>
                <w:sz w:val="20"/>
                <w:szCs w:val="20"/>
                <w:color w:val="auto"/>
              </w:rPr>
            </w:pPr>
            <w:r>
              <w:rPr>
                <w:rFonts w:ascii="Arial" w:cs="Arial" w:eastAsia="Arial" w:hAnsi="Arial"/>
                <w:sz w:val="12"/>
                <w:szCs w:val="12"/>
                <w:color w:val="auto"/>
              </w:rPr>
              <w:t>2021</w:t>
            </w:r>
          </w:p>
        </w:tc>
        <w:tc>
          <w:tcPr>
            <w:tcW w:w="1040" w:type="dxa"/>
            <w:vAlign w:val="bottom"/>
          </w:tcPr>
          <w:p>
            <w:pPr>
              <w:jc w:val="right"/>
              <w:ind w:right="158"/>
              <w:spacing w:after="0"/>
              <w:rPr>
                <w:sz w:val="20"/>
                <w:szCs w:val="20"/>
                <w:color w:val="auto"/>
              </w:rPr>
            </w:pPr>
            <w:r>
              <w:rPr>
                <w:rFonts w:ascii="Arial" w:cs="Arial" w:eastAsia="Arial" w:hAnsi="Arial"/>
                <w:sz w:val="12"/>
                <w:szCs w:val="12"/>
                <w:color w:val="auto"/>
              </w:rPr>
              <w:t>435,000</w:t>
            </w:r>
          </w:p>
        </w:tc>
        <w:tc>
          <w:tcPr>
            <w:tcW w:w="920" w:type="dxa"/>
            <w:vAlign w:val="bottom"/>
          </w:tcPr>
          <w:p>
            <w:pPr>
              <w:ind w:left="60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18"/>
              <w:spacing w:after="0"/>
              <w:rPr>
                <w:sz w:val="20"/>
                <w:szCs w:val="20"/>
                <w:color w:val="auto"/>
              </w:rPr>
            </w:pPr>
            <w:r>
              <w:rPr>
                <w:rFonts w:ascii="Arial" w:cs="Arial" w:eastAsia="Arial" w:hAnsi="Arial"/>
                <w:sz w:val="12"/>
                <w:szCs w:val="12"/>
                <w:color w:val="auto"/>
              </w:rPr>
              <w:t>1,924,368</w:t>
            </w:r>
          </w:p>
        </w:tc>
        <w:tc>
          <w:tcPr>
            <w:tcW w:w="860" w:type="dxa"/>
            <w:vAlign w:val="bottom"/>
          </w:tcPr>
          <w:p>
            <w:pPr>
              <w:ind w:left="64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650,000</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118"/>
              <w:spacing w:after="0"/>
              <w:rPr>
                <w:sz w:val="20"/>
                <w:szCs w:val="20"/>
                <w:color w:val="auto"/>
              </w:rPr>
            </w:pPr>
            <w:r>
              <w:rPr>
                <w:rFonts w:ascii="Arial" w:cs="Arial" w:eastAsia="Arial" w:hAnsi="Arial"/>
                <w:sz w:val="12"/>
                <w:szCs w:val="12"/>
                <w:color w:val="auto"/>
              </w:rPr>
              <w:t>51,155</w:t>
            </w:r>
          </w:p>
        </w:tc>
        <w:tc>
          <w:tcPr>
            <w:tcW w:w="76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3,060,523</w:t>
            </w:r>
          </w:p>
        </w:tc>
      </w:tr>
      <w:tr>
        <w:trPr>
          <w:trHeight w:val="147"/>
        </w:trPr>
        <w:tc>
          <w:tcPr>
            <w:tcW w:w="2440" w:type="dxa"/>
            <w:vAlign w:val="bottom"/>
            <w:tcBorders>
              <w:left w:val="single" w:sz="8" w:color="auto"/>
            </w:tcBorders>
          </w:tcPr>
          <w:p>
            <w:pPr>
              <w:ind w:left="380"/>
              <w:spacing w:after="0"/>
              <w:rPr>
                <w:sz w:val="20"/>
                <w:szCs w:val="20"/>
                <w:color w:val="auto"/>
              </w:rPr>
            </w:pPr>
            <w:r>
              <w:rPr>
                <w:rFonts w:ascii="Arial" w:cs="Arial" w:eastAsia="Arial" w:hAnsi="Arial"/>
                <w:sz w:val="12"/>
                <w:szCs w:val="12"/>
                <w:color w:val="auto"/>
              </w:rPr>
              <w:t>Vice Chair,</w:t>
            </w:r>
          </w:p>
        </w:tc>
        <w:tc>
          <w:tcPr>
            <w:tcW w:w="1260" w:type="dxa"/>
            <w:vAlign w:val="bottom"/>
          </w:tcPr>
          <w:p>
            <w:pPr>
              <w:ind w:left="720"/>
              <w:spacing w:after="0"/>
              <w:rPr>
                <w:sz w:val="20"/>
                <w:szCs w:val="20"/>
                <w:color w:val="auto"/>
              </w:rPr>
            </w:pPr>
            <w:r>
              <w:rPr>
                <w:rFonts w:ascii="Arial" w:cs="Arial" w:eastAsia="Arial" w:hAnsi="Arial"/>
                <w:sz w:val="12"/>
                <w:szCs w:val="12"/>
                <w:color w:val="auto"/>
              </w:rPr>
              <w:t>2020</w:t>
            </w:r>
          </w:p>
        </w:tc>
        <w:tc>
          <w:tcPr>
            <w:tcW w:w="1040" w:type="dxa"/>
            <w:vAlign w:val="bottom"/>
          </w:tcPr>
          <w:p>
            <w:pPr>
              <w:jc w:val="right"/>
              <w:ind w:right="158"/>
              <w:spacing w:after="0"/>
              <w:rPr>
                <w:sz w:val="20"/>
                <w:szCs w:val="20"/>
                <w:color w:val="auto"/>
              </w:rPr>
            </w:pPr>
            <w:r>
              <w:rPr>
                <w:rFonts w:ascii="Arial" w:cs="Arial" w:eastAsia="Arial" w:hAnsi="Arial"/>
                <w:sz w:val="12"/>
                <w:szCs w:val="12"/>
                <w:color w:val="auto"/>
              </w:rPr>
              <w:t>425,173</w:t>
            </w:r>
          </w:p>
        </w:tc>
        <w:tc>
          <w:tcPr>
            <w:tcW w:w="920" w:type="dxa"/>
            <w:vAlign w:val="bottom"/>
          </w:tcPr>
          <w:p>
            <w:pPr>
              <w:ind w:left="60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18"/>
              <w:spacing w:after="0"/>
              <w:rPr>
                <w:sz w:val="20"/>
                <w:szCs w:val="20"/>
                <w:color w:val="auto"/>
              </w:rPr>
            </w:pPr>
            <w:r>
              <w:rPr>
                <w:rFonts w:ascii="Arial" w:cs="Arial" w:eastAsia="Arial" w:hAnsi="Arial"/>
                <w:sz w:val="12"/>
                <w:szCs w:val="12"/>
                <w:color w:val="auto"/>
              </w:rPr>
              <w:t>700,013</w:t>
            </w:r>
          </w:p>
        </w:tc>
        <w:tc>
          <w:tcPr>
            <w:tcW w:w="860" w:type="dxa"/>
            <w:vAlign w:val="bottom"/>
          </w:tcPr>
          <w:p>
            <w:pPr>
              <w:ind w:left="64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224,250</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118"/>
              <w:spacing w:after="0"/>
              <w:rPr>
                <w:sz w:val="20"/>
                <w:szCs w:val="20"/>
                <w:color w:val="auto"/>
              </w:rPr>
            </w:pPr>
            <w:r>
              <w:rPr>
                <w:rFonts w:ascii="Arial" w:cs="Arial" w:eastAsia="Arial" w:hAnsi="Arial"/>
                <w:sz w:val="12"/>
                <w:szCs w:val="12"/>
                <w:color w:val="auto"/>
              </w:rPr>
              <w:t>70,376</w:t>
            </w:r>
          </w:p>
        </w:tc>
        <w:tc>
          <w:tcPr>
            <w:tcW w:w="76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1,419,812</w:t>
            </w:r>
          </w:p>
        </w:tc>
      </w:tr>
      <w:tr>
        <w:trPr>
          <w:trHeight w:val="157"/>
        </w:trPr>
        <w:tc>
          <w:tcPr>
            <w:tcW w:w="2440" w:type="dxa"/>
            <w:vAlign w:val="bottom"/>
            <w:tcBorders>
              <w:left w:val="single" w:sz="8" w:color="auto"/>
            </w:tcBorders>
          </w:tcPr>
          <w:p>
            <w:pPr>
              <w:ind w:left="380"/>
              <w:spacing w:after="0"/>
              <w:rPr>
                <w:sz w:val="20"/>
                <w:szCs w:val="20"/>
                <w:color w:val="auto"/>
              </w:rPr>
            </w:pPr>
            <w:r>
              <w:rPr>
                <w:rFonts w:ascii="Arial" w:cs="Arial" w:eastAsia="Arial" w:hAnsi="Arial"/>
                <w:sz w:val="12"/>
                <w:szCs w:val="12"/>
                <w:color w:val="auto"/>
              </w:rPr>
              <w:t>Chief Financial Officer</w:t>
            </w:r>
          </w:p>
        </w:tc>
        <w:tc>
          <w:tcPr>
            <w:tcW w:w="1260" w:type="dxa"/>
            <w:vAlign w:val="bottom"/>
          </w:tcPr>
          <w:p>
            <w:pPr>
              <w:ind w:left="720"/>
              <w:spacing w:after="0"/>
              <w:rPr>
                <w:sz w:val="20"/>
                <w:szCs w:val="20"/>
                <w:color w:val="auto"/>
              </w:rPr>
            </w:pPr>
            <w:r>
              <w:rPr>
                <w:rFonts w:ascii="Arial" w:cs="Arial" w:eastAsia="Arial" w:hAnsi="Arial"/>
                <w:sz w:val="12"/>
                <w:szCs w:val="12"/>
                <w:color w:val="auto"/>
              </w:rPr>
              <w:t>2019</w:t>
            </w:r>
          </w:p>
        </w:tc>
        <w:tc>
          <w:tcPr>
            <w:tcW w:w="1040" w:type="dxa"/>
            <w:vAlign w:val="bottom"/>
          </w:tcPr>
          <w:p>
            <w:pPr>
              <w:jc w:val="right"/>
              <w:ind w:right="158"/>
              <w:spacing w:after="0"/>
              <w:rPr>
                <w:sz w:val="20"/>
                <w:szCs w:val="20"/>
                <w:color w:val="auto"/>
              </w:rPr>
            </w:pPr>
            <w:r>
              <w:rPr>
                <w:rFonts w:ascii="Arial" w:cs="Arial" w:eastAsia="Arial" w:hAnsi="Arial"/>
                <w:sz w:val="12"/>
                <w:szCs w:val="12"/>
                <w:color w:val="auto"/>
              </w:rPr>
              <w:t>393,173</w:t>
            </w:r>
          </w:p>
        </w:tc>
        <w:tc>
          <w:tcPr>
            <w:tcW w:w="920" w:type="dxa"/>
            <w:vAlign w:val="bottom"/>
          </w:tcPr>
          <w:p>
            <w:pPr>
              <w:ind w:left="60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18"/>
              <w:spacing w:after="0"/>
              <w:rPr>
                <w:sz w:val="20"/>
                <w:szCs w:val="20"/>
                <w:color w:val="auto"/>
              </w:rPr>
            </w:pPr>
            <w:r>
              <w:rPr>
                <w:rFonts w:ascii="Arial" w:cs="Arial" w:eastAsia="Arial" w:hAnsi="Arial"/>
                <w:sz w:val="12"/>
                <w:szCs w:val="12"/>
                <w:color w:val="auto"/>
              </w:rPr>
              <w:t>500,075</w:t>
            </w:r>
          </w:p>
        </w:tc>
        <w:tc>
          <w:tcPr>
            <w:tcW w:w="860" w:type="dxa"/>
            <w:vAlign w:val="bottom"/>
          </w:tcPr>
          <w:p>
            <w:pPr>
              <w:ind w:left="64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650,000</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118"/>
              <w:spacing w:after="0"/>
              <w:rPr>
                <w:sz w:val="20"/>
                <w:szCs w:val="20"/>
                <w:color w:val="auto"/>
              </w:rPr>
            </w:pPr>
            <w:r>
              <w:rPr>
                <w:rFonts w:ascii="Arial" w:cs="Arial" w:eastAsia="Arial" w:hAnsi="Arial"/>
                <w:sz w:val="12"/>
                <w:szCs w:val="12"/>
                <w:color w:val="auto"/>
              </w:rPr>
              <w:t>75,329</w:t>
            </w:r>
          </w:p>
        </w:tc>
        <w:tc>
          <w:tcPr>
            <w:tcW w:w="76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1,618,577</w:t>
            </w:r>
          </w:p>
        </w:tc>
      </w:tr>
      <w:tr>
        <w:trPr>
          <w:trHeight w:val="138"/>
        </w:trPr>
        <w:tc>
          <w:tcPr>
            <w:tcW w:w="2440" w:type="dxa"/>
            <w:vAlign w:val="bottom"/>
            <w:tcBorders>
              <w:left w:val="single" w:sz="8" w:color="auto"/>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r>
      <w:tr>
        <w:trPr>
          <w:trHeight w:val="140"/>
        </w:trPr>
        <w:tc>
          <w:tcPr>
            <w:tcW w:w="244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Sharon M. Crofts</w:t>
            </w:r>
          </w:p>
        </w:tc>
        <w:tc>
          <w:tcPr>
            <w:tcW w:w="1260" w:type="dxa"/>
            <w:vAlign w:val="bottom"/>
          </w:tcPr>
          <w:p>
            <w:pPr>
              <w:ind w:left="720"/>
              <w:spacing w:after="0"/>
              <w:rPr>
                <w:sz w:val="20"/>
                <w:szCs w:val="20"/>
                <w:color w:val="auto"/>
              </w:rPr>
            </w:pPr>
            <w:r>
              <w:rPr>
                <w:rFonts w:ascii="Arial" w:cs="Arial" w:eastAsia="Arial" w:hAnsi="Arial"/>
                <w:sz w:val="12"/>
                <w:szCs w:val="12"/>
                <w:color w:val="auto"/>
              </w:rPr>
              <w:t>2021</w:t>
            </w:r>
          </w:p>
        </w:tc>
        <w:tc>
          <w:tcPr>
            <w:tcW w:w="1040" w:type="dxa"/>
            <w:vAlign w:val="bottom"/>
          </w:tcPr>
          <w:p>
            <w:pPr>
              <w:jc w:val="right"/>
              <w:ind w:right="158"/>
              <w:spacing w:after="0"/>
              <w:rPr>
                <w:sz w:val="20"/>
                <w:szCs w:val="20"/>
                <w:color w:val="auto"/>
              </w:rPr>
            </w:pPr>
            <w:r>
              <w:rPr>
                <w:rFonts w:ascii="Arial" w:cs="Arial" w:eastAsia="Arial" w:hAnsi="Arial"/>
                <w:sz w:val="12"/>
                <w:szCs w:val="12"/>
                <w:color w:val="auto"/>
              </w:rPr>
              <w:t>435,000</w:t>
            </w:r>
          </w:p>
        </w:tc>
        <w:tc>
          <w:tcPr>
            <w:tcW w:w="920" w:type="dxa"/>
            <w:vAlign w:val="bottom"/>
          </w:tcPr>
          <w:p>
            <w:pPr>
              <w:ind w:left="60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18"/>
              <w:spacing w:after="0"/>
              <w:rPr>
                <w:sz w:val="20"/>
                <w:szCs w:val="20"/>
                <w:color w:val="auto"/>
              </w:rPr>
            </w:pPr>
            <w:r>
              <w:rPr>
                <w:rFonts w:ascii="Arial" w:cs="Arial" w:eastAsia="Arial" w:hAnsi="Arial"/>
                <w:sz w:val="12"/>
                <w:szCs w:val="12"/>
                <w:color w:val="auto"/>
              </w:rPr>
              <w:t>1,707,088</w:t>
            </w:r>
          </w:p>
        </w:tc>
        <w:tc>
          <w:tcPr>
            <w:tcW w:w="860" w:type="dxa"/>
            <w:vAlign w:val="bottom"/>
          </w:tcPr>
          <w:p>
            <w:pPr>
              <w:ind w:left="64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650,000</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118"/>
              <w:spacing w:after="0"/>
              <w:rPr>
                <w:sz w:val="20"/>
                <w:szCs w:val="20"/>
                <w:color w:val="auto"/>
              </w:rPr>
            </w:pPr>
            <w:r>
              <w:rPr>
                <w:rFonts w:ascii="Arial" w:cs="Arial" w:eastAsia="Arial" w:hAnsi="Arial"/>
                <w:sz w:val="12"/>
                <w:szCs w:val="12"/>
                <w:color w:val="auto"/>
              </w:rPr>
              <w:t>50,120</w:t>
            </w:r>
          </w:p>
        </w:tc>
        <w:tc>
          <w:tcPr>
            <w:tcW w:w="76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2,842,208</w:t>
            </w:r>
          </w:p>
        </w:tc>
      </w:tr>
      <w:tr>
        <w:trPr>
          <w:trHeight w:val="147"/>
        </w:trPr>
        <w:tc>
          <w:tcPr>
            <w:tcW w:w="2440" w:type="dxa"/>
            <w:vAlign w:val="bottom"/>
            <w:tcBorders>
              <w:left w:val="single" w:sz="8" w:color="auto"/>
            </w:tcBorders>
          </w:tcPr>
          <w:p>
            <w:pPr>
              <w:ind w:left="380"/>
              <w:spacing w:after="0"/>
              <w:rPr>
                <w:sz w:val="20"/>
                <w:szCs w:val="20"/>
                <w:color w:val="auto"/>
              </w:rPr>
            </w:pPr>
            <w:r>
              <w:rPr>
                <w:rFonts w:ascii="Arial" w:cs="Arial" w:eastAsia="Arial" w:hAnsi="Arial"/>
                <w:sz w:val="12"/>
                <w:szCs w:val="12"/>
                <w:color w:val="auto"/>
              </w:rPr>
              <w:t>Vice Chair,</w:t>
            </w:r>
          </w:p>
        </w:tc>
        <w:tc>
          <w:tcPr>
            <w:tcW w:w="1260" w:type="dxa"/>
            <w:vAlign w:val="bottom"/>
          </w:tcPr>
          <w:p>
            <w:pPr>
              <w:ind w:left="720"/>
              <w:spacing w:after="0"/>
              <w:rPr>
                <w:sz w:val="20"/>
                <w:szCs w:val="20"/>
                <w:color w:val="auto"/>
              </w:rPr>
            </w:pPr>
            <w:r>
              <w:rPr>
                <w:rFonts w:ascii="Arial" w:cs="Arial" w:eastAsia="Arial" w:hAnsi="Arial"/>
                <w:sz w:val="12"/>
                <w:szCs w:val="12"/>
                <w:color w:val="auto"/>
              </w:rPr>
              <w:t>2020</w:t>
            </w:r>
          </w:p>
        </w:tc>
        <w:tc>
          <w:tcPr>
            <w:tcW w:w="1040" w:type="dxa"/>
            <w:vAlign w:val="bottom"/>
          </w:tcPr>
          <w:p>
            <w:pPr>
              <w:jc w:val="right"/>
              <w:ind w:right="158"/>
              <w:spacing w:after="0"/>
              <w:rPr>
                <w:sz w:val="20"/>
                <w:szCs w:val="20"/>
                <w:color w:val="auto"/>
              </w:rPr>
            </w:pPr>
            <w:r>
              <w:rPr>
                <w:rFonts w:ascii="Arial" w:cs="Arial" w:eastAsia="Arial" w:hAnsi="Arial"/>
                <w:sz w:val="12"/>
                <w:szCs w:val="12"/>
                <w:color w:val="auto"/>
              </w:rPr>
              <w:t>425,173</w:t>
            </w:r>
          </w:p>
        </w:tc>
        <w:tc>
          <w:tcPr>
            <w:tcW w:w="920" w:type="dxa"/>
            <w:vAlign w:val="bottom"/>
          </w:tcPr>
          <w:p>
            <w:pPr>
              <w:ind w:left="60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18"/>
              <w:spacing w:after="0"/>
              <w:rPr>
                <w:sz w:val="20"/>
                <w:szCs w:val="20"/>
                <w:color w:val="auto"/>
              </w:rPr>
            </w:pPr>
            <w:r>
              <w:rPr>
                <w:rFonts w:ascii="Arial" w:cs="Arial" w:eastAsia="Arial" w:hAnsi="Arial"/>
                <w:sz w:val="12"/>
                <w:szCs w:val="12"/>
                <w:color w:val="auto"/>
              </w:rPr>
              <w:t>600,075</w:t>
            </w:r>
          </w:p>
        </w:tc>
        <w:tc>
          <w:tcPr>
            <w:tcW w:w="860" w:type="dxa"/>
            <w:vAlign w:val="bottom"/>
          </w:tcPr>
          <w:p>
            <w:pPr>
              <w:ind w:left="64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207,000</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118"/>
              <w:spacing w:after="0"/>
              <w:rPr>
                <w:sz w:val="20"/>
                <w:szCs w:val="20"/>
                <w:color w:val="auto"/>
              </w:rPr>
            </w:pPr>
            <w:r>
              <w:rPr>
                <w:rFonts w:ascii="Arial" w:cs="Arial" w:eastAsia="Arial" w:hAnsi="Arial"/>
                <w:sz w:val="12"/>
                <w:szCs w:val="12"/>
                <w:color w:val="auto"/>
              </w:rPr>
              <w:t>67,633</w:t>
            </w:r>
          </w:p>
        </w:tc>
        <w:tc>
          <w:tcPr>
            <w:tcW w:w="76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1,299,881</w:t>
            </w:r>
          </w:p>
        </w:tc>
      </w:tr>
      <w:tr>
        <w:trPr>
          <w:trHeight w:val="157"/>
        </w:trPr>
        <w:tc>
          <w:tcPr>
            <w:tcW w:w="2440" w:type="dxa"/>
            <w:vAlign w:val="bottom"/>
            <w:tcBorders>
              <w:left w:val="single" w:sz="8" w:color="auto"/>
            </w:tcBorders>
          </w:tcPr>
          <w:p>
            <w:pPr>
              <w:ind w:left="380"/>
              <w:spacing w:after="0"/>
              <w:rPr>
                <w:sz w:val="20"/>
                <w:szCs w:val="20"/>
                <w:color w:val="auto"/>
              </w:rPr>
            </w:pPr>
            <w:r>
              <w:rPr>
                <w:rFonts w:ascii="Arial" w:cs="Arial" w:eastAsia="Arial" w:hAnsi="Arial"/>
                <w:sz w:val="12"/>
                <w:szCs w:val="12"/>
                <w:color w:val="auto"/>
              </w:rPr>
              <w:t>Client Solutions Group</w:t>
            </w:r>
          </w:p>
        </w:tc>
        <w:tc>
          <w:tcPr>
            <w:tcW w:w="1260" w:type="dxa"/>
            <w:vAlign w:val="bottom"/>
          </w:tcPr>
          <w:p>
            <w:pPr>
              <w:ind w:left="720"/>
              <w:spacing w:after="0"/>
              <w:rPr>
                <w:sz w:val="20"/>
                <w:szCs w:val="20"/>
                <w:color w:val="auto"/>
              </w:rPr>
            </w:pPr>
            <w:r>
              <w:rPr>
                <w:rFonts w:ascii="Arial" w:cs="Arial" w:eastAsia="Arial" w:hAnsi="Arial"/>
                <w:sz w:val="12"/>
                <w:szCs w:val="12"/>
                <w:color w:val="auto"/>
              </w:rPr>
              <w:t>2019</w:t>
            </w:r>
          </w:p>
        </w:tc>
        <w:tc>
          <w:tcPr>
            <w:tcW w:w="1040" w:type="dxa"/>
            <w:vAlign w:val="bottom"/>
          </w:tcPr>
          <w:p>
            <w:pPr>
              <w:jc w:val="right"/>
              <w:ind w:right="158"/>
              <w:spacing w:after="0"/>
              <w:rPr>
                <w:sz w:val="20"/>
                <w:szCs w:val="20"/>
                <w:color w:val="auto"/>
              </w:rPr>
            </w:pPr>
            <w:r>
              <w:rPr>
                <w:rFonts w:ascii="Arial" w:cs="Arial" w:eastAsia="Arial" w:hAnsi="Arial"/>
                <w:sz w:val="12"/>
                <w:szCs w:val="12"/>
                <w:color w:val="auto"/>
              </w:rPr>
              <w:t>393,173</w:t>
            </w:r>
          </w:p>
        </w:tc>
        <w:tc>
          <w:tcPr>
            <w:tcW w:w="920" w:type="dxa"/>
            <w:vAlign w:val="bottom"/>
          </w:tcPr>
          <w:p>
            <w:pPr>
              <w:ind w:left="60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18"/>
              <w:spacing w:after="0"/>
              <w:rPr>
                <w:sz w:val="20"/>
                <w:szCs w:val="20"/>
                <w:color w:val="auto"/>
              </w:rPr>
            </w:pPr>
            <w:r>
              <w:rPr>
                <w:rFonts w:ascii="Arial" w:cs="Arial" w:eastAsia="Arial" w:hAnsi="Arial"/>
                <w:sz w:val="12"/>
                <w:szCs w:val="12"/>
                <w:color w:val="auto"/>
              </w:rPr>
              <w:t>475,043</w:t>
            </w:r>
          </w:p>
        </w:tc>
        <w:tc>
          <w:tcPr>
            <w:tcW w:w="860" w:type="dxa"/>
            <w:vAlign w:val="bottom"/>
          </w:tcPr>
          <w:p>
            <w:pPr>
              <w:ind w:left="64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600,000</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118"/>
              <w:spacing w:after="0"/>
              <w:rPr>
                <w:sz w:val="20"/>
                <w:szCs w:val="20"/>
                <w:color w:val="auto"/>
              </w:rPr>
            </w:pPr>
            <w:r>
              <w:rPr>
                <w:rFonts w:ascii="Arial" w:cs="Arial" w:eastAsia="Arial" w:hAnsi="Arial"/>
                <w:sz w:val="12"/>
                <w:szCs w:val="12"/>
                <w:color w:val="auto"/>
              </w:rPr>
              <w:t>71,842</w:t>
            </w:r>
          </w:p>
        </w:tc>
        <w:tc>
          <w:tcPr>
            <w:tcW w:w="76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1,540,058</w:t>
            </w:r>
          </w:p>
        </w:tc>
      </w:tr>
      <w:tr>
        <w:trPr>
          <w:trHeight w:val="138"/>
        </w:trPr>
        <w:tc>
          <w:tcPr>
            <w:tcW w:w="2440" w:type="dxa"/>
            <w:vAlign w:val="bottom"/>
            <w:tcBorders>
              <w:left w:val="single" w:sz="8" w:color="auto"/>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r>
      <w:tr>
        <w:trPr>
          <w:trHeight w:val="140"/>
        </w:trPr>
        <w:tc>
          <w:tcPr>
            <w:tcW w:w="244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James C. Polk</w:t>
            </w:r>
          </w:p>
        </w:tc>
        <w:tc>
          <w:tcPr>
            <w:tcW w:w="1260" w:type="dxa"/>
            <w:vAlign w:val="bottom"/>
          </w:tcPr>
          <w:p>
            <w:pPr>
              <w:ind w:left="720"/>
              <w:spacing w:after="0"/>
              <w:rPr>
                <w:sz w:val="20"/>
                <w:szCs w:val="20"/>
                <w:color w:val="auto"/>
              </w:rPr>
            </w:pPr>
            <w:r>
              <w:rPr>
                <w:rFonts w:ascii="Arial" w:cs="Arial" w:eastAsia="Arial" w:hAnsi="Arial"/>
                <w:sz w:val="12"/>
                <w:szCs w:val="12"/>
                <w:color w:val="auto"/>
              </w:rPr>
              <w:t>2021</w:t>
            </w:r>
          </w:p>
        </w:tc>
        <w:tc>
          <w:tcPr>
            <w:tcW w:w="1040" w:type="dxa"/>
            <w:vAlign w:val="bottom"/>
          </w:tcPr>
          <w:p>
            <w:pPr>
              <w:jc w:val="right"/>
              <w:ind w:right="158"/>
              <w:spacing w:after="0"/>
              <w:rPr>
                <w:sz w:val="20"/>
                <w:szCs w:val="20"/>
                <w:color w:val="auto"/>
              </w:rPr>
            </w:pPr>
            <w:r>
              <w:rPr>
                <w:rFonts w:ascii="Arial" w:cs="Arial" w:eastAsia="Arial" w:hAnsi="Arial"/>
                <w:sz w:val="12"/>
                <w:szCs w:val="12"/>
                <w:color w:val="auto"/>
              </w:rPr>
              <w:t>435,000</w:t>
            </w:r>
          </w:p>
        </w:tc>
        <w:tc>
          <w:tcPr>
            <w:tcW w:w="920" w:type="dxa"/>
            <w:vAlign w:val="bottom"/>
          </w:tcPr>
          <w:p>
            <w:pPr>
              <w:ind w:left="60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18"/>
              <w:spacing w:after="0"/>
              <w:rPr>
                <w:sz w:val="20"/>
                <w:szCs w:val="20"/>
                <w:color w:val="auto"/>
              </w:rPr>
            </w:pPr>
            <w:r>
              <w:rPr>
                <w:rFonts w:ascii="Arial" w:cs="Arial" w:eastAsia="Arial" w:hAnsi="Arial"/>
                <w:sz w:val="12"/>
                <w:szCs w:val="12"/>
                <w:color w:val="auto"/>
              </w:rPr>
              <w:t>1,907,171</w:t>
            </w:r>
          </w:p>
        </w:tc>
        <w:tc>
          <w:tcPr>
            <w:tcW w:w="860" w:type="dxa"/>
            <w:vAlign w:val="bottom"/>
          </w:tcPr>
          <w:p>
            <w:pPr>
              <w:ind w:left="64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650,000</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118"/>
              <w:spacing w:after="0"/>
              <w:rPr>
                <w:sz w:val="20"/>
                <w:szCs w:val="20"/>
                <w:color w:val="auto"/>
              </w:rPr>
            </w:pPr>
            <w:r>
              <w:rPr>
                <w:rFonts w:ascii="Arial" w:cs="Arial" w:eastAsia="Arial" w:hAnsi="Arial"/>
                <w:sz w:val="12"/>
                <w:szCs w:val="12"/>
                <w:color w:val="auto"/>
              </w:rPr>
              <w:t>67,977</w:t>
            </w:r>
          </w:p>
        </w:tc>
        <w:tc>
          <w:tcPr>
            <w:tcW w:w="76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3,060,148</w:t>
            </w:r>
          </w:p>
        </w:tc>
      </w:tr>
      <w:tr>
        <w:trPr>
          <w:trHeight w:val="147"/>
        </w:trPr>
        <w:tc>
          <w:tcPr>
            <w:tcW w:w="2440" w:type="dxa"/>
            <w:vAlign w:val="bottom"/>
            <w:tcBorders>
              <w:left w:val="single" w:sz="8" w:color="auto"/>
            </w:tcBorders>
          </w:tcPr>
          <w:p>
            <w:pPr>
              <w:ind w:left="380"/>
              <w:spacing w:after="0"/>
              <w:rPr>
                <w:sz w:val="20"/>
                <w:szCs w:val="20"/>
                <w:color w:val="auto"/>
              </w:rPr>
            </w:pPr>
            <w:r>
              <w:rPr>
                <w:rFonts w:ascii="Arial" w:cs="Arial" w:eastAsia="Arial" w:hAnsi="Arial"/>
                <w:sz w:val="12"/>
                <w:szCs w:val="12"/>
                <w:color w:val="auto"/>
              </w:rPr>
              <w:t>Vice Chair,</w:t>
            </w:r>
          </w:p>
        </w:tc>
        <w:tc>
          <w:tcPr>
            <w:tcW w:w="1260" w:type="dxa"/>
            <w:vAlign w:val="bottom"/>
          </w:tcPr>
          <w:p>
            <w:pPr>
              <w:ind w:left="720"/>
              <w:spacing w:after="0"/>
              <w:rPr>
                <w:sz w:val="20"/>
                <w:szCs w:val="20"/>
                <w:color w:val="auto"/>
              </w:rPr>
            </w:pPr>
            <w:r>
              <w:rPr>
                <w:rFonts w:ascii="Arial" w:cs="Arial" w:eastAsia="Arial" w:hAnsi="Arial"/>
                <w:sz w:val="12"/>
                <w:szCs w:val="12"/>
                <w:color w:val="auto"/>
              </w:rPr>
              <w:t>2020</w:t>
            </w:r>
          </w:p>
        </w:tc>
        <w:tc>
          <w:tcPr>
            <w:tcW w:w="1040" w:type="dxa"/>
            <w:vAlign w:val="bottom"/>
          </w:tcPr>
          <w:p>
            <w:pPr>
              <w:jc w:val="right"/>
              <w:ind w:right="158"/>
              <w:spacing w:after="0"/>
              <w:rPr>
                <w:sz w:val="20"/>
                <w:szCs w:val="20"/>
                <w:color w:val="auto"/>
              </w:rPr>
            </w:pPr>
            <w:r>
              <w:rPr>
                <w:rFonts w:ascii="Arial" w:cs="Arial" w:eastAsia="Arial" w:hAnsi="Arial"/>
                <w:sz w:val="12"/>
                <w:szCs w:val="12"/>
                <w:color w:val="auto"/>
              </w:rPr>
              <w:t>425,173</w:t>
            </w:r>
          </w:p>
        </w:tc>
        <w:tc>
          <w:tcPr>
            <w:tcW w:w="920" w:type="dxa"/>
            <w:vAlign w:val="bottom"/>
          </w:tcPr>
          <w:p>
            <w:pPr>
              <w:ind w:left="60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18"/>
              <w:spacing w:after="0"/>
              <w:rPr>
                <w:sz w:val="20"/>
                <w:szCs w:val="20"/>
                <w:color w:val="auto"/>
              </w:rPr>
            </w:pPr>
            <w:r>
              <w:rPr>
                <w:rFonts w:ascii="Arial" w:cs="Arial" w:eastAsia="Arial" w:hAnsi="Arial"/>
                <w:sz w:val="12"/>
                <w:szCs w:val="12"/>
                <w:color w:val="auto"/>
              </w:rPr>
              <w:t>700,013</w:t>
            </w:r>
          </w:p>
        </w:tc>
        <w:tc>
          <w:tcPr>
            <w:tcW w:w="860" w:type="dxa"/>
            <w:vAlign w:val="bottom"/>
          </w:tcPr>
          <w:p>
            <w:pPr>
              <w:ind w:left="64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207,000</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118"/>
              <w:spacing w:after="0"/>
              <w:rPr>
                <w:sz w:val="20"/>
                <w:szCs w:val="20"/>
                <w:color w:val="auto"/>
              </w:rPr>
            </w:pPr>
            <w:r>
              <w:rPr>
                <w:rFonts w:ascii="Arial" w:cs="Arial" w:eastAsia="Arial" w:hAnsi="Arial"/>
                <w:sz w:val="12"/>
                <w:szCs w:val="12"/>
                <w:color w:val="auto"/>
              </w:rPr>
              <w:t>84,621</w:t>
            </w:r>
          </w:p>
        </w:tc>
        <w:tc>
          <w:tcPr>
            <w:tcW w:w="76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1,416,807</w:t>
            </w:r>
          </w:p>
        </w:tc>
      </w:tr>
      <w:tr>
        <w:trPr>
          <w:trHeight w:val="157"/>
        </w:trPr>
        <w:tc>
          <w:tcPr>
            <w:tcW w:w="2440" w:type="dxa"/>
            <w:vAlign w:val="bottom"/>
            <w:tcBorders>
              <w:left w:val="single" w:sz="8" w:color="auto"/>
            </w:tcBorders>
          </w:tcPr>
          <w:p>
            <w:pPr>
              <w:ind w:left="380"/>
              <w:spacing w:after="0"/>
              <w:rPr>
                <w:sz w:val="20"/>
                <w:szCs w:val="20"/>
                <w:color w:val="auto"/>
              </w:rPr>
            </w:pPr>
            <w:r>
              <w:rPr>
                <w:rFonts w:ascii="Arial" w:cs="Arial" w:eastAsia="Arial" w:hAnsi="Arial"/>
                <w:sz w:val="12"/>
                <w:szCs w:val="12"/>
                <w:color w:val="auto"/>
              </w:rPr>
              <w:t>Chief Commercial Officer</w:t>
            </w:r>
          </w:p>
        </w:tc>
        <w:tc>
          <w:tcPr>
            <w:tcW w:w="1260" w:type="dxa"/>
            <w:vAlign w:val="bottom"/>
          </w:tcPr>
          <w:p>
            <w:pPr>
              <w:ind w:left="720"/>
              <w:spacing w:after="0"/>
              <w:rPr>
                <w:sz w:val="20"/>
                <w:szCs w:val="20"/>
                <w:color w:val="auto"/>
              </w:rPr>
            </w:pPr>
            <w:r>
              <w:rPr>
                <w:rFonts w:ascii="Arial" w:cs="Arial" w:eastAsia="Arial" w:hAnsi="Arial"/>
                <w:sz w:val="12"/>
                <w:szCs w:val="12"/>
                <w:color w:val="auto"/>
              </w:rPr>
              <w:t>2019</w:t>
            </w:r>
          </w:p>
        </w:tc>
        <w:tc>
          <w:tcPr>
            <w:tcW w:w="1040" w:type="dxa"/>
            <w:vAlign w:val="bottom"/>
          </w:tcPr>
          <w:p>
            <w:pPr>
              <w:jc w:val="right"/>
              <w:ind w:right="158"/>
              <w:spacing w:after="0"/>
              <w:rPr>
                <w:sz w:val="20"/>
                <w:szCs w:val="20"/>
                <w:color w:val="auto"/>
              </w:rPr>
            </w:pPr>
            <w:r>
              <w:rPr>
                <w:rFonts w:ascii="Arial" w:cs="Arial" w:eastAsia="Arial" w:hAnsi="Arial"/>
                <w:sz w:val="12"/>
                <w:szCs w:val="12"/>
                <w:color w:val="auto"/>
              </w:rPr>
              <w:t>388,258</w:t>
            </w:r>
          </w:p>
        </w:tc>
        <w:tc>
          <w:tcPr>
            <w:tcW w:w="920" w:type="dxa"/>
            <w:vAlign w:val="bottom"/>
          </w:tcPr>
          <w:p>
            <w:pPr>
              <w:ind w:left="60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18"/>
              <w:spacing w:after="0"/>
              <w:rPr>
                <w:sz w:val="20"/>
                <w:szCs w:val="20"/>
                <w:color w:val="auto"/>
              </w:rPr>
            </w:pPr>
            <w:r>
              <w:rPr>
                <w:rFonts w:ascii="Arial" w:cs="Arial" w:eastAsia="Arial" w:hAnsi="Arial"/>
                <w:sz w:val="12"/>
                <w:szCs w:val="12"/>
                <w:color w:val="auto"/>
              </w:rPr>
              <w:t>500,075</w:t>
            </w:r>
          </w:p>
        </w:tc>
        <w:tc>
          <w:tcPr>
            <w:tcW w:w="860" w:type="dxa"/>
            <w:vAlign w:val="bottom"/>
          </w:tcPr>
          <w:p>
            <w:pPr>
              <w:ind w:left="64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600,000</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118"/>
              <w:spacing w:after="0"/>
              <w:rPr>
                <w:sz w:val="20"/>
                <w:szCs w:val="20"/>
                <w:color w:val="auto"/>
              </w:rPr>
            </w:pPr>
            <w:r>
              <w:rPr>
                <w:rFonts w:ascii="Arial" w:cs="Arial" w:eastAsia="Arial" w:hAnsi="Arial"/>
                <w:sz w:val="12"/>
                <w:szCs w:val="12"/>
                <w:color w:val="auto"/>
              </w:rPr>
              <w:t>89,635</w:t>
            </w:r>
          </w:p>
        </w:tc>
        <w:tc>
          <w:tcPr>
            <w:tcW w:w="76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1,577,968</w:t>
            </w:r>
          </w:p>
        </w:tc>
      </w:tr>
      <w:tr>
        <w:trPr>
          <w:trHeight w:val="138"/>
        </w:trPr>
        <w:tc>
          <w:tcPr>
            <w:tcW w:w="2440" w:type="dxa"/>
            <w:vAlign w:val="bottom"/>
            <w:tcBorders>
              <w:left w:val="single" w:sz="8" w:color="auto"/>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r>
      <w:tr>
        <w:trPr>
          <w:trHeight w:val="140"/>
        </w:trPr>
        <w:tc>
          <w:tcPr>
            <w:tcW w:w="244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Mary E. Sellers</w:t>
            </w:r>
          </w:p>
        </w:tc>
        <w:tc>
          <w:tcPr>
            <w:tcW w:w="1260" w:type="dxa"/>
            <w:vAlign w:val="bottom"/>
          </w:tcPr>
          <w:p>
            <w:pPr>
              <w:ind w:left="720"/>
              <w:spacing w:after="0"/>
              <w:rPr>
                <w:sz w:val="20"/>
                <w:szCs w:val="20"/>
                <w:color w:val="auto"/>
              </w:rPr>
            </w:pPr>
            <w:r>
              <w:rPr>
                <w:rFonts w:ascii="Arial" w:cs="Arial" w:eastAsia="Arial" w:hAnsi="Arial"/>
                <w:sz w:val="12"/>
                <w:szCs w:val="12"/>
                <w:color w:val="auto"/>
              </w:rPr>
              <w:t>2021</w:t>
            </w:r>
          </w:p>
        </w:tc>
        <w:tc>
          <w:tcPr>
            <w:tcW w:w="1040" w:type="dxa"/>
            <w:vAlign w:val="bottom"/>
          </w:tcPr>
          <w:p>
            <w:pPr>
              <w:jc w:val="right"/>
              <w:ind w:right="158"/>
              <w:spacing w:after="0"/>
              <w:rPr>
                <w:sz w:val="20"/>
                <w:szCs w:val="20"/>
                <w:color w:val="auto"/>
              </w:rPr>
            </w:pPr>
            <w:r>
              <w:rPr>
                <w:rFonts w:ascii="Arial" w:cs="Arial" w:eastAsia="Arial" w:hAnsi="Arial"/>
                <w:sz w:val="12"/>
                <w:szCs w:val="12"/>
                <w:color w:val="auto"/>
              </w:rPr>
              <w:t>436,000</w:t>
            </w:r>
          </w:p>
        </w:tc>
        <w:tc>
          <w:tcPr>
            <w:tcW w:w="920" w:type="dxa"/>
            <w:vAlign w:val="bottom"/>
          </w:tcPr>
          <w:p>
            <w:pPr>
              <w:ind w:left="60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18"/>
              <w:spacing w:after="0"/>
              <w:rPr>
                <w:sz w:val="20"/>
                <w:szCs w:val="20"/>
                <w:color w:val="auto"/>
              </w:rPr>
            </w:pPr>
            <w:r>
              <w:rPr>
                <w:rFonts w:ascii="Arial" w:cs="Arial" w:eastAsia="Arial" w:hAnsi="Arial"/>
                <w:sz w:val="12"/>
                <w:szCs w:val="12"/>
                <w:color w:val="auto"/>
              </w:rPr>
              <w:t>2,474,341</w:t>
            </w:r>
          </w:p>
        </w:tc>
        <w:tc>
          <w:tcPr>
            <w:tcW w:w="860" w:type="dxa"/>
            <w:vAlign w:val="bottom"/>
          </w:tcPr>
          <w:p>
            <w:pPr>
              <w:ind w:left="64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650,000</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118"/>
              <w:spacing w:after="0"/>
              <w:rPr>
                <w:sz w:val="20"/>
                <w:szCs w:val="20"/>
                <w:color w:val="auto"/>
              </w:rPr>
            </w:pPr>
            <w:r>
              <w:rPr>
                <w:rFonts w:ascii="Arial" w:cs="Arial" w:eastAsia="Arial" w:hAnsi="Arial"/>
                <w:sz w:val="12"/>
                <w:szCs w:val="12"/>
                <w:color w:val="auto"/>
              </w:rPr>
              <w:t>51,216</w:t>
            </w:r>
          </w:p>
        </w:tc>
        <w:tc>
          <w:tcPr>
            <w:tcW w:w="76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3,611,557</w:t>
            </w:r>
          </w:p>
        </w:tc>
      </w:tr>
      <w:tr>
        <w:trPr>
          <w:trHeight w:val="147"/>
        </w:trPr>
        <w:tc>
          <w:tcPr>
            <w:tcW w:w="2440" w:type="dxa"/>
            <w:vAlign w:val="bottom"/>
            <w:tcBorders>
              <w:left w:val="single" w:sz="8" w:color="auto"/>
            </w:tcBorders>
          </w:tcPr>
          <w:p>
            <w:pPr>
              <w:ind w:left="380"/>
              <w:spacing w:after="0"/>
              <w:rPr>
                <w:sz w:val="20"/>
                <w:szCs w:val="20"/>
                <w:color w:val="auto"/>
              </w:rPr>
            </w:pPr>
            <w:r>
              <w:rPr>
                <w:rFonts w:ascii="Arial" w:cs="Arial" w:eastAsia="Arial" w:hAnsi="Arial"/>
                <w:sz w:val="12"/>
                <w:szCs w:val="12"/>
                <w:color w:val="auto"/>
              </w:rPr>
              <w:t>Vice Chair,</w:t>
            </w:r>
          </w:p>
        </w:tc>
        <w:tc>
          <w:tcPr>
            <w:tcW w:w="1260" w:type="dxa"/>
            <w:vAlign w:val="bottom"/>
          </w:tcPr>
          <w:p>
            <w:pPr>
              <w:ind w:left="720"/>
              <w:spacing w:after="0"/>
              <w:rPr>
                <w:sz w:val="20"/>
                <w:szCs w:val="20"/>
                <w:color w:val="auto"/>
              </w:rPr>
            </w:pPr>
            <w:r>
              <w:rPr>
                <w:rFonts w:ascii="Arial" w:cs="Arial" w:eastAsia="Arial" w:hAnsi="Arial"/>
                <w:sz w:val="12"/>
                <w:szCs w:val="12"/>
                <w:color w:val="auto"/>
              </w:rPr>
              <w:t>2020</w:t>
            </w:r>
          </w:p>
        </w:tc>
        <w:tc>
          <w:tcPr>
            <w:tcW w:w="1040" w:type="dxa"/>
            <w:vAlign w:val="bottom"/>
          </w:tcPr>
          <w:p>
            <w:pPr>
              <w:jc w:val="right"/>
              <w:ind w:right="158"/>
              <w:spacing w:after="0"/>
              <w:rPr>
                <w:sz w:val="20"/>
                <w:szCs w:val="20"/>
                <w:color w:val="auto"/>
              </w:rPr>
            </w:pPr>
            <w:r>
              <w:rPr>
                <w:rFonts w:ascii="Arial" w:cs="Arial" w:eastAsia="Arial" w:hAnsi="Arial"/>
                <w:sz w:val="12"/>
                <w:szCs w:val="12"/>
                <w:color w:val="auto"/>
              </w:rPr>
              <w:t>436,000</w:t>
            </w:r>
          </w:p>
        </w:tc>
        <w:tc>
          <w:tcPr>
            <w:tcW w:w="920" w:type="dxa"/>
            <w:vAlign w:val="bottom"/>
          </w:tcPr>
          <w:p>
            <w:pPr>
              <w:ind w:left="60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18"/>
              <w:spacing w:after="0"/>
              <w:rPr>
                <w:sz w:val="20"/>
                <w:szCs w:val="20"/>
                <w:color w:val="auto"/>
              </w:rPr>
            </w:pPr>
            <w:r>
              <w:rPr>
                <w:rFonts w:ascii="Arial" w:cs="Arial" w:eastAsia="Arial" w:hAnsi="Arial"/>
                <w:sz w:val="12"/>
                <w:szCs w:val="12"/>
                <w:color w:val="auto"/>
              </w:rPr>
              <w:t>700,013</w:t>
            </w:r>
          </w:p>
        </w:tc>
        <w:tc>
          <w:tcPr>
            <w:tcW w:w="860" w:type="dxa"/>
            <w:vAlign w:val="bottom"/>
          </w:tcPr>
          <w:p>
            <w:pPr>
              <w:ind w:left="64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224,250</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7,021</w:t>
            </w:r>
          </w:p>
        </w:tc>
        <w:tc>
          <w:tcPr>
            <w:tcW w:w="1040" w:type="dxa"/>
            <w:vAlign w:val="bottom"/>
          </w:tcPr>
          <w:p>
            <w:pPr>
              <w:jc w:val="right"/>
              <w:ind w:right="118"/>
              <w:spacing w:after="0"/>
              <w:rPr>
                <w:sz w:val="20"/>
                <w:szCs w:val="20"/>
                <w:color w:val="auto"/>
              </w:rPr>
            </w:pPr>
            <w:r>
              <w:rPr>
                <w:rFonts w:ascii="Arial" w:cs="Arial" w:eastAsia="Arial" w:hAnsi="Arial"/>
                <w:sz w:val="12"/>
                <w:szCs w:val="12"/>
                <w:color w:val="auto"/>
              </w:rPr>
              <w:t>70,970</w:t>
            </w:r>
          </w:p>
        </w:tc>
        <w:tc>
          <w:tcPr>
            <w:tcW w:w="76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1,438,254</w:t>
            </w:r>
          </w:p>
        </w:tc>
      </w:tr>
      <w:tr>
        <w:trPr>
          <w:trHeight w:val="157"/>
        </w:trPr>
        <w:tc>
          <w:tcPr>
            <w:tcW w:w="2440" w:type="dxa"/>
            <w:vAlign w:val="bottom"/>
            <w:tcBorders>
              <w:left w:val="single" w:sz="8" w:color="auto"/>
            </w:tcBorders>
          </w:tcPr>
          <w:p>
            <w:pPr>
              <w:ind w:left="380"/>
              <w:spacing w:after="0"/>
              <w:rPr>
                <w:sz w:val="20"/>
                <w:szCs w:val="20"/>
                <w:color w:val="auto"/>
              </w:rPr>
            </w:pPr>
            <w:r>
              <w:rPr>
                <w:rFonts w:ascii="Arial" w:cs="Arial" w:eastAsia="Arial" w:hAnsi="Arial"/>
                <w:sz w:val="12"/>
                <w:szCs w:val="12"/>
                <w:color w:val="auto"/>
              </w:rPr>
              <w:t>Chief Risk Officer</w:t>
            </w:r>
          </w:p>
        </w:tc>
        <w:tc>
          <w:tcPr>
            <w:tcW w:w="1260" w:type="dxa"/>
            <w:vAlign w:val="bottom"/>
          </w:tcPr>
          <w:p>
            <w:pPr>
              <w:ind w:left="720"/>
              <w:spacing w:after="0"/>
              <w:rPr>
                <w:sz w:val="20"/>
                <w:szCs w:val="20"/>
                <w:color w:val="auto"/>
              </w:rPr>
            </w:pPr>
            <w:r>
              <w:rPr>
                <w:rFonts w:ascii="Arial" w:cs="Arial" w:eastAsia="Arial" w:hAnsi="Arial"/>
                <w:sz w:val="12"/>
                <w:szCs w:val="12"/>
                <w:color w:val="auto"/>
              </w:rPr>
              <w:t>2019</w:t>
            </w:r>
          </w:p>
        </w:tc>
        <w:tc>
          <w:tcPr>
            <w:tcW w:w="1040" w:type="dxa"/>
            <w:vAlign w:val="bottom"/>
          </w:tcPr>
          <w:p>
            <w:pPr>
              <w:jc w:val="right"/>
              <w:ind w:right="158"/>
              <w:spacing w:after="0"/>
              <w:rPr>
                <w:sz w:val="20"/>
                <w:szCs w:val="20"/>
                <w:color w:val="auto"/>
              </w:rPr>
            </w:pPr>
            <w:r>
              <w:rPr>
                <w:rFonts w:ascii="Arial" w:cs="Arial" w:eastAsia="Arial" w:hAnsi="Arial"/>
                <w:sz w:val="12"/>
                <w:szCs w:val="12"/>
                <w:color w:val="auto"/>
              </w:rPr>
              <w:t>436,000</w:t>
            </w:r>
          </w:p>
        </w:tc>
        <w:tc>
          <w:tcPr>
            <w:tcW w:w="920" w:type="dxa"/>
            <w:vAlign w:val="bottom"/>
          </w:tcPr>
          <w:p>
            <w:pPr>
              <w:ind w:left="60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18"/>
              <w:spacing w:after="0"/>
              <w:rPr>
                <w:sz w:val="20"/>
                <w:szCs w:val="20"/>
                <w:color w:val="auto"/>
              </w:rPr>
            </w:pPr>
            <w:r>
              <w:rPr>
                <w:rFonts w:ascii="Arial" w:cs="Arial" w:eastAsia="Arial" w:hAnsi="Arial"/>
                <w:sz w:val="12"/>
                <w:szCs w:val="12"/>
                <w:color w:val="auto"/>
              </w:rPr>
              <w:t>500,075</w:t>
            </w:r>
          </w:p>
        </w:tc>
        <w:tc>
          <w:tcPr>
            <w:tcW w:w="860" w:type="dxa"/>
            <w:vAlign w:val="bottom"/>
          </w:tcPr>
          <w:p>
            <w:pPr>
              <w:ind w:left="64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650,000</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8,231</w:t>
            </w:r>
          </w:p>
        </w:tc>
        <w:tc>
          <w:tcPr>
            <w:tcW w:w="1040" w:type="dxa"/>
            <w:vAlign w:val="bottom"/>
          </w:tcPr>
          <w:p>
            <w:pPr>
              <w:jc w:val="right"/>
              <w:ind w:right="118"/>
              <w:spacing w:after="0"/>
              <w:rPr>
                <w:sz w:val="20"/>
                <w:szCs w:val="20"/>
                <w:color w:val="auto"/>
              </w:rPr>
            </w:pPr>
            <w:r>
              <w:rPr>
                <w:rFonts w:ascii="Arial" w:cs="Arial" w:eastAsia="Arial" w:hAnsi="Arial"/>
                <w:sz w:val="12"/>
                <w:szCs w:val="12"/>
                <w:color w:val="auto"/>
              </w:rPr>
              <w:t>81,824</w:t>
            </w:r>
          </w:p>
        </w:tc>
        <w:tc>
          <w:tcPr>
            <w:tcW w:w="76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1,676,130</w:t>
            </w:r>
          </w:p>
        </w:tc>
      </w:tr>
      <w:tr>
        <w:trPr>
          <w:trHeight w:val="138"/>
        </w:trPr>
        <w:tc>
          <w:tcPr>
            <w:tcW w:w="2440" w:type="dxa"/>
            <w:vAlign w:val="bottom"/>
            <w:tcBorders>
              <w:left w:val="single" w:sz="8" w:color="auto"/>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r>
    </w:tbl>
    <w:p>
      <w:pPr>
        <w:spacing w:after="0" w:line="217" w:lineRule="exact"/>
        <w:rPr>
          <w:sz w:val="20"/>
          <w:szCs w:val="20"/>
          <w:color w:val="auto"/>
        </w:rPr>
      </w:pPr>
    </w:p>
    <w:p>
      <w:pPr>
        <w:ind w:left="400" w:hanging="393"/>
        <w:spacing w:after="0"/>
        <w:tabs>
          <w:tab w:leader="none" w:pos="4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Mr. Ho received no fees or compensation for his services on the Board of Directors. The Company pays on a bi-weekly basis.</w:t>
      </w:r>
    </w:p>
    <w:p>
      <w:pPr>
        <w:spacing w:after="0" w:line="104" w:lineRule="exact"/>
        <w:rPr>
          <w:rFonts w:ascii="Arial" w:cs="Arial" w:eastAsia="Arial" w:hAnsi="Arial"/>
          <w:sz w:val="13"/>
          <w:szCs w:val="13"/>
          <w:color w:val="auto"/>
        </w:rPr>
      </w:pPr>
    </w:p>
    <w:p>
      <w:pPr>
        <w:ind w:left="400" w:right="20" w:hanging="393"/>
        <w:spacing w:after="0" w:line="244" w:lineRule="auto"/>
        <w:tabs>
          <w:tab w:leader="none" w:pos="4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This column represents the aggregate grant date fair value of restricted stock and restricted stock units granted to each of the NEOs in accordance with Accounting Standards Codification (“ASC”) Topic 718, “Compensation - Stock Compensation.” Restricted stock are valued at the closing price of the Company's common stock on the date of the grant. 2020 performance-based EIP awards were paid out half in cash and half in restricted stock equivalents, which will vest 1/3 upon each of the first three anniversaries of the grant. The 2021 amounts include the restricted stock portion of EIP granted on February 19, 2021, that was already earned under the performance-based EIP, performance-based restricted stock granted under the Supplemental Retention Stock Grant and Special Retention Incentive Plan.</w:t>
      </w:r>
    </w:p>
    <w:p>
      <w:pPr>
        <w:spacing w:after="0" w:line="82" w:lineRule="exact"/>
        <w:rPr>
          <w:rFonts w:ascii="Arial" w:cs="Arial" w:eastAsia="Arial" w:hAnsi="Arial"/>
          <w:sz w:val="13"/>
          <w:szCs w:val="13"/>
          <w:color w:val="auto"/>
        </w:rPr>
      </w:pPr>
    </w:p>
    <w:p>
      <w:pPr>
        <w:ind w:left="400" w:hanging="393"/>
        <w:spacing w:after="0" w:line="253" w:lineRule="auto"/>
        <w:tabs>
          <w:tab w:leader="none" w:pos="4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For 2020, amounts in this column represent the cash portion of the awards earned under the performance-based Executive Incentive Plan (“EIP”). The 2020 performance-based EIP awards were paid out half in cash and half in restricted stock equivalents, which will vest 1/3 upon each of the first three anniversaries of the grant. The restricted stock equivalents were already earned under the performance-based EIP.</w:t>
      </w:r>
    </w:p>
    <w:p>
      <w:pPr>
        <w:spacing w:after="0" w:line="75" w:lineRule="exact"/>
        <w:rPr>
          <w:rFonts w:ascii="Arial" w:cs="Arial" w:eastAsia="Arial" w:hAnsi="Arial"/>
          <w:sz w:val="13"/>
          <w:szCs w:val="13"/>
          <w:color w:val="auto"/>
        </w:rPr>
      </w:pPr>
    </w:p>
    <w:p>
      <w:pPr>
        <w:ind w:left="400" w:right="40" w:hanging="393"/>
        <w:spacing w:after="0"/>
        <w:tabs>
          <w:tab w:leader="none" w:pos="4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This column represents the annual change in the actuarial present value of accumulated benefits under the Employees’ Retirement Plan of Bank of Hawaii. Mr. Ho and Ms. Sellers are the only NEOs who are participants of this plan, which was frozen at the end of 1995. For 2021, the decrease in value of the pension benefits from the prior measurement date is primarily due to the increase in the discount rate from 2.55% to 2.89% and/or the delay in benefit commencement. Mr. Ho’s pension value declined by $106 and Ms. Sellers’ pension value declined by $6,571. For 2020, the increase in the value of the pension benefits from the prior measurement date is primarily due to the decrease in the discount rate (from 3.36% to 2.55%). For Mr. Ho, the increase in value is also due to the updates in interest rate and mortality assumptions associated with lump sum payments. The three PPA segment rates were updated from 2.04%, 3.09%, and 3.68% to 0.53%, 2.31%, and 3.09%, respectively. The mortality assumption was also updated to reflect the latest IRS release for 2021. For 2019, the increase in the value of the pension benefits from the prior measurement date is primarily due to the decrease in the discount rate (from 4.41% to 3.36%). For Mr. Ho, the increase in value is also due to the updates in interest rate and mortality assumptions associated with lump sum payments. The three PPA segment rates were updated from 3.43%, 4.46%, and 4.88% to 2.04%, 3.09%, and 3.68%, respectively. The mortality assumption was also updated to reflect the latest IRS release for 2020.</w:t>
      </w:r>
    </w:p>
    <w:p>
      <w:pPr>
        <w:spacing w:after="0" w:line="85" w:lineRule="exact"/>
        <w:rPr>
          <w:rFonts w:ascii="Arial" w:cs="Arial" w:eastAsia="Arial" w:hAnsi="Arial"/>
          <w:sz w:val="13"/>
          <w:szCs w:val="13"/>
          <w:color w:val="auto"/>
        </w:rPr>
      </w:pPr>
    </w:p>
    <w:p>
      <w:pPr>
        <w:ind w:left="400"/>
        <w:spacing w:after="0"/>
        <w:rPr>
          <w:rFonts w:ascii="Arial" w:cs="Arial" w:eastAsia="Arial" w:hAnsi="Arial"/>
          <w:sz w:val="13"/>
          <w:szCs w:val="13"/>
          <w:color w:val="auto"/>
        </w:rPr>
      </w:pPr>
      <w:r>
        <w:rPr>
          <w:rFonts w:ascii="Arial" w:cs="Arial" w:eastAsia="Arial" w:hAnsi="Arial"/>
          <w:sz w:val="13"/>
          <w:szCs w:val="13"/>
          <w:color w:val="auto"/>
        </w:rPr>
        <w:t>The Company has not provided above-market or preferential earnings on any nonqualified deferred compensation and, accordingly, no such amounts are reflected in this column.</w:t>
      </w:r>
    </w:p>
    <w:p>
      <w:pPr>
        <w:spacing w:after="0" w:line="104" w:lineRule="exact"/>
        <w:rPr>
          <w:rFonts w:ascii="Arial" w:cs="Arial" w:eastAsia="Arial" w:hAnsi="Arial"/>
          <w:sz w:val="13"/>
          <w:szCs w:val="13"/>
          <w:color w:val="auto"/>
        </w:rPr>
      </w:pPr>
    </w:p>
    <w:p>
      <w:pPr>
        <w:ind w:left="400" w:hanging="393"/>
        <w:spacing w:after="0"/>
        <w:tabs>
          <w:tab w:leader="none" w:pos="4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All Other Compensation Table that follows provides additional detail regarding the amounts in this column.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 OTHER COMPENSATION TABLE</w:t>
      </w:r>
    </w:p>
    <w:p>
      <w:pPr>
        <w:spacing w:after="0" w:line="2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a breakdown of All Other Compensation paid to or earned by our NEOs for each of the fiscal years indicated.</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142"/>
        </w:trPr>
        <w:tc>
          <w:tcPr>
            <w:tcW w:w="1940" w:type="dxa"/>
            <w:vAlign w:val="bottom"/>
            <w:tcBorders>
              <w:top w:val="single" w:sz="8" w:color="auto"/>
              <w:left w:val="single" w:sz="8" w:color="auto"/>
            </w:tcBorders>
            <w:shd w:val="clear" w:color="auto" w:fill="086FB8"/>
          </w:tcPr>
          <w:p>
            <w:pPr>
              <w:spacing w:after="0"/>
              <w:rPr>
                <w:sz w:val="12"/>
                <w:szCs w:val="12"/>
                <w:color w:val="auto"/>
              </w:rPr>
            </w:pPr>
          </w:p>
        </w:tc>
        <w:tc>
          <w:tcPr>
            <w:tcW w:w="1320" w:type="dxa"/>
            <w:vAlign w:val="bottom"/>
            <w:tcBorders>
              <w:top w:val="single" w:sz="8" w:color="auto"/>
            </w:tcBorders>
            <w:shd w:val="clear" w:color="auto" w:fill="086FB8"/>
          </w:tcPr>
          <w:p>
            <w:pPr>
              <w:spacing w:after="0"/>
              <w:rPr>
                <w:sz w:val="12"/>
                <w:szCs w:val="12"/>
                <w:color w:val="auto"/>
              </w:rPr>
            </w:pPr>
          </w:p>
        </w:tc>
        <w:tc>
          <w:tcPr>
            <w:tcW w:w="1160" w:type="dxa"/>
            <w:vAlign w:val="bottom"/>
            <w:tcBorders>
              <w:top w:val="single" w:sz="8" w:color="auto"/>
            </w:tcBorders>
            <w:shd w:val="clear" w:color="auto" w:fill="086FB8"/>
          </w:tcPr>
          <w:p>
            <w:pPr>
              <w:jc w:val="center"/>
              <w:spacing w:after="0"/>
              <w:rPr>
                <w:sz w:val="20"/>
                <w:szCs w:val="20"/>
                <w:color w:val="auto"/>
              </w:rPr>
            </w:pPr>
            <w:r>
              <w:rPr>
                <w:rFonts w:ascii="Arial" w:cs="Arial" w:eastAsia="Arial" w:hAnsi="Arial"/>
                <w:sz w:val="12"/>
                <w:szCs w:val="12"/>
                <w:b w:val="1"/>
                <w:bCs w:val="1"/>
                <w:color w:val="FFFFFF"/>
                <w:w w:val="95"/>
              </w:rPr>
              <w:t>Retirement</w:t>
            </w:r>
          </w:p>
        </w:tc>
        <w:tc>
          <w:tcPr>
            <w:tcW w:w="1000" w:type="dxa"/>
            <w:vAlign w:val="bottom"/>
            <w:tcBorders>
              <w:top w:val="single" w:sz="8" w:color="auto"/>
            </w:tcBorders>
            <w:shd w:val="clear" w:color="auto" w:fill="086FB8"/>
          </w:tcPr>
          <w:p>
            <w:pPr>
              <w:spacing w:after="0"/>
              <w:rPr>
                <w:sz w:val="12"/>
                <w:szCs w:val="12"/>
                <w:color w:val="auto"/>
              </w:rPr>
            </w:pPr>
          </w:p>
        </w:tc>
        <w:tc>
          <w:tcPr>
            <w:tcW w:w="920" w:type="dxa"/>
            <w:vAlign w:val="bottom"/>
            <w:tcBorders>
              <w:top w:val="single" w:sz="8" w:color="auto"/>
            </w:tcBorders>
            <w:shd w:val="clear" w:color="auto" w:fill="086FB8"/>
          </w:tcPr>
          <w:p>
            <w:pPr>
              <w:jc w:val="center"/>
              <w:ind w:right="38"/>
              <w:spacing w:after="0"/>
              <w:rPr>
                <w:sz w:val="20"/>
                <w:szCs w:val="20"/>
                <w:color w:val="auto"/>
              </w:rPr>
            </w:pPr>
            <w:r>
              <w:rPr>
                <w:rFonts w:ascii="Arial" w:cs="Arial" w:eastAsia="Arial" w:hAnsi="Arial"/>
                <w:sz w:val="12"/>
                <w:szCs w:val="12"/>
                <w:b w:val="1"/>
                <w:bCs w:val="1"/>
                <w:color w:val="FFFFFF"/>
                <w:w w:val="82"/>
              </w:rPr>
              <w:t>Excess</w:t>
            </w:r>
          </w:p>
        </w:tc>
        <w:tc>
          <w:tcPr>
            <w:tcW w:w="1000" w:type="dxa"/>
            <w:vAlign w:val="bottom"/>
            <w:tcBorders>
              <w:top w:val="single" w:sz="8" w:color="auto"/>
            </w:tcBorders>
            <w:shd w:val="clear" w:color="auto" w:fill="086FB8"/>
          </w:tcPr>
          <w:p>
            <w:pPr>
              <w:jc w:val="center"/>
              <w:spacing w:after="0"/>
              <w:rPr>
                <w:sz w:val="20"/>
                <w:szCs w:val="20"/>
                <w:color w:val="auto"/>
              </w:rPr>
            </w:pPr>
            <w:r>
              <w:rPr>
                <w:rFonts w:ascii="Arial" w:cs="Arial" w:eastAsia="Arial" w:hAnsi="Arial"/>
                <w:sz w:val="12"/>
                <w:szCs w:val="12"/>
                <w:b w:val="1"/>
                <w:bCs w:val="1"/>
                <w:color w:val="FFFFFF"/>
                <w:w w:val="95"/>
              </w:rPr>
              <w:t>Retirement</w:t>
            </w:r>
          </w:p>
        </w:tc>
        <w:tc>
          <w:tcPr>
            <w:tcW w:w="960" w:type="dxa"/>
            <w:vAlign w:val="bottom"/>
            <w:tcBorders>
              <w:top w:val="single" w:sz="8" w:color="auto"/>
            </w:tcBorders>
            <w:shd w:val="clear" w:color="auto" w:fill="086FB8"/>
          </w:tcPr>
          <w:p>
            <w:pPr>
              <w:spacing w:after="0"/>
              <w:rPr>
                <w:sz w:val="12"/>
                <w:szCs w:val="12"/>
                <w:color w:val="auto"/>
              </w:rPr>
            </w:pPr>
          </w:p>
        </w:tc>
        <w:tc>
          <w:tcPr>
            <w:tcW w:w="1000" w:type="dxa"/>
            <w:vAlign w:val="bottom"/>
            <w:tcBorders>
              <w:top w:val="single" w:sz="8" w:color="auto"/>
            </w:tcBorders>
            <w:shd w:val="clear" w:color="auto" w:fill="086FB8"/>
          </w:tcPr>
          <w:p>
            <w:pPr>
              <w:jc w:val="center"/>
              <w:spacing w:after="0"/>
              <w:rPr>
                <w:sz w:val="20"/>
                <w:szCs w:val="20"/>
                <w:color w:val="auto"/>
              </w:rPr>
            </w:pPr>
            <w:r>
              <w:rPr>
                <w:rFonts w:ascii="Arial" w:cs="Arial" w:eastAsia="Arial" w:hAnsi="Arial"/>
                <w:sz w:val="12"/>
                <w:szCs w:val="12"/>
                <w:b w:val="1"/>
                <w:bCs w:val="1"/>
                <w:color w:val="FFFFFF"/>
                <w:w w:val="92"/>
              </w:rPr>
              <w:t>Executive</w:t>
            </w:r>
          </w:p>
        </w:tc>
        <w:tc>
          <w:tcPr>
            <w:tcW w:w="980" w:type="dxa"/>
            <w:vAlign w:val="bottom"/>
            <w:tcBorders>
              <w:top w:val="single" w:sz="8" w:color="auto"/>
            </w:tcBorders>
            <w:shd w:val="clear" w:color="auto" w:fill="086FB8"/>
          </w:tcPr>
          <w:p>
            <w:pPr>
              <w:spacing w:after="0"/>
              <w:rPr>
                <w:sz w:val="12"/>
                <w:szCs w:val="12"/>
                <w:color w:val="auto"/>
              </w:rPr>
            </w:pPr>
          </w:p>
        </w:tc>
        <w:tc>
          <w:tcPr>
            <w:tcW w:w="960" w:type="dxa"/>
            <w:vAlign w:val="bottom"/>
            <w:tcBorders>
              <w:top w:val="single" w:sz="8" w:color="auto"/>
              <w:right w:val="single" w:sz="8" w:color="auto"/>
            </w:tcBorders>
            <w:shd w:val="clear" w:color="auto" w:fill="086FB8"/>
          </w:tcPr>
          <w:p>
            <w:pPr>
              <w:spacing w:after="0"/>
              <w:rPr>
                <w:sz w:val="12"/>
                <w:szCs w:val="12"/>
                <w:color w:val="auto"/>
              </w:rPr>
            </w:pPr>
          </w:p>
        </w:tc>
      </w:tr>
      <w:tr>
        <w:trPr>
          <w:trHeight w:val="134"/>
        </w:trPr>
        <w:tc>
          <w:tcPr>
            <w:tcW w:w="1940" w:type="dxa"/>
            <w:vAlign w:val="bottom"/>
            <w:tcBorders>
              <w:left w:val="single" w:sz="8" w:color="auto"/>
            </w:tcBorders>
            <w:shd w:val="clear" w:color="auto" w:fill="086FB8"/>
          </w:tcPr>
          <w:p>
            <w:pPr>
              <w:spacing w:after="0"/>
              <w:rPr>
                <w:sz w:val="11"/>
                <w:szCs w:val="11"/>
                <w:color w:val="auto"/>
              </w:rPr>
            </w:pPr>
          </w:p>
        </w:tc>
        <w:tc>
          <w:tcPr>
            <w:tcW w:w="1320" w:type="dxa"/>
            <w:vAlign w:val="bottom"/>
            <w:shd w:val="clear" w:color="auto" w:fill="086FB8"/>
          </w:tcPr>
          <w:p>
            <w:pPr>
              <w:spacing w:after="0"/>
              <w:rPr>
                <w:sz w:val="11"/>
                <w:szCs w:val="11"/>
                <w:color w:val="auto"/>
              </w:rPr>
            </w:pPr>
          </w:p>
        </w:tc>
        <w:tc>
          <w:tcPr>
            <w:tcW w:w="116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1"/>
              </w:rPr>
              <w:t>Savings</w:t>
            </w:r>
          </w:p>
        </w:tc>
        <w:tc>
          <w:tcPr>
            <w:tcW w:w="1000" w:type="dxa"/>
            <w:vAlign w:val="bottom"/>
            <w:shd w:val="clear" w:color="auto" w:fill="086FB8"/>
          </w:tcPr>
          <w:p>
            <w:pPr>
              <w:spacing w:after="0"/>
              <w:rPr>
                <w:sz w:val="11"/>
                <w:szCs w:val="11"/>
                <w:color w:val="auto"/>
              </w:rPr>
            </w:pPr>
          </w:p>
        </w:tc>
        <w:tc>
          <w:tcPr>
            <w:tcW w:w="920" w:type="dxa"/>
            <w:vAlign w:val="bottom"/>
            <w:shd w:val="clear" w:color="auto" w:fill="086FB8"/>
          </w:tcPr>
          <w:p>
            <w:pPr>
              <w:jc w:val="center"/>
              <w:ind w:right="38"/>
              <w:spacing w:after="0" w:line="134" w:lineRule="exact"/>
              <w:rPr>
                <w:sz w:val="20"/>
                <w:szCs w:val="20"/>
                <w:color w:val="auto"/>
              </w:rPr>
            </w:pPr>
            <w:r>
              <w:rPr>
                <w:rFonts w:ascii="Arial" w:cs="Arial" w:eastAsia="Arial" w:hAnsi="Arial"/>
                <w:sz w:val="12"/>
                <w:szCs w:val="12"/>
                <w:b w:val="1"/>
                <w:bCs w:val="1"/>
                <w:color w:val="FFFFFF"/>
              </w:rPr>
              <w:t>Plan</w:t>
            </w:r>
          </w:p>
        </w:tc>
        <w:tc>
          <w:tcPr>
            <w:tcW w:w="100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0"/>
              </w:rPr>
              <w:t>Savings Plan</w:t>
            </w:r>
          </w:p>
        </w:tc>
        <w:tc>
          <w:tcPr>
            <w:tcW w:w="96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88"/>
              </w:rPr>
              <w:t>Excess Plan</w:t>
            </w:r>
          </w:p>
        </w:tc>
        <w:tc>
          <w:tcPr>
            <w:tcW w:w="100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7"/>
              </w:rPr>
              <w:t>Deferred</w:t>
            </w:r>
          </w:p>
        </w:tc>
        <w:tc>
          <w:tcPr>
            <w:tcW w:w="980" w:type="dxa"/>
            <w:vAlign w:val="bottom"/>
            <w:shd w:val="clear" w:color="auto" w:fill="086FB8"/>
          </w:tcPr>
          <w:p>
            <w:pPr>
              <w:spacing w:after="0"/>
              <w:rPr>
                <w:sz w:val="11"/>
                <w:szCs w:val="11"/>
                <w:color w:val="auto"/>
              </w:rPr>
            </w:pPr>
          </w:p>
        </w:tc>
        <w:tc>
          <w:tcPr>
            <w:tcW w:w="960" w:type="dxa"/>
            <w:vAlign w:val="bottom"/>
            <w:tcBorders>
              <w:right w:val="single" w:sz="8" w:color="auto"/>
            </w:tcBorders>
            <w:shd w:val="clear" w:color="auto" w:fill="086FB8"/>
          </w:tcPr>
          <w:p>
            <w:pPr>
              <w:spacing w:after="0"/>
              <w:rPr>
                <w:sz w:val="11"/>
                <w:szCs w:val="11"/>
                <w:color w:val="auto"/>
              </w:rPr>
            </w:pPr>
          </w:p>
        </w:tc>
      </w:tr>
      <w:tr>
        <w:trPr>
          <w:trHeight w:val="134"/>
        </w:trPr>
        <w:tc>
          <w:tcPr>
            <w:tcW w:w="1940" w:type="dxa"/>
            <w:vAlign w:val="bottom"/>
            <w:tcBorders>
              <w:left w:val="single" w:sz="8" w:color="auto"/>
            </w:tcBorders>
            <w:shd w:val="clear" w:color="auto" w:fill="086FB8"/>
          </w:tcPr>
          <w:p>
            <w:pPr>
              <w:spacing w:after="0"/>
              <w:rPr>
                <w:sz w:val="11"/>
                <w:szCs w:val="11"/>
                <w:color w:val="auto"/>
              </w:rPr>
            </w:pPr>
          </w:p>
        </w:tc>
        <w:tc>
          <w:tcPr>
            <w:tcW w:w="1320" w:type="dxa"/>
            <w:vAlign w:val="bottom"/>
            <w:shd w:val="clear" w:color="auto" w:fill="086FB8"/>
          </w:tcPr>
          <w:p>
            <w:pPr>
              <w:spacing w:after="0"/>
              <w:rPr>
                <w:sz w:val="11"/>
                <w:szCs w:val="11"/>
                <w:color w:val="auto"/>
              </w:rPr>
            </w:pPr>
          </w:p>
        </w:tc>
        <w:tc>
          <w:tcPr>
            <w:tcW w:w="116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7"/>
              </w:rPr>
              <w:t>Plan 401(k)</w:t>
            </w:r>
          </w:p>
        </w:tc>
        <w:tc>
          <w:tcPr>
            <w:tcW w:w="1000" w:type="dxa"/>
            <w:vAlign w:val="bottom"/>
            <w:shd w:val="clear" w:color="auto" w:fill="086FB8"/>
          </w:tcPr>
          <w:p>
            <w:pPr>
              <w:jc w:val="center"/>
              <w:ind w:right="78"/>
              <w:spacing w:after="0" w:line="134" w:lineRule="exact"/>
              <w:rPr>
                <w:sz w:val="20"/>
                <w:szCs w:val="20"/>
                <w:color w:val="auto"/>
              </w:rPr>
            </w:pPr>
            <w:r>
              <w:rPr>
                <w:rFonts w:ascii="Arial" w:cs="Arial" w:eastAsia="Arial" w:hAnsi="Arial"/>
                <w:sz w:val="12"/>
                <w:szCs w:val="12"/>
                <w:b w:val="1"/>
                <w:bCs w:val="1"/>
                <w:color w:val="FFFFFF"/>
                <w:w w:val="93"/>
              </w:rPr>
              <w:t>Value</w:t>
            </w:r>
          </w:p>
        </w:tc>
        <w:tc>
          <w:tcPr>
            <w:tcW w:w="920" w:type="dxa"/>
            <w:vAlign w:val="bottom"/>
            <w:shd w:val="clear" w:color="auto" w:fill="086FB8"/>
          </w:tcPr>
          <w:p>
            <w:pPr>
              <w:jc w:val="center"/>
              <w:ind w:right="38"/>
              <w:spacing w:after="0" w:line="134" w:lineRule="exact"/>
              <w:rPr>
                <w:sz w:val="20"/>
                <w:szCs w:val="20"/>
                <w:color w:val="auto"/>
              </w:rPr>
            </w:pPr>
            <w:r>
              <w:rPr>
                <w:rFonts w:ascii="Arial" w:cs="Arial" w:eastAsia="Arial" w:hAnsi="Arial"/>
                <w:sz w:val="12"/>
                <w:szCs w:val="12"/>
                <w:b w:val="1"/>
                <w:bCs w:val="1"/>
                <w:color w:val="FFFFFF"/>
                <w:w w:val="93"/>
              </w:rPr>
              <w:t>Value</w:t>
            </w:r>
          </w:p>
        </w:tc>
        <w:tc>
          <w:tcPr>
            <w:tcW w:w="100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5"/>
              </w:rPr>
              <w:t>Company</w:t>
            </w:r>
          </w:p>
        </w:tc>
        <w:tc>
          <w:tcPr>
            <w:tcW w:w="96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5"/>
              </w:rPr>
              <w:t>Company</w:t>
            </w:r>
          </w:p>
        </w:tc>
        <w:tc>
          <w:tcPr>
            <w:tcW w:w="100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1"/>
              </w:rPr>
              <w:t>Compensation</w:t>
            </w:r>
          </w:p>
        </w:tc>
        <w:tc>
          <w:tcPr>
            <w:tcW w:w="980" w:type="dxa"/>
            <w:vAlign w:val="bottom"/>
            <w:shd w:val="clear" w:color="auto" w:fill="086FB8"/>
          </w:tcPr>
          <w:p>
            <w:pPr>
              <w:spacing w:after="0"/>
              <w:rPr>
                <w:sz w:val="11"/>
                <w:szCs w:val="11"/>
                <w:color w:val="auto"/>
              </w:rPr>
            </w:pPr>
          </w:p>
        </w:tc>
        <w:tc>
          <w:tcPr>
            <w:tcW w:w="960" w:type="dxa"/>
            <w:vAlign w:val="bottom"/>
            <w:tcBorders>
              <w:right w:val="single" w:sz="8" w:color="auto"/>
            </w:tcBorders>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rPr>
              <w:t>Total All</w:t>
            </w:r>
          </w:p>
        </w:tc>
      </w:tr>
      <w:tr>
        <w:trPr>
          <w:trHeight w:val="134"/>
        </w:trPr>
        <w:tc>
          <w:tcPr>
            <w:tcW w:w="1940" w:type="dxa"/>
            <w:vAlign w:val="bottom"/>
            <w:tcBorders>
              <w:left w:val="single" w:sz="8" w:color="auto"/>
            </w:tcBorders>
            <w:shd w:val="clear" w:color="auto" w:fill="086FB8"/>
          </w:tcPr>
          <w:p>
            <w:pPr>
              <w:spacing w:after="0"/>
              <w:rPr>
                <w:sz w:val="11"/>
                <w:szCs w:val="11"/>
                <w:color w:val="auto"/>
              </w:rPr>
            </w:pPr>
          </w:p>
        </w:tc>
        <w:tc>
          <w:tcPr>
            <w:tcW w:w="1320" w:type="dxa"/>
            <w:vAlign w:val="bottom"/>
            <w:shd w:val="clear" w:color="auto" w:fill="086FB8"/>
          </w:tcPr>
          <w:p>
            <w:pPr>
              <w:spacing w:after="0"/>
              <w:rPr>
                <w:sz w:val="11"/>
                <w:szCs w:val="11"/>
                <w:color w:val="auto"/>
              </w:rPr>
            </w:pPr>
          </w:p>
        </w:tc>
        <w:tc>
          <w:tcPr>
            <w:tcW w:w="116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4"/>
              </w:rPr>
              <w:t>Matching</w:t>
            </w:r>
          </w:p>
        </w:tc>
        <w:tc>
          <w:tcPr>
            <w:tcW w:w="1000" w:type="dxa"/>
            <w:vAlign w:val="bottom"/>
            <w:shd w:val="clear" w:color="auto" w:fill="086FB8"/>
          </w:tcPr>
          <w:p>
            <w:pPr>
              <w:jc w:val="center"/>
              <w:ind w:right="78"/>
              <w:spacing w:after="0" w:line="134" w:lineRule="exact"/>
              <w:rPr>
                <w:sz w:val="20"/>
                <w:szCs w:val="20"/>
                <w:color w:val="auto"/>
              </w:rPr>
            </w:pPr>
            <w:r>
              <w:rPr>
                <w:rFonts w:ascii="Arial" w:cs="Arial" w:eastAsia="Arial" w:hAnsi="Arial"/>
                <w:sz w:val="12"/>
                <w:szCs w:val="12"/>
                <w:b w:val="1"/>
                <w:bCs w:val="1"/>
                <w:color w:val="FFFFFF"/>
                <w:w w:val="93"/>
              </w:rPr>
              <w:t>Sharing</w:t>
            </w:r>
          </w:p>
        </w:tc>
        <w:tc>
          <w:tcPr>
            <w:tcW w:w="920" w:type="dxa"/>
            <w:vAlign w:val="bottom"/>
            <w:shd w:val="clear" w:color="auto" w:fill="086FB8"/>
          </w:tcPr>
          <w:p>
            <w:pPr>
              <w:jc w:val="center"/>
              <w:ind w:right="38"/>
              <w:spacing w:after="0" w:line="134" w:lineRule="exact"/>
              <w:rPr>
                <w:sz w:val="20"/>
                <w:szCs w:val="20"/>
                <w:color w:val="auto"/>
              </w:rPr>
            </w:pPr>
            <w:r>
              <w:rPr>
                <w:rFonts w:ascii="Arial" w:cs="Arial" w:eastAsia="Arial" w:hAnsi="Arial"/>
                <w:sz w:val="12"/>
                <w:szCs w:val="12"/>
                <w:b w:val="1"/>
                <w:bCs w:val="1"/>
                <w:color w:val="FFFFFF"/>
                <w:w w:val="93"/>
              </w:rPr>
              <w:t>Sharing</w:t>
            </w:r>
          </w:p>
        </w:tc>
        <w:tc>
          <w:tcPr>
            <w:tcW w:w="100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5"/>
              </w:rPr>
              <w:t>Fixed</w:t>
            </w:r>
          </w:p>
        </w:tc>
        <w:tc>
          <w:tcPr>
            <w:tcW w:w="96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5"/>
              </w:rPr>
              <w:t>Fixed</w:t>
            </w:r>
          </w:p>
        </w:tc>
        <w:tc>
          <w:tcPr>
            <w:tcW w:w="100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5"/>
              </w:rPr>
              <w:t>Restoration</w:t>
            </w:r>
          </w:p>
        </w:tc>
        <w:tc>
          <w:tcPr>
            <w:tcW w:w="98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3"/>
              </w:rPr>
              <w:t>Other</w:t>
            </w:r>
          </w:p>
        </w:tc>
        <w:tc>
          <w:tcPr>
            <w:tcW w:w="960" w:type="dxa"/>
            <w:vAlign w:val="bottom"/>
            <w:tcBorders>
              <w:right w:val="single" w:sz="8" w:color="auto"/>
            </w:tcBorders>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9"/>
              </w:rPr>
              <w:t>Other</w:t>
            </w:r>
          </w:p>
        </w:tc>
      </w:tr>
      <w:tr>
        <w:trPr>
          <w:trHeight w:val="134"/>
        </w:trPr>
        <w:tc>
          <w:tcPr>
            <w:tcW w:w="1940" w:type="dxa"/>
            <w:vAlign w:val="bottom"/>
            <w:tcBorders>
              <w:left w:val="single" w:sz="8" w:color="auto"/>
            </w:tcBorders>
            <w:shd w:val="clear" w:color="auto" w:fill="086FB8"/>
          </w:tcPr>
          <w:p>
            <w:pPr>
              <w:spacing w:after="0"/>
              <w:rPr>
                <w:sz w:val="11"/>
                <w:szCs w:val="11"/>
                <w:color w:val="auto"/>
              </w:rPr>
            </w:pPr>
          </w:p>
        </w:tc>
        <w:tc>
          <w:tcPr>
            <w:tcW w:w="1320" w:type="dxa"/>
            <w:vAlign w:val="bottom"/>
            <w:shd w:val="clear" w:color="auto" w:fill="086FB8"/>
          </w:tcPr>
          <w:p>
            <w:pPr>
              <w:spacing w:after="0"/>
              <w:rPr>
                <w:sz w:val="11"/>
                <w:szCs w:val="11"/>
                <w:color w:val="auto"/>
              </w:rPr>
            </w:pPr>
          </w:p>
        </w:tc>
        <w:tc>
          <w:tcPr>
            <w:tcW w:w="116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7"/>
              </w:rPr>
              <w:t>Contribution</w:t>
            </w:r>
          </w:p>
        </w:tc>
        <w:tc>
          <w:tcPr>
            <w:tcW w:w="1000" w:type="dxa"/>
            <w:vAlign w:val="bottom"/>
            <w:shd w:val="clear" w:color="auto" w:fill="086FB8"/>
          </w:tcPr>
          <w:p>
            <w:pPr>
              <w:jc w:val="center"/>
              <w:ind w:right="98"/>
              <w:spacing w:after="0" w:line="134" w:lineRule="exact"/>
              <w:rPr>
                <w:sz w:val="20"/>
                <w:szCs w:val="20"/>
                <w:color w:val="auto"/>
              </w:rPr>
            </w:pPr>
            <w:r>
              <w:rPr>
                <w:rFonts w:ascii="Arial" w:cs="Arial" w:eastAsia="Arial" w:hAnsi="Arial"/>
                <w:sz w:val="12"/>
                <w:szCs w:val="12"/>
                <w:b w:val="1"/>
                <w:bCs w:val="1"/>
                <w:color w:val="FFFFFF"/>
                <w:w w:val="92"/>
              </w:rPr>
              <w:t>Funding</w:t>
            </w:r>
          </w:p>
        </w:tc>
        <w:tc>
          <w:tcPr>
            <w:tcW w:w="920" w:type="dxa"/>
            <w:vAlign w:val="bottom"/>
            <w:shd w:val="clear" w:color="auto" w:fill="086FB8"/>
          </w:tcPr>
          <w:p>
            <w:pPr>
              <w:jc w:val="center"/>
              <w:ind w:right="38"/>
              <w:spacing w:after="0" w:line="134" w:lineRule="exact"/>
              <w:rPr>
                <w:sz w:val="20"/>
                <w:szCs w:val="20"/>
                <w:color w:val="auto"/>
              </w:rPr>
            </w:pPr>
            <w:r>
              <w:rPr>
                <w:rFonts w:ascii="Arial" w:cs="Arial" w:eastAsia="Arial" w:hAnsi="Arial"/>
                <w:sz w:val="12"/>
                <w:szCs w:val="12"/>
                <w:b w:val="1"/>
                <w:bCs w:val="1"/>
                <w:color w:val="FFFFFF"/>
                <w:w w:val="97"/>
              </w:rPr>
              <w:t>Funding</w:t>
            </w:r>
          </w:p>
        </w:tc>
        <w:tc>
          <w:tcPr>
            <w:tcW w:w="100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7"/>
              </w:rPr>
              <w:t>Contribution</w:t>
            </w:r>
          </w:p>
        </w:tc>
        <w:tc>
          <w:tcPr>
            <w:tcW w:w="96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7"/>
              </w:rPr>
              <w:t>Contribution</w:t>
            </w:r>
          </w:p>
        </w:tc>
        <w:tc>
          <w:tcPr>
            <w:tcW w:w="100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7"/>
              </w:rPr>
              <w:t>Contribution</w:t>
            </w:r>
          </w:p>
        </w:tc>
        <w:tc>
          <w:tcPr>
            <w:tcW w:w="98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3"/>
              </w:rPr>
              <w:t>Compensation</w:t>
            </w:r>
          </w:p>
        </w:tc>
        <w:tc>
          <w:tcPr>
            <w:tcW w:w="960" w:type="dxa"/>
            <w:vAlign w:val="bottom"/>
            <w:tcBorders>
              <w:right w:val="single" w:sz="8" w:color="auto"/>
            </w:tcBorders>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1"/>
              </w:rPr>
              <w:t>Compensation</w:t>
            </w:r>
          </w:p>
        </w:tc>
      </w:tr>
      <w:tr>
        <w:trPr>
          <w:trHeight w:val="152"/>
        </w:trPr>
        <w:tc>
          <w:tcPr>
            <w:tcW w:w="1940" w:type="dxa"/>
            <w:vAlign w:val="bottom"/>
            <w:tcBorders>
              <w:left w:val="single" w:sz="8" w:color="auto"/>
              <w:bottom w:val="single" w:sz="8" w:color="auto"/>
            </w:tcBorders>
            <w:shd w:val="clear" w:color="auto" w:fill="086FB8"/>
          </w:tcPr>
          <w:p>
            <w:pPr>
              <w:ind w:left="140"/>
              <w:spacing w:after="0"/>
              <w:rPr>
                <w:sz w:val="20"/>
                <w:szCs w:val="20"/>
                <w:color w:val="auto"/>
              </w:rPr>
            </w:pPr>
            <w:r>
              <w:rPr>
                <w:rFonts w:ascii="Arial" w:cs="Arial" w:eastAsia="Arial" w:hAnsi="Arial"/>
                <w:sz w:val="12"/>
                <w:szCs w:val="12"/>
                <w:b w:val="1"/>
                <w:bCs w:val="1"/>
                <w:color w:val="FFFFFF"/>
              </w:rPr>
              <w:t>Name</w:t>
            </w:r>
          </w:p>
        </w:tc>
        <w:tc>
          <w:tcPr>
            <w:tcW w:w="1320" w:type="dxa"/>
            <w:vAlign w:val="bottom"/>
            <w:tcBorders>
              <w:bottom w:val="single" w:sz="8" w:color="auto"/>
            </w:tcBorders>
            <w:shd w:val="clear" w:color="auto" w:fill="086FB8"/>
          </w:tcPr>
          <w:p>
            <w:pPr>
              <w:ind w:left="840"/>
              <w:spacing w:after="0"/>
              <w:rPr>
                <w:sz w:val="20"/>
                <w:szCs w:val="20"/>
                <w:color w:val="auto"/>
              </w:rPr>
            </w:pPr>
            <w:r>
              <w:rPr>
                <w:rFonts w:ascii="Arial" w:cs="Arial" w:eastAsia="Arial" w:hAnsi="Arial"/>
                <w:sz w:val="12"/>
                <w:szCs w:val="12"/>
                <w:b w:val="1"/>
                <w:bCs w:val="1"/>
                <w:color w:val="FFFFFF"/>
              </w:rPr>
              <w:t>Year</w:t>
            </w:r>
          </w:p>
        </w:tc>
        <w:tc>
          <w:tcPr>
            <w:tcW w:w="1160" w:type="dxa"/>
            <w:vAlign w:val="bottom"/>
            <w:tcBorders>
              <w:bottom w:val="single" w:sz="8" w:color="auto"/>
            </w:tcBorders>
            <w:shd w:val="clear" w:color="auto" w:fill="086FB8"/>
          </w:tcPr>
          <w:p>
            <w:pPr>
              <w:jc w:val="center"/>
              <w:spacing w:after="0"/>
              <w:rPr>
                <w:sz w:val="20"/>
                <w:szCs w:val="20"/>
                <w:color w:val="auto"/>
              </w:rPr>
            </w:pPr>
            <w:r>
              <w:rPr>
                <w:rFonts w:ascii="Arial" w:cs="Arial" w:eastAsia="Arial" w:hAnsi="Arial"/>
                <w:sz w:val="12"/>
                <w:szCs w:val="12"/>
                <w:b w:val="1"/>
                <w:bCs w:val="1"/>
                <w:color w:val="FFFFFF"/>
              </w:rPr>
              <w:t>($)(1)</w:t>
            </w:r>
          </w:p>
        </w:tc>
        <w:tc>
          <w:tcPr>
            <w:tcW w:w="1000" w:type="dxa"/>
            <w:vAlign w:val="bottom"/>
            <w:tcBorders>
              <w:bottom w:val="single" w:sz="8" w:color="auto"/>
            </w:tcBorders>
            <w:shd w:val="clear" w:color="auto" w:fill="086FB8"/>
          </w:tcPr>
          <w:p>
            <w:pPr>
              <w:jc w:val="center"/>
              <w:ind w:right="98"/>
              <w:spacing w:after="0"/>
              <w:rPr>
                <w:sz w:val="20"/>
                <w:szCs w:val="20"/>
                <w:color w:val="auto"/>
              </w:rPr>
            </w:pPr>
            <w:r>
              <w:rPr>
                <w:rFonts w:ascii="Arial" w:cs="Arial" w:eastAsia="Arial" w:hAnsi="Arial"/>
                <w:sz w:val="12"/>
                <w:szCs w:val="12"/>
                <w:b w:val="1"/>
                <w:bCs w:val="1"/>
                <w:color w:val="FFFFFF"/>
                <w:w w:val="95"/>
              </w:rPr>
              <w:t>($)(2)</w:t>
            </w:r>
          </w:p>
        </w:tc>
        <w:tc>
          <w:tcPr>
            <w:tcW w:w="920" w:type="dxa"/>
            <w:vAlign w:val="bottom"/>
            <w:tcBorders>
              <w:bottom w:val="single" w:sz="8" w:color="auto"/>
            </w:tcBorders>
            <w:shd w:val="clear" w:color="auto" w:fill="086FB8"/>
          </w:tcPr>
          <w:p>
            <w:pPr>
              <w:jc w:val="center"/>
              <w:ind w:right="38"/>
              <w:spacing w:after="0"/>
              <w:rPr>
                <w:sz w:val="20"/>
                <w:szCs w:val="20"/>
                <w:color w:val="auto"/>
              </w:rPr>
            </w:pPr>
            <w:r>
              <w:rPr>
                <w:rFonts w:ascii="Arial" w:cs="Arial" w:eastAsia="Arial" w:hAnsi="Arial"/>
                <w:sz w:val="12"/>
                <w:szCs w:val="12"/>
                <w:b w:val="1"/>
                <w:bCs w:val="1"/>
                <w:color w:val="FFFFFF"/>
              </w:rPr>
              <w:t>($)(3)</w:t>
            </w:r>
          </w:p>
        </w:tc>
        <w:tc>
          <w:tcPr>
            <w:tcW w:w="1000" w:type="dxa"/>
            <w:vAlign w:val="bottom"/>
            <w:tcBorders>
              <w:bottom w:val="single" w:sz="8" w:color="auto"/>
            </w:tcBorders>
            <w:shd w:val="clear" w:color="auto" w:fill="086FB8"/>
          </w:tcPr>
          <w:p>
            <w:pPr>
              <w:jc w:val="center"/>
              <w:spacing w:after="0"/>
              <w:rPr>
                <w:sz w:val="20"/>
                <w:szCs w:val="20"/>
                <w:color w:val="auto"/>
              </w:rPr>
            </w:pPr>
            <w:r>
              <w:rPr>
                <w:rFonts w:ascii="Arial" w:cs="Arial" w:eastAsia="Arial" w:hAnsi="Arial"/>
                <w:sz w:val="12"/>
                <w:szCs w:val="12"/>
                <w:b w:val="1"/>
                <w:bCs w:val="1"/>
                <w:color w:val="FFFFFF"/>
                <w:w w:val="95"/>
              </w:rPr>
              <w:t>($)(4)</w:t>
            </w:r>
          </w:p>
        </w:tc>
        <w:tc>
          <w:tcPr>
            <w:tcW w:w="960" w:type="dxa"/>
            <w:vAlign w:val="bottom"/>
            <w:tcBorders>
              <w:bottom w:val="single" w:sz="8" w:color="auto"/>
            </w:tcBorders>
            <w:shd w:val="clear" w:color="auto" w:fill="086FB8"/>
          </w:tcPr>
          <w:p>
            <w:pPr>
              <w:jc w:val="center"/>
              <w:spacing w:after="0"/>
              <w:rPr>
                <w:sz w:val="20"/>
                <w:szCs w:val="20"/>
                <w:color w:val="auto"/>
              </w:rPr>
            </w:pPr>
            <w:r>
              <w:rPr>
                <w:rFonts w:ascii="Arial" w:cs="Arial" w:eastAsia="Arial" w:hAnsi="Arial"/>
                <w:sz w:val="12"/>
                <w:szCs w:val="12"/>
                <w:b w:val="1"/>
                <w:bCs w:val="1"/>
                <w:color w:val="FFFFFF"/>
              </w:rPr>
              <w:t>($)(5)</w:t>
            </w:r>
          </w:p>
        </w:tc>
        <w:tc>
          <w:tcPr>
            <w:tcW w:w="1000" w:type="dxa"/>
            <w:vAlign w:val="bottom"/>
            <w:tcBorders>
              <w:bottom w:val="single" w:sz="8" w:color="auto"/>
            </w:tcBorders>
            <w:shd w:val="clear" w:color="auto" w:fill="086FB8"/>
          </w:tcPr>
          <w:p>
            <w:pPr>
              <w:jc w:val="center"/>
              <w:spacing w:after="0"/>
              <w:rPr>
                <w:sz w:val="20"/>
                <w:szCs w:val="20"/>
                <w:color w:val="auto"/>
              </w:rPr>
            </w:pPr>
            <w:r>
              <w:rPr>
                <w:rFonts w:ascii="Arial" w:cs="Arial" w:eastAsia="Arial" w:hAnsi="Arial"/>
                <w:sz w:val="12"/>
                <w:szCs w:val="12"/>
                <w:b w:val="1"/>
                <w:bCs w:val="1"/>
                <w:color w:val="FFFFFF"/>
                <w:w w:val="97"/>
              </w:rPr>
              <w:t>($) (6)</w:t>
            </w:r>
          </w:p>
        </w:tc>
        <w:tc>
          <w:tcPr>
            <w:tcW w:w="980" w:type="dxa"/>
            <w:vAlign w:val="bottom"/>
            <w:tcBorders>
              <w:bottom w:val="single" w:sz="8" w:color="auto"/>
            </w:tcBorders>
            <w:shd w:val="clear" w:color="auto" w:fill="086FB8"/>
          </w:tcPr>
          <w:p>
            <w:pPr>
              <w:jc w:val="center"/>
              <w:spacing w:after="0"/>
              <w:rPr>
                <w:sz w:val="20"/>
                <w:szCs w:val="20"/>
                <w:color w:val="auto"/>
              </w:rPr>
            </w:pPr>
            <w:r>
              <w:rPr>
                <w:rFonts w:ascii="Arial" w:cs="Arial" w:eastAsia="Arial" w:hAnsi="Arial"/>
                <w:sz w:val="12"/>
                <w:szCs w:val="12"/>
                <w:b w:val="1"/>
                <w:bCs w:val="1"/>
                <w:color w:val="FFFFFF"/>
              </w:rPr>
              <w:t>($)(7)</w:t>
            </w:r>
          </w:p>
        </w:tc>
        <w:tc>
          <w:tcPr>
            <w:tcW w:w="960" w:type="dxa"/>
            <w:vAlign w:val="bottom"/>
            <w:tcBorders>
              <w:bottom w:val="single" w:sz="8" w:color="auto"/>
              <w:right w:val="single" w:sz="8" w:color="auto"/>
            </w:tcBorders>
            <w:shd w:val="clear" w:color="auto" w:fill="086FB8"/>
          </w:tcPr>
          <w:p>
            <w:pPr>
              <w:jc w:val="center"/>
              <w:spacing w:after="0"/>
              <w:rPr>
                <w:sz w:val="20"/>
                <w:szCs w:val="20"/>
                <w:color w:val="auto"/>
              </w:rPr>
            </w:pPr>
            <w:r>
              <w:rPr>
                <w:rFonts w:ascii="Arial" w:cs="Arial" w:eastAsia="Arial" w:hAnsi="Arial"/>
                <w:sz w:val="12"/>
                <w:szCs w:val="12"/>
                <w:b w:val="1"/>
                <w:bCs w:val="1"/>
                <w:color w:val="FFFFFF"/>
              </w:rPr>
              <w:t>($)</w:t>
            </w:r>
          </w:p>
        </w:tc>
      </w:tr>
      <w:tr>
        <w:trPr>
          <w:trHeight w:val="140"/>
        </w:trPr>
        <w:tc>
          <w:tcPr>
            <w:tcW w:w="194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Peter S. Ho</w:t>
            </w:r>
          </w:p>
        </w:tc>
        <w:tc>
          <w:tcPr>
            <w:tcW w:w="1320" w:type="dxa"/>
            <w:vAlign w:val="bottom"/>
          </w:tcPr>
          <w:p>
            <w:pPr>
              <w:ind w:left="840"/>
              <w:spacing w:after="0"/>
              <w:rPr>
                <w:sz w:val="20"/>
                <w:szCs w:val="20"/>
                <w:color w:val="auto"/>
              </w:rPr>
            </w:pPr>
            <w:r>
              <w:rPr>
                <w:rFonts w:ascii="Arial" w:cs="Arial" w:eastAsia="Arial" w:hAnsi="Arial"/>
                <w:sz w:val="12"/>
                <w:szCs w:val="12"/>
                <w:color w:val="auto"/>
              </w:rPr>
              <w:t>2021</w:t>
            </w:r>
          </w:p>
        </w:tc>
        <w:tc>
          <w:tcPr>
            <w:tcW w:w="1160" w:type="dxa"/>
            <w:vAlign w:val="bottom"/>
          </w:tcPr>
          <w:p>
            <w:pPr>
              <w:jc w:val="right"/>
              <w:ind w:right="118"/>
              <w:spacing w:after="0"/>
              <w:rPr>
                <w:sz w:val="20"/>
                <w:szCs w:val="20"/>
                <w:color w:val="auto"/>
              </w:rPr>
            </w:pPr>
            <w:r>
              <w:rPr>
                <w:rFonts w:ascii="Arial" w:cs="Arial" w:eastAsia="Arial" w:hAnsi="Arial"/>
                <w:sz w:val="12"/>
                <w:szCs w:val="12"/>
                <w:color w:val="auto"/>
              </w:rPr>
              <w:t>11,600</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8,700</w:t>
            </w: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38,447</w:t>
            </w:r>
          </w:p>
        </w:tc>
        <w:tc>
          <w:tcPr>
            <w:tcW w:w="1000" w:type="dxa"/>
            <w:vAlign w:val="bottom"/>
          </w:tcPr>
          <w:p>
            <w:pPr>
              <w:jc w:val="right"/>
              <w:ind w:right="78"/>
              <w:spacing w:after="0"/>
              <w:rPr>
                <w:sz w:val="20"/>
                <w:szCs w:val="20"/>
                <w:color w:val="auto"/>
              </w:rPr>
            </w:pPr>
            <w:r>
              <w:rPr>
                <w:rFonts w:ascii="Arial" w:cs="Arial" w:eastAsia="Arial" w:hAnsi="Arial"/>
                <w:sz w:val="12"/>
                <w:szCs w:val="12"/>
                <w:color w:val="auto"/>
              </w:rPr>
              <w:t>8,700</w:t>
            </w:r>
          </w:p>
        </w:tc>
        <w:tc>
          <w:tcPr>
            <w:tcW w:w="960" w:type="dxa"/>
            <w:vAlign w:val="bottom"/>
          </w:tcPr>
          <w:p>
            <w:pPr>
              <w:jc w:val="right"/>
              <w:ind w:right="38"/>
              <w:spacing w:after="0"/>
              <w:rPr>
                <w:sz w:val="20"/>
                <w:szCs w:val="20"/>
                <w:color w:val="auto"/>
              </w:rPr>
            </w:pPr>
            <w:r>
              <w:rPr>
                <w:rFonts w:ascii="Arial" w:cs="Arial" w:eastAsia="Arial" w:hAnsi="Arial"/>
                <w:sz w:val="12"/>
                <w:szCs w:val="12"/>
                <w:color w:val="auto"/>
              </w:rPr>
              <w:t>38,447</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11,672</w:t>
            </w:r>
          </w:p>
        </w:tc>
        <w:tc>
          <w:tcPr>
            <w:tcW w:w="96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117,566</w:t>
            </w:r>
          </w:p>
        </w:tc>
      </w:tr>
      <w:tr>
        <w:trPr>
          <w:trHeight w:val="147"/>
        </w:trPr>
        <w:tc>
          <w:tcPr>
            <w:tcW w:w="1940" w:type="dxa"/>
            <w:vAlign w:val="bottom"/>
            <w:tcBorders>
              <w:left w:val="single" w:sz="8" w:color="auto"/>
            </w:tcBorders>
          </w:tcPr>
          <w:p>
            <w:pPr>
              <w:spacing w:after="0"/>
              <w:rPr>
                <w:sz w:val="12"/>
                <w:szCs w:val="12"/>
                <w:color w:val="auto"/>
              </w:rPr>
            </w:pPr>
          </w:p>
        </w:tc>
        <w:tc>
          <w:tcPr>
            <w:tcW w:w="1320" w:type="dxa"/>
            <w:vAlign w:val="bottom"/>
          </w:tcPr>
          <w:p>
            <w:pPr>
              <w:ind w:left="840"/>
              <w:spacing w:after="0"/>
              <w:rPr>
                <w:sz w:val="20"/>
                <w:szCs w:val="20"/>
                <w:color w:val="auto"/>
              </w:rPr>
            </w:pPr>
            <w:r>
              <w:rPr>
                <w:rFonts w:ascii="Arial" w:cs="Arial" w:eastAsia="Arial" w:hAnsi="Arial"/>
                <w:sz w:val="12"/>
                <w:szCs w:val="12"/>
                <w:color w:val="auto"/>
              </w:rPr>
              <w:t>2020</w:t>
            </w:r>
          </w:p>
        </w:tc>
        <w:tc>
          <w:tcPr>
            <w:tcW w:w="1160" w:type="dxa"/>
            <w:vAlign w:val="bottom"/>
          </w:tcPr>
          <w:p>
            <w:pPr>
              <w:jc w:val="right"/>
              <w:ind w:right="118"/>
              <w:spacing w:after="0"/>
              <w:rPr>
                <w:sz w:val="20"/>
                <w:szCs w:val="20"/>
                <w:color w:val="auto"/>
              </w:rPr>
            </w:pPr>
            <w:r>
              <w:rPr>
                <w:rFonts w:ascii="Arial" w:cs="Arial" w:eastAsia="Arial" w:hAnsi="Arial"/>
                <w:sz w:val="12"/>
                <w:szCs w:val="12"/>
                <w:color w:val="auto"/>
              </w:rPr>
              <w:t>11,400</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7,083</w:t>
            </w: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39,676</w:t>
            </w:r>
          </w:p>
        </w:tc>
        <w:tc>
          <w:tcPr>
            <w:tcW w:w="1000" w:type="dxa"/>
            <w:vAlign w:val="bottom"/>
          </w:tcPr>
          <w:p>
            <w:pPr>
              <w:jc w:val="right"/>
              <w:ind w:right="78"/>
              <w:spacing w:after="0"/>
              <w:rPr>
                <w:sz w:val="20"/>
                <w:szCs w:val="20"/>
                <w:color w:val="auto"/>
              </w:rPr>
            </w:pPr>
            <w:r>
              <w:rPr>
                <w:rFonts w:ascii="Arial" w:cs="Arial" w:eastAsia="Arial" w:hAnsi="Arial"/>
                <w:sz w:val="12"/>
                <w:szCs w:val="12"/>
                <w:color w:val="auto"/>
              </w:rPr>
              <w:t>8,550</w:t>
            </w:r>
          </w:p>
        </w:tc>
        <w:tc>
          <w:tcPr>
            <w:tcW w:w="960" w:type="dxa"/>
            <w:vAlign w:val="bottom"/>
          </w:tcPr>
          <w:p>
            <w:pPr>
              <w:jc w:val="right"/>
              <w:ind w:right="38"/>
              <w:spacing w:after="0"/>
              <w:rPr>
                <w:sz w:val="20"/>
                <w:szCs w:val="20"/>
                <w:color w:val="auto"/>
              </w:rPr>
            </w:pPr>
            <w:r>
              <w:rPr>
                <w:rFonts w:ascii="Arial" w:cs="Arial" w:eastAsia="Arial" w:hAnsi="Arial"/>
                <w:sz w:val="12"/>
                <w:szCs w:val="12"/>
                <w:color w:val="auto"/>
              </w:rPr>
              <w:t>47,893</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56,567</w:t>
            </w: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12,672</w:t>
            </w:r>
          </w:p>
        </w:tc>
        <w:tc>
          <w:tcPr>
            <w:tcW w:w="96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183,841</w:t>
            </w:r>
          </w:p>
        </w:tc>
      </w:tr>
      <w:tr>
        <w:trPr>
          <w:trHeight w:val="157"/>
        </w:trPr>
        <w:tc>
          <w:tcPr>
            <w:tcW w:w="1940" w:type="dxa"/>
            <w:vAlign w:val="bottom"/>
            <w:tcBorders>
              <w:left w:val="single" w:sz="8" w:color="auto"/>
            </w:tcBorders>
          </w:tcPr>
          <w:p>
            <w:pPr>
              <w:spacing w:after="0"/>
              <w:rPr>
                <w:sz w:val="13"/>
                <w:szCs w:val="13"/>
                <w:color w:val="auto"/>
              </w:rPr>
            </w:pPr>
          </w:p>
        </w:tc>
        <w:tc>
          <w:tcPr>
            <w:tcW w:w="1320" w:type="dxa"/>
            <w:vAlign w:val="bottom"/>
          </w:tcPr>
          <w:p>
            <w:pPr>
              <w:ind w:left="840"/>
              <w:spacing w:after="0"/>
              <w:rPr>
                <w:sz w:val="20"/>
                <w:szCs w:val="20"/>
                <w:color w:val="auto"/>
              </w:rPr>
            </w:pPr>
            <w:r>
              <w:rPr>
                <w:rFonts w:ascii="Arial" w:cs="Arial" w:eastAsia="Arial" w:hAnsi="Arial"/>
                <w:sz w:val="12"/>
                <w:szCs w:val="12"/>
                <w:color w:val="auto"/>
              </w:rPr>
              <w:t>2019</w:t>
            </w:r>
          </w:p>
        </w:tc>
        <w:tc>
          <w:tcPr>
            <w:tcW w:w="1160" w:type="dxa"/>
            <w:vAlign w:val="bottom"/>
          </w:tcPr>
          <w:p>
            <w:pPr>
              <w:jc w:val="right"/>
              <w:ind w:right="118"/>
              <w:spacing w:after="0"/>
              <w:rPr>
                <w:sz w:val="20"/>
                <w:szCs w:val="20"/>
                <w:color w:val="auto"/>
              </w:rPr>
            </w:pPr>
            <w:r>
              <w:rPr>
                <w:rFonts w:ascii="Arial" w:cs="Arial" w:eastAsia="Arial" w:hAnsi="Arial"/>
                <w:sz w:val="12"/>
                <w:szCs w:val="12"/>
                <w:color w:val="auto"/>
              </w:rPr>
              <w:t>11,200</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10,580</w:t>
            </w: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95,907</w:t>
            </w:r>
          </w:p>
        </w:tc>
        <w:tc>
          <w:tcPr>
            <w:tcW w:w="1000" w:type="dxa"/>
            <w:vAlign w:val="bottom"/>
          </w:tcPr>
          <w:p>
            <w:pPr>
              <w:jc w:val="right"/>
              <w:ind w:right="78"/>
              <w:spacing w:after="0"/>
              <w:rPr>
                <w:sz w:val="20"/>
                <w:szCs w:val="20"/>
                <w:color w:val="auto"/>
              </w:rPr>
            </w:pPr>
            <w:r>
              <w:rPr>
                <w:rFonts w:ascii="Arial" w:cs="Arial" w:eastAsia="Arial" w:hAnsi="Arial"/>
                <w:sz w:val="12"/>
                <w:szCs w:val="12"/>
                <w:color w:val="auto"/>
              </w:rPr>
              <w:t>8,400</w:t>
            </w:r>
          </w:p>
        </w:tc>
        <w:tc>
          <w:tcPr>
            <w:tcW w:w="960" w:type="dxa"/>
            <w:vAlign w:val="bottom"/>
          </w:tcPr>
          <w:p>
            <w:pPr>
              <w:jc w:val="right"/>
              <w:ind w:right="38"/>
              <w:spacing w:after="0"/>
              <w:rPr>
                <w:sz w:val="20"/>
                <w:szCs w:val="20"/>
                <w:color w:val="auto"/>
              </w:rPr>
            </w:pPr>
            <w:r>
              <w:rPr>
                <w:rFonts w:ascii="Arial" w:cs="Arial" w:eastAsia="Arial" w:hAnsi="Arial"/>
                <w:sz w:val="12"/>
                <w:szCs w:val="12"/>
                <w:color w:val="auto"/>
              </w:rPr>
              <w:t>76,145</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20,594</w:t>
            </w:r>
          </w:p>
        </w:tc>
        <w:tc>
          <w:tcPr>
            <w:tcW w:w="96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222,826</w:t>
            </w:r>
          </w:p>
        </w:tc>
      </w:tr>
      <w:tr>
        <w:trPr>
          <w:trHeight w:val="138"/>
        </w:trPr>
        <w:tc>
          <w:tcPr>
            <w:tcW w:w="1940" w:type="dxa"/>
            <w:vAlign w:val="bottom"/>
            <w:tcBorders>
              <w:left w:val="single" w:sz="8" w:color="auto"/>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r>
      <w:tr>
        <w:trPr>
          <w:trHeight w:val="140"/>
        </w:trPr>
        <w:tc>
          <w:tcPr>
            <w:tcW w:w="194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Dean Y. Shigemura</w:t>
            </w:r>
          </w:p>
        </w:tc>
        <w:tc>
          <w:tcPr>
            <w:tcW w:w="1320" w:type="dxa"/>
            <w:vAlign w:val="bottom"/>
          </w:tcPr>
          <w:p>
            <w:pPr>
              <w:ind w:left="840"/>
              <w:spacing w:after="0"/>
              <w:rPr>
                <w:sz w:val="20"/>
                <w:szCs w:val="20"/>
                <w:color w:val="auto"/>
              </w:rPr>
            </w:pPr>
            <w:r>
              <w:rPr>
                <w:rFonts w:ascii="Arial" w:cs="Arial" w:eastAsia="Arial" w:hAnsi="Arial"/>
                <w:sz w:val="12"/>
                <w:szCs w:val="12"/>
                <w:color w:val="auto"/>
              </w:rPr>
              <w:t>2021</w:t>
            </w:r>
          </w:p>
        </w:tc>
        <w:tc>
          <w:tcPr>
            <w:tcW w:w="1160" w:type="dxa"/>
            <w:vAlign w:val="bottom"/>
          </w:tcPr>
          <w:p>
            <w:pPr>
              <w:jc w:val="right"/>
              <w:ind w:right="118"/>
              <w:spacing w:after="0"/>
              <w:rPr>
                <w:sz w:val="20"/>
                <w:szCs w:val="20"/>
                <w:color w:val="auto"/>
              </w:rPr>
            </w:pPr>
            <w:r>
              <w:rPr>
                <w:rFonts w:ascii="Arial" w:cs="Arial" w:eastAsia="Arial" w:hAnsi="Arial"/>
                <w:sz w:val="12"/>
                <w:szCs w:val="12"/>
                <w:color w:val="auto"/>
              </w:rPr>
              <w:t>11,600</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8,700</w:t>
            </w: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2,864</w:t>
            </w:r>
          </w:p>
        </w:tc>
        <w:tc>
          <w:tcPr>
            <w:tcW w:w="1000" w:type="dxa"/>
            <w:vAlign w:val="bottom"/>
          </w:tcPr>
          <w:p>
            <w:pPr>
              <w:jc w:val="right"/>
              <w:ind w:right="78"/>
              <w:spacing w:after="0"/>
              <w:rPr>
                <w:sz w:val="20"/>
                <w:szCs w:val="20"/>
                <w:color w:val="auto"/>
              </w:rPr>
            </w:pPr>
            <w:r>
              <w:rPr>
                <w:rFonts w:ascii="Arial" w:cs="Arial" w:eastAsia="Arial" w:hAnsi="Arial"/>
                <w:sz w:val="12"/>
                <w:szCs w:val="12"/>
                <w:color w:val="auto"/>
              </w:rPr>
              <w:t>8,700</w:t>
            </w:r>
          </w:p>
        </w:tc>
        <w:tc>
          <w:tcPr>
            <w:tcW w:w="960" w:type="dxa"/>
            <w:vAlign w:val="bottom"/>
          </w:tcPr>
          <w:p>
            <w:pPr>
              <w:jc w:val="right"/>
              <w:ind w:right="38"/>
              <w:spacing w:after="0"/>
              <w:rPr>
                <w:sz w:val="20"/>
                <w:szCs w:val="20"/>
                <w:color w:val="auto"/>
              </w:rPr>
            </w:pPr>
            <w:r>
              <w:rPr>
                <w:rFonts w:ascii="Arial" w:cs="Arial" w:eastAsia="Arial" w:hAnsi="Arial"/>
                <w:sz w:val="12"/>
                <w:szCs w:val="12"/>
                <w:color w:val="auto"/>
              </w:rPr>
              <w:t>2,864</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16,427</w:t>
            </w: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6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51,155</w:t>
            </w:r>
          </w:p>
        </w:tc>
      </w:tr>
      <w:tr>
        <w:trPr>
          <w:trHeight w:val="147"/>
        </w:trPr>
        <w:tc>
          <w:tcPr>
            <w:tcW w:w="1940" w:type="dxa"/>
            <w:vAlign w:val="bottom"/>
            <w:tcBorders>
              <w:left w:val="single" w:sz="8" w:color="auto"/>
            </w:tcBorders>
          </w:tcPr>
          <w:p>
            <w:pPr>
              <w:spacing w:after="0"/>
              <w:rPr>
                <w:sz w:val="12"/>
                <w:szCs w:val="12"/>
                <w:color w:val="auto"/>
              </w:rPr>
            </w:pPr>
          </w:p>
        </w:tc>
        <w:tc>
          <w:tcPr>
            <w:tcW w:w="1320" w:type="dxa"/>
            <w:vAlign w:val="bottom"/>
          </w:tcPr>
          <w:p>
            <w:pPr>
              <w:ind w:left="840"/>
              <w:spacing w:after="0"/>
              <w:rPr>
                <w:sz w:val="20"/>
                <w:szCs w:val="20"/>
                <w:color w:val="auto"/>
              </w:rPr>
            </w:pPr>
            <w:r>
              <w:rPr>
                <w:rFonts w:ascii="Arial" w:cs="Arial" w:eastAsia="Arial" w:hAnsi="Arial"/>
                <w:sz w:val="12"/>
                <w:szCs w:val="12"/>
                <w:color w:val="auto"/>
              </w:rPr>
              <w:t>2020</w:t>
            </w:r>
          </w:p>
        </w:tc>
        <w:tc>
          <w:tcPr>
            <w:tcW w:w="1160" w:type="dxa"/>
            <w:vAlign w:val="bottom"/>
          </w:tcPr>
          <w:p>
            <w:pPr>
              <w:jc w:val="right"/>
              <w:ind w:right="118"/>
              <w:spacing w:after="0"/>
              <w:rPr>
                <w:sz w:val="20"/>
                <w:szCs w:val="20"/>
                <w:color w:val="auto"/>
              </w:rPr>
            </w:pPr>
            <w:r>
              <w:rPr>
                <w:rFonts w:ascii="Arial" w:cs="Arial" w:eastAsia="Arial" w:hAnsi="Arial"/>
                <w:sz w:val="12"/>
                <w:szCs w:val="12"/>
                <w:color w:val="auto"/>
              </w:rPr>
              <w:t>11,400</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7,083</w:t>
            </w: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5,705</w:t>
            </w:r>
          </w:p>
        </w:tc>
        <w:tc>
          <w:tcPr>
            <w:tcW w:w="1000" w:type="dxa"/>
            <w:vAlign w:val="bottom"/>
          </w:tcPr>
          <w:p>
            <w:pPr>
              <w:jc w:val="right"/>
              <w:ind w:right="78"/>
              <w:spacing w:after="0"/>
              <w:rPr>
                <w:sz w:val="20"/>
                <w:szCs w:val="20"/>
                <w:color w:val="auto"/>
              </w:rPr>
            </w:pPr>
            <w:r>
              <w:rPr>
                <w:rFonts w:ascii="Arial" w:cs="Arial" w:eastAsia="Arial" w:hAnsi="Arial"/>
                <w:sz w:val="12"/>
                <w:szCs w:val="12"/>
                <w:color w:val="auto"/>
              </w:rPr>
              <w:t>8,550</w:t>
            </w:r>
          </w:p>
        </w:tc>
        <w:tc>
          <w:tcPr>
            <w:tcW w:w="960" w:type="dxa"/>
            <w:vAlign w:val="bottom"/>
          </w:tcPr>
          <w:p>
            <w:pPr>
              <w:jc w:val="right"/>
              <w:ind w:right="38"/>
              <w:spacing w:after="0"/>
              <w:rPr>
                <w:sz w:val="20"/>
                <w:szCs w:val="20"/>
                <w:color w:val="auto"/>
              </w:rPr>
            </w:pPr>
            <w:r>
              <w:rPr>
                <w:rFonts w:ascii="Arial" w:cs="Arial" w:eastAsia="Arial" w:hAnsi="Arial"/>
                <w:sz w:val="12"/>
                <w:szCs w:val="12"/>
                <w:color w:val="auto"/>
              </w:rPr>
              <w:t>6,886</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30,752</w:t>
            </w: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6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70,376</w:t>
            </w:r>
          </w:p>
        </w:tc>
      </w:tr>
      <w:tr>
        <w:trPr>
          <w:trHeight w:val="157"/>
        </w:trPr>
        <w:tc>
          <w:tcPr>
            <w:tcW w:w="1940" w:type="dxa"/>
            <w:vAlign w:val="bottom"/>
            <w:tcBorders>
              <w:left w:val="single" w:sz="8" w:color="auto"/>
            </w:tcBorders>
          </w:tcPr>
          <w:p>
            <w:pPr>
              <w:spacing w:after="0"/>
              <w:rPr>
                <w:sz w:val="13"/>
                <w:szCs w:val="13"/>
                <w:color w:val="auto"/>
              </w:rPr>
            </w:pPr>
          </w:p>
        </w:tc>
        <w:tc>
          <w:tcPr>
            <w:tcW w:w="1320" w:type="dxa"/>
            <w:vAlign w:val="bottom"/>
          </w:tcPr>
          <w:p>
            <w:pPr>
              <w:ind w:left="840"/>
              <w:spacing w:after="0"/>
              <w:rPr>
                <w:sz w:val="20"/>
                <w:szCs w:val="20"/>
                <w:color w:val="auto"/>
              </w:rPr>
            </w:pPr>
            <w:r>
              <w:rPr>
                <w:rFonts w:ascii="Arial" w:cs="Arial" w:eastAsia="Arial" w:hAnsi="Arial"/>
                <w:sz w:val="12"/>
                <w:szCs w:val="12"/>
                <w:color w:val="auto"/>
              </w:rPr>
              <w:t>2019</w:t>
            </w:r>
          </w:p>
        </w:tc>
        <w:tc>
          <w:tcPr>
            <w:tcW w:w="1160" w:type="dxa"/>
            <w:vAlign w:val="bottom"/>
          </w:tcPr>
          <w:p>
            <w:pPr>
              <w:jc w:val="right"/>
              <w:ind w:right="118"/>
              <w:spacing w:after="0"/>
              <w:rPr>
                <w:sz w:val="20"/>
                <w:szCs w:val="20"/>
                <w:color w:val="auto"/>
              </w:rPr>
            </w:pPr>
            <w:r>
              <w:rPr>
                <w:rFonts w:ascii="Arial" w:cs="Arial" w:eastAsia="Arial" w:hAnsi="Arial"/>
                <w:sz w:val="12"/>
                <w:szCs w:val="12"/>
                <w:color w:val="auto"/>
              </w:rPr>
              <w:t>11,200</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10,580</w:t>
            </w: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8,579</w:t>
            </w:r>
          </w:p>
        </w:tc>
        <w:tc>
          <w:tcPr>
            <w:tcW w:w="1000" w:type="dxa"/>
            <w:vAlign w:val="bottom"/>
          </w:tcPr>
          <w:p>
            <w:pPr>
              <w:jc w:val="right"/>
              <w:ind w:right="78"/>
              <w:spacing w:after="0"/>
              <w:rPr>
                <w:sz w:val="20"/>
                <w:szCs w:val="20"/>
                <w:color w:val="auto"/>
              </w:rPr>
            </w:pPr>
            <w:r>
              <w:rPr>
                <w:rFonts w:ascii="Arial" w:cs="Arial" w:eastAsia="Arial" w:hAnsi="Arial"/>
                <w:sz w:val="12"/>
                <w:szCs w:val="12"/>
                <w:color w:val="auto"/>
              </w:rPr>
              <w:t>8,400</w:t>
            </w:r>
          </w:p>
        </w:tc>
        <w:tc>
          <w:tcPr>
            <w:tcW w:w="960" w:type="dxa"/>
            <w:vAlign w:val="bottom"/>
          </w:tcPr>
          <w:p>
            <w:pPr>
              <w:jc w:val="right"/>
              <w:ind w:right="38"/>
              <w:spacing w:after="0"/>
              <w:rPr>
                <w:sz w:val="20"/>
                <w:szCs w:val="20"/>
                <w:color w:val="auto"/>
              </w:rPr>
            </w:pPr>
            <w:r>
              <w:rPr>
                <w:rFonts w:ascii="Arial" w:cs="Arial" w:eastAsia="Arial" w:hAnsi="Arial"/>
                <w:sz w:val="12"/>
                <w:szCs w:val="12"/>
                <w:color w:val="auto"/>
              </w:rPr>
              <w:t>6,811</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29,759</w:t>
            </w: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6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75,329</w:t>
            </w:r>
          </w:p>
        </w:tc>
      </w:tr>
      <w:tr>
        <w:trPr>
          <w:trHeight w:val="138"/>
        </w:trPr>
        <w:tc>
          <w:tcPr>
            <w:tcW w:w="1940" w:type="dxa"/>
            <w:vAlign w:val="bottom"/>
            <w:tcBorders>
              <w:left w:val="single" w:sz="8" w:color="auto"/>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r>
      <w:tr>
        <w:trPr>
          <w:trHeight w:val="140"/>
        </w:trPr>
        <w:tc>
          <w:tcPr>
            <w:tcW w:w="194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Sharon M. Crofts</w:t>
            </w:r>
          </w:p>
        </w:tc>
        <w:tc>
          <w:tcPr>
            <w:tcW w:w="1320" w:type="dxa"/>
            <w:vAlign w:val="bottom"/>
          </w:tcPr>
          <w:p>
            <w:pPr>
              <w:ind w:left="840"/>
              <w:spacing w:after="0"/>
              <w:rPr>
                <w:sz w:val="20"/>
                <w:szCs w:val="20"/>
                <w:color w:val="auto"/>
              </w:rPr>
            </w:pPr>
            <w:r>
              <w:rPr>
                <w:rFonts w:ascii="Arial" w:cs="Arial" w:eastAsia="Arial" w:hAnsi="Arial"/>
                <w:sz w:val="12"/>
                <w:szCs w:val="12"/>
                <w:color w:val="auto"/>
              </w:rPr>
              <w:t>2021</w:t>
            </w:r>
          </w:p>
        </w:tc>
        <w:tc>
          <w:tcPr>
            <w:tcW w:w="1160" w:type="dxa"/>
            <w:vAlign w:val="bottom"/>
          </w:tcPr>
          <w:p>
            <w:pPr>
              <w:jc w:val="right"/>
              <w:ind w:right="118"/>
              <w:spacing w:after="0"/>
              <w:rPr>
                <w:sz w:val="20"/>
                <w:szCs w:val="20"/>
                <w:color w:val="auto"/>
              </w:rPr>
            </w:pPr>
            <w:r>
              <w:rPr>
                <w:rFonts w:ascii="Arial" w:cs="Arial" w:eastAsia="Arial" w:hAnsi="Arial"/>
                <w:sz w:val="12"/>
                <w:szCs w:val="12"/>
                <w:color w:val="auto"/>
              </w:rPr>
              <w:t>11,600</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8,700</w:t>
            </w: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6,834</w:t>
            </w:r>
          </w:p>
        </w:tc>
        <w:tc>
          <w:tcPr>
            <w:tcW w:w="1000" w:type="dxa"/>
            <w:vAlign w:val="bottom"/>
          </w:tcPr>
          <w:p>
            <w:pPr>
              <w:jc w:val="right"/>
              <w:ind w:right="78"/>
              <w:spacing w:after="0"/>
              <w:rPr>
                <w:sz w:val="20"/>
                <w:szCs w:val="20"/>
                <w:color w:val="auto"/>
              </w:rPr>
            </w:pPr>
            <w:r>
              <w:rPr>
                <w:rFonts w:ascii="Arial" w:cs="Arial" w:eastAsia="Arial" w:hAnsi="Arial"/>
                <w:sz w:val="12"/>
                <w:szCs w:val="12"/>
                <w:color w:val="auto"/>
              </w:rPr>
              <w:t>8,700</w:t>
            </w:r>
          </w:p>
        </w:tc>
        <w:tc>
          <w:tcPr>
            <w:tcW w:w="960" w:type="dxa"/>
            <w:vAlign w:val="bottom"/>
          </w:tcPr>
          <w:p>
            <w:pPr>
              <w:jc w:val="right"/>
              <w:ind w:right="38"/>
              <w:spacing w:after="0"/>
              <w:rPr>
                <w:sz w:val="20"/>
                <w:szCs w:val="20"/>
                <w:color w:val="auto"/>
              </w:rPr>
            </w:pPr>
            <w:r>
              <w:rPr>
                <w:rFonts w:ascii="Arial" w:cs="Arial" w:eastAsia="Arial" w:hAnsi="Arial"/>
                <w:sz w:val="12"/>
                <w:szCs w:val="12"/>
                <w:color w:val="auto"/>
              </w:rPr>
              <w:t>6,834</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7,452</w:t>
            </w: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6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50,120</w:t>
            </w:r>
          </w:p>
        </w:tc>
      </w:tr>
      <w:tr>
        <w:trPr>
          <w:trHeight w:val="147"/>
        </w:trPr>
        <w:tc>
          <w:tcPr>
            <w:tcW w:w="1940" w:type="dxa"/>
            <w:vAlign w:val="bottom"/>
            <w:tcBorders>
              <w:left w:val="single" w:sz="8" w:color="auto"/>
            </w:tcBorders>
          </w:tcPr>
          <w:p>
            <w:pPr>
              <w:spacing w:after="0"/>
              <w:rPr>
                <w:sz w:val="12"/>
                <w:szCs w:val="12"/>
                <w:color w:val="auto"/>
              </w:rPr>
            </w:pPr>
          </w:p>
        </w:tc>
        <w:tc>
          <w:tcPr>
            <w:tcW w:w="1320" w:type="dxa"/>
            <w:vAlign w:val="bottom"/>
          </w:tcPr>
          <w:p>
            <w:pPr>
              <w:ind w:left="840"/>
              <w:spacing w:after="0"/>
              <w:rPr>
                <w:sz w:val="20"/>
                <w:szCs w:val="20"/>
                <w:color w:val="auto"/>
              </w:rPr>
            </w:pPr>
            <w:r>
              <w:rPr>
                <w:rFonts w:ascii="Arial" w:cs="Arial" w:eastAsia="Arial" w:hAnsi="Arial"/>
                <w:sz w:val="12"/>
                <w:szCs w:val="12"/>
                <w:color w:val="auto"/>
              </w:rPr>
              <w:t>2020</w:t>
            </w:r>
          </w:p>
        </w:tc>
        <w:tc>
          <w:tcPr>
            <w:tcW w:w="1160" w:type="dxa"/>
            <w:vAlign w:val="bottom"/>
          </w:tcPr>
          <w:p>
            <w:pPr>
              <w:jc w:val="right"/>
              <w:ind w:right="118"/>
              <w:spacing w:after="0"/>
              <w:rPr>
                <w:sz w:val="20"/>
                <w:szCs w:val="20"/>
                <w:color w:val="auto"/>
              </w:rPr>
            </w:pPr>
            <w:r>
              <w:rPr>
                <w:rFonts w:ascii="Arial" w:cs="Arial" w:eastAsia="Arial" w:hAnsi="Arial"/>
                <w:sz w:val="12"/>
                <w:szCs w:val="12"/>
                <w:color w:val="auto"/>
              </w:rPr>
              <w:t>11,400</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7,083</w:t>
            </w: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9,402</w:t>
            </w:r>
          </w:p>
        </w:tc>
        <w:tc>
          <w:tcPr>
            <w:tcW w:w="1000" w:type="dxa"/>
            <w:vAlign w:val="bottom"/>
          </w:tcPr>
          <w:p>
            <w:pPr>
              <w:jc w:val="right"/>
              <w:ind w:right="78"/>
              <w:spacing w:after="0"/>
              <w:rPr>
                <w:sz w:val="20"/>
                <w:szCs w:val="20"/>
                <w:color w:val="auto"/>
              </w:rPr>
            </w:pPr>
            <w:r>
              <w:rPr>
                <w:rFonts w:ascii="Arial" w:cs="Arial" w:eastAsia="Arial" w:hAnsi="Arial"/>
                <w:sz w:val="12"/>
                <w:szCs w:val="12"/>
                <w:color w:val="auto"/>
              </w:rPr>
              <w:t>8,550</w:t>
            </w:r>
          </w:p>
        </w:tc>
        <w:tc>
          <w:tcPr>
            <w:tcW w:w="960" w:type="dxa"/>
            <w:vAlign w:val="bottom"/>
          </w:tcPr>
          <w:p>
            <w:pPr>
              <w:jc w:val="right"/>
              <w:ind w:right="38"/>
              <w:spacing w:after="0"/>
              <w:rPr>
                <w:sz w:val="20"/>
                <w:szCs w:val="20"/>
                <w:color w:val="auto"/>
              </w:rPr>
            </w:pPr>
            <w:r>
              <w:rPr>
                <w:rFonts w:ascii="Arial" w:cs="Arial" w:eastAsia="Arial" w:hAnsi="Arial"/>
                <w:sz w:val="12"/>
                <w:szCs w:val="12"/>
                <w:color w:val="auto"/>
              </w:rPr>
              <w:t>11,350</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19,848</w:t>
            </w: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6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67,633</w:t>
            </w:r>
          </w:p>
        </w:tc>
      </w:tr>
      <w:tr>
        <w:trPr>
          <w:trHeight w:val="157"/>
        </w:trPr>
        <w:tc>
          <w:tcPr>
            <w:tcW w:w="1940" w:type="dxa"/>
            <w:vAlign w:val="bottom"/>
            <w:tcBorders>
              <w:left w:val="single" w:sz="8" w:color="auto"/>
            </w:tcBorders>
          </w:tcPr>
          <w:p>
            <w:pPr>
              <w:spacing w:after="0"/>
              <w:rPr>
                <w:sz w:val="13"/>
                <w:szCs w:val="13"/>
                <w:color w:val="auto"/>
              </w:rPr>
            </w:pPr>
          </w:p>
        </w:tc>
        <w:tc>
          <w:tcPr>
            <w:tcW w:w="1320" w:type="dxa"/>
            <w:vAlign w:val="bottom"/>
          </w:tcPr>
          <w:p>
            <w:pPr>
              <w:ind w:left="840"/>
              <w:spacing w:after="0"/>
              <w:rPr>
                <w:sz w:val="20"/>
                <w:szCs w:val="20"/>
                <w:color w:val="auto"/>
              </w:rPr>
            </w:pPr>
            <w:r>
              <w:rPr>
                <w:rFonts w:ascii="Arial" w:cs="Arial" w:eastAsia="Arial" w:hAnsi="Arial"/>
                <w:sz w:val="12"/>
                <w:szCs w:val="12"/>
                <w:color w:val="auto"/>
              </w:rPr>
              <w:t>2019</w:t>
            </w:r>
          </w:p>
        </w:tc>
        <w:tc>
          <w:tcPr>
            <w:tcW w:w="1160" w:type="dxa"/>
            <w:vAlign w:val="bottom"/>
          </w:tcPr>
          <w:p>
            <w:pPr>
              <w:jc w:val="right"/>
              <w:ind w:right="118"/>
              <w:spacing w:after="0"/>
              <w:rPr>
                <w:sz w:val="20"/>
                <w:szCs w:val="20"/>
                <w:color w:val="auto"/>
              </w:rPr>
            </w:pPr>
            <w:r>
              <w:rPr>
                <w:rFonts w:ascii="Arial" w:cs="Arial" w:eastAsia="Arial" w:hAnsi="Arial"/>
                <w:sz w:val="12"/>
                <w:szCs w:val="12"/>
                <w:color w:val="auto"/>
              </w:rPr>
              <w:t>11,200</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10,580</w:t>
            </w: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13,840</w:t>
            </w:r>
          </w:p>
        </w:tc>
        <w:tc>
          <w:tcPr>
            <w:tcW w:w="1000" w:type="dxa"/>
            <w:vAlign w:val="bottom"/>
          </w:tcPr>
          <w:p>
            <w:pPr>
              <w:jc w:val="right"/>
              <w:ind w:right="78"/>
              <w:spacing w:after="0"/>
              <w:rPr>
                <w:sz w:val="20"/>
                <w:szCs w:val="20"/>
                <w:color w:val="auto"/>
              </w:rPr>
            </w:pPr>
            <w:r>
              <w:rPr>
                <w:rFonts w:ascii="Arial" w:cs="Arial" w:eastAsia="Arial" w:hAnsi="Arial"/>
                <w:sz w:val="12"/>
                <w:szCs w:val="12"/>
                <w:color w:val="auto"/>
              </w:rPr>
              <w:t>8,400</w:t>
            </w:r>
          </w:p>
        </w:tc>
        <w:tc>
          <w:tcPr>
            <w:tcW w:w="960" w:type="dxa"/>
            <w:vAlign w:val="bottom"/>
          </w:tcPr>
          <w:p>
            <w:pPr>
              <w:jc w:val="right"/>
              <w:ind w:right="38"/>
              <w:spacing w:after="0"/>
              <w:rPr>
                <w:sz w:val="20"/>
                <w:szCs w:val="20"/>
                <w:color w:val="auto"/>
              </w:rPr>
            </w:pPr>
            <w:r>
              <w:rPr>
                <w:rFonts w:ascii="Arial" w:cs="Arial" w:eastAsia="Arial" w:hAnsi="Arial"/>
                <w:sz w:val="12"/>
                <w:szCs w:val="12"/>
                <w:color w:val="auto"/>
              </w:rPr>
              <w:t>10,988</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16,834</w:t>
            </w: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6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71,842</w:t>
            </w:r>
          </w:p>
        </w:tc>
      </w:tr>
      <w:tr>
        <w:trPr>
          <w:trHeight w:val="138"/>
        </w:trPr>
        <w:tc>
          <w:tcPr>
            <w:tcW w:w="1940" w:type="dxa"/>
            <w:vAlign w:val="bottom"/>
            <w:tcBorders>
              <w:left w:val="single" w:sz="8" w:color="auto"/>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r>
      <w:tr>
        <w:trPr>
          <w:trHeight w:val="140"/>
        </w:trPr>
        <w:tc>
          <w:tcPr>
            <w:tcW w:w="194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James C. Polk</w:t>
            </w:r>
          </w:p>
        </w:tc>
        <w:tc>
          <w:tcPr>
            <w:tcW w:w="1320" w:type="dxa"/>
            <w:vAlign w:val="bottom"/>
          </w:tcPr>
          <w:p>
            <w:pPr>
              <w:ind w:left="840"/>
              <w:spacing w:after="0"/>
              <w:rPr>
                <w:sz w:val="20"/>
                <w:szCs w:val="20"/>
                <w:color w:val="auto"/>
              </w:rPr>
            </w:pPr>
            <w:r>
              <w:rPr>
                <w:rFonts w:ascii="Arial" w:cs="Arial" w:eastAsia="Arial" w:hAnsi="Arial"/>
                <w:sz w:val="12"/>
                <w:szCs w:val="12"/>
                <w:color w:val="auto"/>
              </w:rPr>
              <w:t>2021</w:t>
            </w:r>
          </w:p>
        </w:tc>
        <w:tc>
          <w:tcPr>
            <w:tcW w:w="1160" w:type="dxa"/>
            <w:vAlign w:val="bottom"/>
          </w:tcPr>
          <w:p>
            <w:pPr>
              <w:jc w:val="right"/>
              <w:ind w:right="118"/>
              <w:spacing w:after="0"/>
              <w:rPr>
                <w:sz w:val="20"/>
                <w:szCs w:val="20"/>
                <w:color w:val="auto"/>
              </w:rPr>
            </w:pPr>
            <w:r>
              <w:rPr>
                <w:rFonts w:ascii="Arial" w:cs="Arial" w:eastAsia="Arial" w:hAnsi="Arial"/>
                <w:sz w:val="12"/>
                <w:szCs w:val="12"/>
                <w:color w:val="auto"/>
              </w:rPr>
              <w:t>11,600</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8,700</w:t>
            </w: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3,599</w:t>
            </w:r>
          </w:p>
        </w:tc>
        <w:tc>
          <w:tcPr>
            <w:tcW w:w="1000" w:type="dxa"/>
            <w:vAlign w:val="bottom"/>
          </w:tcPr>
          <w:p>
            <w:pPr>
              <w:jc w:val="right"/>
              <w:ind w:right="78"/>
              <w:spacing w:after="0"/>
              <w:rPr>
                <w:sz w:val="20"/>
                <w:szCs w:val="20"/>
                <w:color w:val="auto"/>
              </w:rPr>
            </w:pPr>
            <w:r>
              <w:rPr>
                <w:rFonts w:ascii="Arial" w:cs="Arial" w:eastAsia="Arial" w:hAnsi="Arial"/>
                <w:sz w:val="12"/>
                <w:szCs w:val="12"/>
                <w:color w:val="auto"/>
              </w:rPr>
              <w:t>8,700</w:t>
            </w:r>
          </w:p>
        </w:tc>
        <w:tc>
          <w:tcPr>
            <w:tcW w:w="960" w:type="dxa"/>
            <w:vAlign w:val="bottom"/>
          </w:tcPr>
          <w:p>
            <w:pPr>
              <w:jc w:val="right"/>
              <w:ind w:right="38"/>
              <w:spacing w:after="0"/>
              <w:rPr>
                <w:sz w:val="20"/>
                <w:szCs w:val="20"/>
                <w:color w:val="auto"/>
              </w:rPr>
            </w:pPr>
            <w:r>
              <w:rPr>
                <w:rFonts w:ascii="Arial" w:cs="Arial" w:eastAsia="Arial" w:hAnsi="Arial"/>
                <w:sz w:val="12"/>
                <w:szCs w:val="12"/>
                <w:color w:val="auto"/>
              </w:rPr>
              <w:t>3,599</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13,922</w:t>
            </w: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17,857</w:t>
            </w:r>
          </w:p>
        </w:tc>
        <w:tc>
          <w:tcPr>
            <w:tcW w:w="96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67,977</w:t>
            </w:r>
          </w:p>
        </w:tc>
      </w:tr>
      <w:tr>
        <w:trPr>
          <w:trHeight w:val="147"/>
        </w:trPr>
        <w:tc>
          <w:tcPr>
            <w:tcW w:w="1940" w:type="dxa"/>
            <w:vAlign w:val="bottom"/>
            <w:tcBorders>
              <w:left w:val="single" w:sz="8" w:color="auto"/>
            </w:tcBorders>
          </w:tcPr>
          <w:p>
            <w:pPr>
              <w:spacing w:after="0"/>
              <w:rPr>
                <w:sz w:val="12"/>
                <w:szCs w:val="12"/>
                <w:color w:val="auto"/>
              </w:rPr>
            </w:pPr>
          </w:p>
        </w:tc>
        <w:tc>
          <w:tcPr>
            <w:tcW w:w="1320" w:type="dxa"/>
            <w:vAlign w:val="bottom"/>
          </w:tcPr>
          <w:p>
            <w:pPr>
              <w:ind w:left="840"/>
              <w:spacing w:after="0"/>
              <w:rPr>
                <w:sz w:val="20"/>
                <w:szCs w:val="20"/>
                <w:color w:val="auto"/>
              </w:rPr>
            </w:pPr>
            <w:r>
              <w:rPr>
                <w:rFonts w:ascii="Arial" w:cs="Arial" w:eastAsia="Arial" w:hAnsi="Arial"/>
                <w:sz w:val="12"/>
                <w:szCs w:val="12"/>
                <w:color w:val="auto"/>
              </w:rPr>
              <w:t>2020</w:t>
            </w:r>
          </w:p>
        </w:tc>
        <w:tc>
          <w:tcPr>
            <w:tcW w:w="1160" w:type="dxa"/>
            <w:vAlign w:val="bottom"/>
          </w:tcPr>
          <w:p>
            <w:pPr>
              <w:jc w:val="right"/>
              <w:ind w:right="118"/>
              <w:spacing w:after="0"/>
              <w:rPr>
                <w:sz w:val="20"/>
                <w:szCs w:val="20"/>
                <w:color w:val="auto"/>
              </w:rPr>
            </w:pPr>
            <w:r>
              <w:rPr>
                <w:rFonts w:ascii="Arial" w:cs="Arial" w:eastAsia="Arial" w:hAnsi="Arial"/>
                <w:sz w:val="12"/>
                <w:szCs w:val="12"/>
                <w:color w:val="auto"/>
              </w:rPr>
              <w:t>11,400</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7,083</w:t>
            </w: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13,367</w:t>
            </w:r>
          </w:p>
        </w:tc>
        <w:tc>
          <w:tcPr>
            <w:tcW w:w="1000" w:type="dxa"/>
            <w:vAlign w:val="bottom"/>
          </w:tcPr>
          <w:p>
            <w:pPr>
              <w:jc w:val="right"/>
              <w:ind w:right="78"/>
              <w:spacing w:after="0"/>
              <w:rPr>
                <w:sz w:val="20"/>
                <w:szCs w:val="20"/>
                <w:color w:val="auto"/>
              </w:rPr>
            </w:pPr>
            <w:r>
              <w:rPr>
                <w:rFonts w:ascii="Arial" w:cs="Arial" w:eastAsia="Arial" w:hAnsi="Arial"/>
                <w:sz w:val="12"/>
                <w:szCs w:val="12"/>
                <w:color w:val="auto"/>
              </w:rPr>
              <w:t>8,550</w:t>
            </w:r>
          </w:p>
        </w:tc>
        <w:tc>
          <w:tcPr>
            <w:tcW w:w="960" w:type="dxa"/>
            <w:vAlign w:val="bottom"/>
          </w:tcPr>
          <w:p>
            <w:pPr>
              <w:jc w:val="right"/>
              <w:ind w:right="38"/>
              <w:spacing w:after="0"/>
              <w:rPr>
                <w:sz w:val="20"/>
                <w:szCs w:val="20"/>
                <w:color w:val="auto"/>
              </w:rPr>
            </w:pPr>
            <w:r>
              <w:rPr>
                <w:rFonts w:ascii="Arial" w:cs="Arial" w:eastAsia="Arial" w:hAnsi="Arial"/>
                <w:sz w:val="12"/>
                <w:szCs w:val="12"/>
                <w:color w:val="auto"/>
              </w:rPr>
              <w:t>16,136</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11,097</w:t>
            </w: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16,988</w:t>
            </w:r>
          </w:p>
        </w:tc>
        <w:tc>
          <w:tcPr>
            <w:tcW w:w="96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84,621</w:t>
            </w:r>
          </w:p>
        </w:tc>
      </w:tr>
      <w:tr>
        <w:trPr>
          <w:trHeight w:val="157"/>
        </w:trPr>
        <w:tc>
          <w:tcPr>
            <w:tcW w:w="1940" w:type="dxa"/>
            <w:vAlign w:val="bottom"/>
            <w:tcBorders>
              <w:left w:val="single" w:sz="8" w:color="auto"/>
            </w:tcBorders>
          </w:tcPr>
          <w:p>
            <w:pPr>
              <w:spacing w:after="0"/>
              <w:rPr>
                <w:sz w:val="13"/>
                <w:szCs w:val="13"/>
                <w:color w:val="auto"/>
              </w:rPr>
            </w:pPr>
          </w:p>
        </w:tc>
        <w:tc>
          <w:tcPr>
            <w:tcW w:w="1320" w:type="dxa"/>
            <w:vAlign w:val="bottom"/>
          </w:tcPr>
          <w:p>
            <w:pPr>
              <w:ind w:left="840"/>
              <w:spacing w:after="0"/>
              <w:rPr>
                <w:sz w:val="20"/>
                <w:szCs w:val="20"/>
                <w:color w:val="auto"/>
              </w:rPr>
            </w:pPr>
            <w:r>
              <w:rPr>
                <w:rFonts w:ascii="Arial" w:cs="Arial" w:eastAsia="Arial" w:hAnsi="Arial"/>
                <w:sz w:val="12"/>
                <w:szCs w:val="12"/>
                <w:color w:val="auto"/>
              </w:rPr>
              <w:t>2019</w:t>
            </w:r>
          </w:p>
        </w:tc>
        <w:tc>
          <w:tcPr>
            <w:tcW w:w="1160" w:type="dxa"/>
            <w:vAlign w:val="bottom"/>
          </w:tcPr>
          <w:p>
            <w:pPr>
              <w:jc w:val="right"/>
              <w:ind w:right="118"/>
              <w:spacing w:after="0"/>
              <w:rPr>
                <w:sz w:val="20"/>
                <w:szCs w:val="20"/>
                <w:color w:val="auto"/>
              </w:rPr>
            </w:pPr>
            <w:r>
              <w:rPr>
                <w:rFonts w:ascii="Arial" w:cs="Arial" w:eastAsia="Arial" w:hAnsi="Arial"/>
                <w:sz w:val="12"/>
                <w:szCs w:val="12"/>
                <w:color w:val="auto"/>
              </w:rPr>
              <w:t>11,200</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10,580</w:t>
            </w: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18,876</w:t>
            </w:r>
          </w:p>
        </w:tc>
        <w:tc>
          <w:tcPr>
            <w:tcW w:w="1000" w:type="dxa"/>
            <w:vAlign w:val="bottom"/>
          </w:tcPr>
          <w:p>
            <w:pPr>
              <w:jc w:val="right"/>
              <w:ind w:right="78"/>
              <w:spacing w:after="0"/>
              <w:rPr>
                <w:sz w:val="20"/>
                <w:szCs w:val="20"/>
                <w:color w:val="auto"/>
              </w:rPr>
            </w:pPr>
            <w:r>
              <w:rPr>
                <w:rFonts w:ascii="Arial" w:cs="Arial" w:eastAsia="Arial" w:hAnsi="Arial"/>
                <w:sz w:val="12"/>
                <w:szCs w:val="12"/>
                <w:color w:val="auto"/>
              </w:rPr>
              <w:t>8,400</w:t>
            </w:r>
          </w:p>
        </w:tc>
        <w:tc>
          <w:tcPr>
            <w:tcW w:w="960" w:type="dxa"/>
            <w:vAlign w:val="bottom"/>
          </w:tcPr>
          <w:p>
            <w:pPr>
              <w:jc w:val="right"/>
              <w:ind w:right="38"/>
              <w:spacing w:after="0"/>
              <w:rPr>
                <w:sz w:val="20"/>
                <w:szCs w:val="20"/>
                <w:color w:val="auto"/>
              </w:rPr>
            </w:pPr>
            <w:r>
              <w:rPr>
                <w:rFonts w:ascii="Arial" w:cs="Arial" w:eastAsia="Arial" w:hAnsi="Arial"/>
                <w:sz w:val="12"/>
                <w:szCs w:val="12"/>
                <w:color w:val="auto"/>
              </w:rPr>
              <w:t>14,986</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7,630</w:t>
            </w: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17,963</w:t>
            </w:r>
          </w:p>
        </w:tc>
        <w:tc>
          <w:tcPr>
            <w:tcW w:w="96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89,635</w:t>
            </w:r>
          </w:p>
        </w:tc>
      </w:tr>
      <w:tr>
        <w:trPr>
          <w:trHeight w:val="138"/>
        </w:trPr>
        <w:tc>
          <w:tcPr>
            <w:tcW w:w="1940" w:type="dxa"/>
            <w:vAlign w:val="bottom"/>
            <w:tcBorders>
              <w:left w:val="single" w:sz="8" w:color="auto"/>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r>
      <w:tr>
        <w:trPr>
          <w:trHeight w:val="140"/>
        </w:trPr>
        <w:tc>
          <w:tcPr>
            <w:tcW w:w="194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Mary E. Sellers</w:t>
            </w:r>
          </w:p>
        </w:tc>
        <w:tc>
          <w:tcPr>
            <w:tcW w:w="1320" w:type="dxa"/>
            <w:vAlign w:val="bottom"/>
          </w:tcPr>
          <w:p>
            <w:pPr>
              <w:ind w:left="840"/>
              <w:spacing w:after="0"/>
              <w:rPr>
                <w:sz w:val="20"/>
                <w:szCs w:val="20"/>
                <w:color w:val="auto"/>
              </w:rPr>
            </w:pPr>
            <w:r>
              <w:rPr>
                <w:rFonts w:ascii="Arial" w:cs="Arial" w:eastAsia="Arial" w:hAnsi="Arial"/>
                <w:sz w:val="12"/>
                <w:szCs w:val="12"/>
                <w:color w:val="auto"/>
              </w:rPr>
              <w:t>2021</w:t>
            </w:r>
          </w:p>
        </w:tc>
        <w:tc>
          <w:tcPr>
            <w:tcW w:w="1160" w:type="dxa"/>
            <w:vAlign w:val="bottom"/>
          </w:tcPr>
          <w:p>
            <w:pPr>
              <w:jc w:val="right"/>
              <w:ind w:right="118"/>
              <w:spacing w:after="0"/>
              <w:rPr>
                <w:sz w:val="20"/>
                <w:szCs w:val="20"/>
                <w:color w:val="auto"/>
              </w:rPr>
            </w:pPr>
            <w:r>
              <w:rPr>
                <w:rFonts w:ascii="Arial" w:cs="Arial" w:eastAsia="Arial" w:hAnsi="Arial"/>
                <w:sz w:val="12"/>
                <w:szCs w:val="12"/>
                <w:color w:val="auto"/>
              </w:rPr>
              <w:t>11,600</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8,700</w:t>
            </w: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11,108</w:t>
            </w:r>
          </w:p>
        </w:tc>
        <w:tc>
          <w:tcPr>
            <w:tcW w:w="1000" w:type="dxa"/>
            <w:vAlign w:val="bottom"/>
          </w:tcPr>
          <w:p>
            <w:pPr>
              <w:jc w:val="right"/>
              <w:ind w:right="78"/>
              <w:spacing w:after="0"/>
              <w:rPr>
                <w:sz w:val="20"/>
                <w:szCs w:val="20"/>
                <w:color w:val="auto"/>
              </w:rPr>
            </w:pPr>
            <w:r>
              <w:rPr>
                <w:rFonts w:ascii="Arial" w:cs="Arial" w:eastAsia="Arial" w:hAnsi="Arial"/>
                <w:sz w:val="12"/>
                <w:szCs w:val="12"/>
                <w:color w:val="auto"/>
              </w:rPr>
              <w:t>8,700</w:t>
            </w:r>
          </w:p>
        </w:tc>
        <w:tc>
          <w:tcPr>
            <w:tcW w:w="960" w:type="dxa"/>
            <w:vAlign w:val="bottom"/>
          </w:tcPr>
          <w:p>
            <w:pPr>
              <w:jc w:val="right"/>
              <w:ind w:right="38"/>
              <w:spacing w:after="0"/>
              <w:rPr>
                <w:sz w:val="20"/>
                <w:szCs w:val="20"/>
                <w:color w:val="auto"/>
              </w:rPr>
            </w:pPr>
            <w:r>
              <w:rPr>
                <w:rFonts w:ascii="Arial" w:cs="Arial" w:eastAsia="Arial" w:hAnsi="Arial"/>
                <w:sz w:val="12"/>
                <w:szCs w:val="12"/>
                <w:color w:val="auto"/>
              </w:rPr>
              <w:t>11,108</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6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51,216</w:t>
            </w:r>
          </w:p>
        </w:tc>
      </w:tr>
      <w:tr>
        <w:trPr>
          <w:trHeight w:val="147"/>
        </w:trPr>
        <w:tc>
          <w:tcPr>
            <w:tcW w:w="1940" w:type="dxa"/>
            <w:vAlign w:val="bottom"/>
            <w:tcBorders>
              <w:left w:val="single" w:sz="8" w:color="auto"/>
            </w:tcBorders>
          </w:tcPr>
          <w:p>
            <w:pPr>
              <w:spacing w:after="0"/>
              <w:rPr>
                <w:sz w:val="12"/>
                <w:szCs w:val="12"/>
                <w:color w:val="auto"/>
              </w:rPr>
            </w:pPr>
          </w:p>
        </w:tc>
        <w:tc>
          <w:tcPr>
            <w:tcW w:w="1320" w:type="dxa"/>
            <w:vAlign w:val="bottom"/>
          </w:tcPr>
          <w:p>
            <w:pPr>
              <w:ind w:left="840"/>
              <w:spacing w:after="0"/>
              <w:rPr>
                <w:sz w:val="20"/>
                <w:szCs w:val="20"/>
                <w:color w:val="auto"/>
              </w:rPr>
            </w:pPr>
            <w:r>
              <w:rPr>
                <w:rFonts w:ascii="Arial" w:cs="Arial" w:eastAsia="Arial" w:hAnsi="Arial"/>
                <w:sz w:val="12"/>
                <w:szCs w:val="12"/>
                <w:color w:val="auto"/>
              </w:rPr>
              <w:t>2020</w:t>
            </w:r>
          </w:p>
        </w:tc>
        <w:tc>
          <w:tcPr>
            <w:tcW w:w="1160" w:type="dxa"/>
            <w:vAlign w:val="bottom"/>
          </w:tcPr>
          <w:p>
            <w:pPr>
              <w:jc w:val="right"/>
              <w:ind w:right="118"/>
              <w:spacing w:after="0"/>
              <w:rPr>
                <w:sz w:val="20"/>
                <w:szCs w:val="20"/>
                <w:color w:val="auto"/>
              </w:rPr>
            </w:pPr>
            <w:r>
              <w:rPr>
                <w:rFonts w:ascii="Arial" w:cs="Arial" w:eastAsia="Arial" w:hAnsi="Arial"/>
                <w:sz w:val="12"/>
                <w:szCs w:val="12"/>
                <w:color w:val="auto"/>
              </w:rPr>
              <w:t>11,400</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7,083</w:t>
            </w: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19,782</w:t>
            </w:r>
          </w:p>
        </w:tc>
        <w:tc>
          <w:tcPr>
            <w:tcW w:w="1000" w:type="dxa"/>
            <w:vAlign w:val="bottom"/>
          </w:tcPr>
          <w:p>
            <w:pPr>
              <w:jc w:val="right"/>
              <w:ind w:right="78"/>
              <w:spacing w:after="0"/>
              <w:rPr>
                <w:sz w:val="20"/>
                <w:szCs w:val="20"/>
                <w:color w:val="auto"/>
              </w:rPr>
            </w:pPr>
            <w:r>
              <w:rPr>
                <w:rFonts w:ascii="Arial" w:cs="Arial" w:eastAsia="Arial" w:hAnsi="Arial"/>
                <w:sz w:val="12"/>
                <w:szCs w:val="12"/>
                <w:color w:val="auto"/>
              </w:rPr>
              <w:t>8,550</w:t>
            </w:r>
          </w:p>
        </w:tc>
        <w:tc>
          <w:tcPr>
            <w:tcW w:w="960" w:type="dxa"/>
            <w:vAlign w:val="bottom"/>
          </w:tcPr>
          <w:p>
            <w:pPr>
              <w:jc w:val="right"/>
              <w:ind w:right="38"/>
              <w:spacing w:after="0"/>
              <w:rPr>
                <w:sz w:val="20"/>
                <w:szCs w:val="20"/>
                <w:color w:val="auto"/>
              </w:rPr>
            </w:pPr>
            <w:r>
              <w:rPr>
                <w:rFonts w:ascii="Arial" w:cs="Arial" w:eastAsia="Arial" w:hAnsi="Arial"/>
                <w:sz w:val="12"/>
                <w:szCs w:val="12"/>
                <w:color w:val="auto"/>
              </w:rPr>
              <w:t>23,879</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276</w:t>
            </w: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6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70,970</w:t>
            </w:r>
          </w:p>
        </w:tc>
      </w:tr>
      <w:tr>
        <w:trPr>
          <w:trHeight w:val="157"/>
        </w:trPr>
        <w:tc>
          <w:tcPr>
            <w:tcW w:w="1940" w:type="dxa"/>
            <w:vAlign w:val="bottom"/>
            <w:tcBorders>
              <w:left w:val="single" w:sz="8" w:color="auto"/>
            </w:tcBorders>
          </w:tcPr>
          <w:p>
            <w:pPr>
              <w:spacing w:after="0"/>
              <w:rPr>
                <w:sz w:val="13"/>
                <w:szCs w:val="13"/>
                <w:color w:val="auto"/>
              </w:rPr>
            </w:pPr>
          </w:p>
        </w:tc>
        <w:tc>
          <w:tcPr>
            <w:tcW w:w="1320" w:type="dxa"/>
            <w:vAlign w:val="bottom"/>
          </w:tcPr>
          <w:p>
            <w:pPr>
              <w:ind w:left="840"/>
              <w:spacing w:after="0"/>
              <w:rPr>
                <w:sz w:val="20"/>
                <w:szCs w:val="20"/>
                <w:color w:val="auto"/>
              </w:rPr>
            </w:pPr>
            <w:r>
              <w:rPr>
                <w:rFonts w:ascii="Arial" w:cs="Arial" w:eastAsia="Arial" w:hAnsi="Arial"/>
                <w:sz w:val="12"/>
                <w:szCs w:val="12"/>
                <w:color w:val="auto"/>
              </w:rPr>
              <w:t>2019</w:t>
            </w:r>
          </w:p>
        </w:tc>
        <w:tc>
          <w:tcPr>
            <w:tcW w:w="1160" w:type="dxa"/>
            <w:vAlign w:val="bottom"/>
          </w:tcPr>
          <w:p>
            <w:pPr>
              <w:jc w:val="right"/>
              <w:ind w:right="118"/>
              <w:spacing w:after="0"/>
              <w:rPr>
                <w:sz w:val="20"/>
                <w:szCs w:val="20"/>
                <w:color w:val="auto"/>
              </w:rPr>
            </w:pPr>
            <w:r>
              <w:rPr>
                <w:rFonts w:ascii="Arial" w:cs="Arial" w:eastAsia="Arial" w:hAnsi="Arial"/>
                <w:sz w:val="12"/>
                <w:szCs w:val="12"/>
                <w:color w:val="auto"/>
              </w:rPr>
              <w:t>11,200</w:t>
            </w:r>
          </w:p>
        </w:tc>
        <w:tc>
          <w:tcPr>
            <w:tcW w:w="1000" w:type="dxa"/>
            <w:vAlign w:val="bottom"/>
          </w:tcPr>
          <w:p>
            <w:pPr>
              <w:jc w:val="right"/>
              <w:ind w:right="138"/>
              <w:spacing w:after="0"/>
              <w:rPr>
                <w:sz w:val="20"/>
                <w:szCs w:val="20"/>
                <w:color w:val="auto"/>
              </w:rPr>
            </w:pPr>
            <w:r>
              <w:rPr>
                <w:rFonts w:ascii="Arial" w:cs="Arial" w:eastAsia="Arial" w:hAnsi="Arial"/>
                <w:sz w:val="12"/>
                <w:szCs w:val="12"/>
                <w:color w:val="auto"/>
              </w:rPr>
              <w:t>10,580</w:t>
            </w: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23,592</w:t>
            </w:r>
          </w:p>
        </w:tc>
        <w:tc>
          <w:tcPr>
            <w:tcW w:w="1000" w:type="dxa"/>
            <w:vAlign w:val="bottom"/>
          </w:tcPr>
          <w:p>
            <w:pPr>
              <w:jc w:val="right"/>
              <w:ind w:right="78"/>
              <w:spacing w:after="0"/>
              <w:rPr>
                <w:sz w:val="20"/>
                <w:szCs w:val="20"/>
                <w:color w:val="auto"/>
              </w:rPr>
            </w:pPr>
            <w:r>
              <w:rPr>
                <w:rFonts w:ascii="Arial" w:cs="Arial" w:eastAsia="Arial" w:hAnsi="Arial"/>
                <w:sz w:val="12"/>
                <w:szCs w:val="12"/>
                <w:color w:val="auto"/>
              </w:rPr>
              <w:t>8,400</w:t>
            </w:r>
          </w:p>
        </w:tc>
        <w:tc>
          <w:tcPr>
            <w:tcW w:w="960" w:type="dxa"/>
            <w:vAlign w:val="bottom"/>
          </w:tcPr>
          <w:p>
            <w:pPr>
              <w:jc w:val="right"/>
              <w:ind w:right="38"/>
              <w:spacing w:after="0"/>
              <w:rPr>
                <w:sz w:val="20"/>
                <w:szCs w:val="20"/>
                <w:color w:val="auto"/>
              </w:rPr>
            </w:pPr>
            <w:r>
              <w:rPr>
                <w:rFonts w:ascii="Arial" w:cs="Arial" w:eastAsia="Arial" w:hAnsi="Arial"/>
                <w:sz w:val="12"/>
                <w:szCs w:val="12"/>
                <w:color w:val="auto"/>
              </w:rPr>
              <w:t>18,731</w:t>
            </w: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9,321</w:t>
            </w: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6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81,824</w:t>
            </w:r>
          </w:p>
        </w:tc>
      </w:tr>
      <w:tr>
        <w:trPr>
          <w:trHeight w:val="138"/>
        </w:trPr>
        <w:tc>
          <w:tcPr>
            <w:tcW w:w="1940" w:type="dxa"/>
            <w:vAlign w:val="bottom"/>
            <w:tcBorders>
              <w:left w:val="single" w:sz="8" w:color="auto"/>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r>
    </w:tbl>
    <w:p>
      <w:pPr>
        <w:spacing w:after="0" w:line="110" w:lineRule="exact"/>
        <w:rPr>
          <w:sz w:val="20"/>
          <w:szCs w:val="20"/>
          <w:color w:val="auto"/>
        </w:rPr>
      </w:pPr>
    </w:p>
    <w:p>
      <w:pPr>
        <w:jc w:val="both"/>
        <w:ind w:left="400" w:right="240" w:hanging="393"/>
        <w:spacing w:after="0" w:line="273" w:lineRule="auto"/>
        <w:tabs>
          <w:tab w:leader="none" w:pos="400" w:val="left"/>
        </w:tabs>
        <w:numPr>
          <w:ilvl w:val="0"/>
          <w:numId w:val="79"/>
        </w:numPr>
        <w:rPr>
          <w:rFonts w:ascii="Arial" w:cs="Arial" w:eastAsia="Arial" w:hAnsi="Arial"/>
          <w:sz w:val="13"/>
          <w:szCs w:val="13"/>
          <w:color w:val="auto"/>
        </w:rPr>
      </w:pPr>
      <w:r>
        <w:rPr>
          <w:rFonts w:ascii="Arial" w:cs="Arial" w:eastAsia="Arial" w:hAnsi="Arial"/>
          <w:sz w:val="12"/>
          <w:szCs w:val="12"/>
          <w:color w:val="auto"/>
        </w:rPr>
        <w:t>This column represents the Company match of an individual’s salary deferral contributions to the RSP, a qualified defined contribution pension plan, subject to the Internal Revenue Code prescribed limit (which in 2021 was limited to $290,000 of eligible compensation), and is available to all eligible employees. The Company makes a matching contribution of $1.25 for each dollar of employee contribution up to 2% of eligible compensation, and a $0.50 matching contribution for every dollar of employee contribution above 2% and up to 5% of eligible compensation.</w:t>
      </w:r>
    </w:p>
    <w:p>
      <w:pPr>
        <w:spacing w:after="0" w:line="64" w:lineRule="exact"/>
        <w:rPr>
          <w:rFonts w:ascii="Arial" w:cs="Arial" w:eastAsia="Arial" w:hAnsi="Arial"/>
          <w:sz w:val="13"/>
          <w:szCs w:val="13"/>
          <w:color w:val="auto"/>
        </w:rPr>
      </w:pPr>
    </w:p>
    <w:p>
      <w:pPr>
        <w:ind w:left="400" w:right="240" w:hanging="393"/>
        <w:spacing w:after="0" w:line="255" w:lineRule="auto"/>
        <w:tabs>
          <w:tab w:leader="none" w:pos="400" w:val="left"/>
        </w:tabs>
        <w:numPr>
          <w:ilvl w:val="0"/>
          <w:numId w:val="79"/>
        </w:numPr>
        <w:rPr>
          <w:rFonts w:ascii="Arial" w:cs="Arial" w:eastAsia="Arial" w:hAnsi="Arial"/>
          <w:sz w:val="13"/>
          <w:szCs w:val="13"/>
          <w:color w:val="auto"/>
        </w:rPr>
      </w:pPr>
      <w:r>
        <w:rPr>
          <w:rFonts w:ascii="Arial" w:cs="Arial" w:eastAsia="Arial" w:hAnsi="Arial"/>
          <w:sz w:val="12"/>
          <w:szCs w:val="12"/>
          <w:color w:val="auto"/>
        </w:rPr>
        <w:t>For 2021, the total profit-sharing funding, or “Value Sharing Funding,” equaled 3.00% of eligible compensation. The funding is allocated in the following manner and made available to all eligible employees: 1) a portion of the funding is allocated in cash, 2) to the extent permitted by IRS ($290,000 of eligible compensation in 2021) and RSP provisions, a portion is contributed to the RSP, and</w:t>
      </w:r>
    </w:p>
    <w:p>
      <w:pPr>
        <w:ind w:left="400" w:right="40"/>
        <w:spacing w:after="0" w:line="251" w:lineRule="auto"/>
        <w:rPr>
          <w:rFonts w:ascii="Arial" w:cs="Arial" w:eastAsia="Arial" w:hAnsi="Arial"/>
          <w:sz w:val="13"/>
          <w:szCs w:val="13"/>
          <w:color w:val="auto"/>
        </w:rPr>
      </w:pPr>
      <w:r>
        <w:rPr>
          <w:rFonts w:ascii="Arial" w:cs="Arial" w:eastAsia="Arial" w:hAnsi="Arial"/>
          <w:sz w:val="13"/>
          <w:szCs w:val="13"/>
          <w:color w:val="auto"/>
        </w:rPr>
        <w:t>3) any Value Sharing Funding on eligible compensation in excess of IRS limits are contributed to the Excess Benefit Plan (column 3). This column represents the sum of the cash portion and the portion contributed to the RSP. For 2021, the cash portion and the portion contributed to the RSP were $1,714 and $6,986 respectively, for each of the NEOs.</w:t>
      </w:r>
    </w:p>
    <w:p>
      <w:pPr>
        <w:spacing w:after="0" w:line="76" w:lineRule="exact"/>
        <w:rPr>
          <w:rFonts w:ascii="Arial" w:cs="Arial" w:eastAsia="Arial" w:hAnsi="Arial"/>
          <w:sz w:val="13"/>
          <w:szCs w:val="13"/>
          <w:color w:val="auto"/>
        </w:rPr>
      </w:pPr>
    </w:p>
    <w:p>
      <w:pPr>
        <w:ind w:left="400" w:right="180" w:hanging="393"/>
        <w:spacing w:after="0" w:line="252" w:lineRule="auto"/>
        <w:tabs>
          <w:tab w:leader="none" w:pos="400" w:val="left"/>
        </w:tabs>
        <w:numPr>
          <w:ilvl w:val="0"/>
          <w:numId w:val="79"/>
        </w:numPr>
        <w:rPr>
          <w:rFonts w:ascii="Arial" w:cs="Arial" w:eastAsia="Arial" w:hAnsi="Arial"/>
          <w:sz w:val="14"/>
          <w:szCs w:val="14"/>
          <w:color w:val="auto"/>
        </w:rPr>
      </w:pPr>
      <w:r>
        <w:rPr>
          <w:rFonts w:ascii="Arial" w:cs="Arial" w:eastAsia="Arial" w:hAnsi="Arial"/>
          <w:sz w:val="13"/>
          <w:szCs w:val="13"/>
          <w:color w:val="auto"/>
        </w:rPr>
        <w:t>This column represents the Company's Value Sharing Funding based on 3.00% of eligible compensation in excess of the Internal Revenue Code prescribed limit ($290,000 of eligible compensation in 2021) that is contributed to the Excess Benefit Plan, and is available to all eligible employees.</w:t>
      </w:r>
    </w:p>
    <w:p>
      <w:pPr>
        <w:spacing w:after="0" w:line="75" w:lineRule="exact"/>
        <w:rPr>
          <w:rFonts w:ascii="Arial" w:cs="Arial" w:eastAsia="Arial" w:hAnsi="Arial"/>
          <w:sz w:val="14"/>
          <w:szCs w:val="14"/>
          <w:color w:val="auto"/>
        </w:rPr>
      </w:pPr>
    </w:p>
    <w:p>
      <w:pPr>
        <w:ind w:left="400" w:hanging="393"/>
        <w:spacing w:after="0"/>
        <w:tabs>
          <w:tab w:leader="none" w:pos="400" w:val="left"/>
        </w:tabs>
        <w:numPr>
          <w:ilvl w:val="0"/>
          <w:numId w:val="79"/>
        </w:numPr>
        <w:rPr>
          <w:rFonts w:ascii="Arial" w:cs="Arial" w:eastAsia="Arial" w:hAnsi="Arial"/>
          <w:sz w:val="13"/>
          <w:szCs w:val="13"/>
          <w:color w:val="auto"/>
        </w:rPr>
      </w:pPr>
      <w:r>
        <w:rPr>
          <w:rFonts w:ascii="Arial" w:cs="Arial" w:eastAsia="Arial" w:hAnsi="Arial"/>
          <w:sz w:val="12"/>
          <w:szCs w:val="12"/>
          <w:color w:val="auto"/>
        </w:rPr>
        <w:t>The Company's Fixed Contribution to the RSP equaled 3.00% of eligible compensation, subject to the same Internal Revenue Code prescribed limits, and is available to all eligible employees.</w:t>
      </w:r>
    </w:p>
    <w:p>
      <w:pPr>
        <w:spacing w:after="0" w:line="104" w:lineRule="exact"/>
        <w:rPr>
          <w:rFonts w:ascii="Arial" w:cs="Arial" w:eastAsia="Arial" w:hAnsi="Arial"/>
          <w:sz w:val="13"/>
          <w:szCs w:val="13"/>
          <w:color w:val="auto"/>
        </w:rPr>
      </w:pPr>
    </w:p>
    <w:p>
      <w:pPr>
        <w:ind w:left="400" w:right="220" w:hanging="393"/>
        <w:spacing w:after="0" w:line="252" w:lineRule="auto"/>
        <w:tabs>
          <w:tab w:leader="none" w:pos="400" w:val="left"/>
        </w:tabs>
        <w:numPr>
          <w:ilvl w:val="0"/>
          <w:numId w:val="79"/>
        </w:numPr>
        <w:rPr>
          <w:rFonts w:ascii="Arial" w:cs="Arial" w:eastAsia="Arial" w:hAnsi="Arial"/>
          <w:sz w:val="14"/>
          <w:szCs w:val="14"/>
          <w:color w:val="auto"/>
        </w:rPr>
      </w:pPr>
      <w:r>
        <w:rPr>
          <w:rFonts w:ascii="Arial" w:cs="Arial" w:eastAsia="Arial" w:hAnsi="Arial"/>
          <w:sz w:val="13"/>
          <w:szCs w:val="13"/>
          <w:color w:val="auto"/>
        </w:rPr>
        <w:t>The Company's Fixed Contribution to the RSP equaled 3.00% of eligible compensation. This column represents the Company's Fixed Contribution in excess of the Internal Revenue Code prescribed limits that is paid into the Excess Benefit Plan, and is available to all eligible employees.</w:t>
      </w:r>
    </w:p>
    <w:p>
      <w:pPr>
        <w:spacing w:after="0" w:line="75" w:lineRule="exact"/>
        <w:rPr>
          <w:rFonts w:ascii="Arial" w:cs="Arial" w:eastAsia="Arial" w:hAnsi="Arial"/>
          <w:sz w:val="14"/>
          <w:szCs w:val="14"/>
          <w:color w:val="auto"/>
        </w:rPr>
      </w:pPr>
    </w:p>
    <w:p>
      <w:pPr>
        <w:ind w:left="400" w:right="240" w:hanging="393"/>
        <w:spacing w:after="0" w:line="252" w:lineRule="auto"/>
        <w:tabs>
          <w:tab w:leader="none" w:pos="400" w:val="left"/>
        </w:tabs>
        <w:numPr>
          <w:ilvl w:val="0"/>
          <w:numId w:val="79"/>
        </w:numPr>
        <w:rPr>
          <w:rFonts w:ascii="Arial" w:cs="Arial" w:eastAsia="Arial" w:hAnsi="Arial"/>
          <w:sz w:val="14"/>
          <w:szCs w:val="14"/>
          <w:color w:val="auto"/>
        </w:rPr>
      </w:pPr>
      <w:r>
        <w:rPr>
          <w:rFonts w:ascii="Arial" w:cs="Arial" w:eastAsia="Arial" w:hAnsi="Arial"/>
          <w:sz w:val="13"/>
          <w:szCs w:val="13"/>
          <w:color w:val="auto"/>
        </w:rPr>
        <w:t>In 2021, Mr. Ho and Ms. Sellers were the only NEOs who did not defer amounts under the Deferred Compensation Program that were eligible for Restoration Benefit Contributions. Refer to section “Nonqualified Deferred Compensation” for additional information.</w:t>
      </w:r>
    </w:p>
    <w:p>
      <w:pPr>
        <w:spacing w:after="0" w:line="75" w:lineRule="exact"/>
        <w:rPr>
          <w:rFonts w:ascii="Arial" w:cs="Arial" w:eastAsia="Arial" w:hAnsi="Arial"/>
          <w:sz w:val="14"/>
          <w:szCs w:val="14"/>
          <w:color w:val="auto"/>
        </w:rPr>
      </w:pPr>
    </w:p>
    <w:p>
      <w:pPr>
        <w:ind w:left="400" w:hanging="393"/>
        <w:spacing w:after="0"/>
        <w:tabs>
          <w:tab w:leader="none" w:pos="400" w:val="left"/>
        </w:tabs>
        <w:numPr>
          <w:ilvl w:val="0"/>
          <w:numId w:val="79"/>
        </w:numPr>
        <w:rPr>
          <w:rFonts w:ascii="Arial" w:cs="Arial" w:eastAsia="Arial" w:hAnsi="Arial"/>
          <w:sz w:val="14"/>
          <w:szCs w:val="14"/>
          <w:color w:val="auto"/>
        </w:rPr>
      </w:pPr>
      <w:r>
        <w:rPr>
          <w:rFonts w:ascii="Arial" w:cs="Arial" w:eastAsia="Arial" w:hAnsi="Arial"/>
          <w:sz w:val="13"/>
          <w:szCs w:val="13"/>
          <w:color w:val="auto"/>
        </w:rPr>
        <w:t>For 2021, this column includes the value of perquisites for Messrs. Ho and Polk, which include club membership dues and home security.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NONQUALIFIED DEFERRED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Deferred Compensation Program</w:t>
      </w:r>
    </w:p>
    <w:p>
      <w:pPr>
        <w:spacing w:after="0" w:line="235" w:lineRule="exact"/>
        <w:rPr>
          <w:sz w:val="20"/>
          <w:szCs w:val="20"/>
          <w:color w:val="auto"/>
        </w:rPr>
      </w:pPr>
    </w:p>
    <w:p>
      <w:pPr>
        <w:ind w:right="60" w:firstLine="546"/>
        <w:spacing w:after="0" w:line="294" w:lineRule="auto"/>
        <w:rPr>
          <w:sz w:val="20"/>
          <w:szCs w:val="20"/>
          <w:color w:val="auto"/>
        </w:rPr>
      </w:pPr>
      <w:r>
        <w:rPr>
          <w:rFonts w:ascii="Arial" w:cs="Arial" w:eastAsia="Arial" w:hAnsi="Arial"/>
          <w:sz w:val="15"/>
          <w:szCs w:val="15"/>
          <w:color w:val="auto"/>
        </w:rPr>
        <w:t>The Company’s Executive Deferred Compensation Program (the “Deferred Compensation Program”) is a nonqualified deferred compensation plan that allows senior management (including the named executive officers) to defer up to 80% of their base salary earned for a specified year through the Executive Base Salary Deferral Plan (the “Salary Deferral Plan”), and to defer up to 100% of incentive payments under the Executive Incentive Plan. Messrs. Polk, and Shigemura, and Ms. Crofts deferred part of their 2021 base salary and/or 2021 Executive Incentive Plan payout under the Deferred Compensation Program.</w:t>
      </w:r>
    </w:p>
    <w:p>
      <w:pPr>
        <w:spacing w:after="0" w:line="171" w:lineRule="exact"/>
        <w:rPr>
          <w:sz w:val="20"/>
          <w:szCs w:val="20"/>
          <w:color w:val="auto"/>
        </w:rPr>
      </w:pPr>
    </w:p>
    <w:p>
      <w:pPr>
        <w:ind w:right="40" w:firstLine="546"/>
        <w:spacing w:after="0" w:line="290" w:lineRule="auto"/>
        <w:rPr>
          <w:sz w:val="20"/>
          <w:szCs w:val="20"/>
          <w:color w:val="auto"/>
        </w:rPr>
      </w:pPr>
      <w:r>
        <w:rPr>
          <w:rFonts w:ascii="Arial" w:cs="Arial" w:eastAsia="Arial" w:hAnsi="Arial"/>
          <w:sz w:val="15"/>
          <w:szCs w:val="15"/>
          <w:color w:val="auto"/>
        </w:rPr>
        <w:t>For each Plan Year beginning in 2012, with respect to the deferred amount, a Deferred Compensation Program participant who is eligible for the Company Fixed Contribution and discretionary Value Sharing Contribution under the Company’s qualified retirement plan, the Bank of Hawaii Retirement Savings Plan (“Retirement Savings Plan”), will receive an amount, referred to as “Restoration Contribution,” equal to the sum of: (a) the “Fixed Contribution Percentage” as described in the Retirement Savings Plan for the immediately preceding Plan Year multiplied by the Elective Deferral Amount; plus (b) the “Value Sharing Allocation Percentage” as determined by the Company for purposes of the Retirement Savings Plan for the immediately preceding Plan Year multiplied by the Elective Deferral Amount.</w:t>
      </w:r>
    </w:p>
    <w:p>
      <w:pPr>
        <w:spacing w:after="0" w:line="175" w:lineRule="exact"/>
        <w:rPr>
          <w:sz w:val="20"/>
          <w:szCs w:val="20"/>
          <w:color w:val="auto"/>
        </w:rPr>
      </w:pPr>
    </w:p>
    <w:p>
      <w:pPr>
        <w:ind w:firstLine="546"/>
        <w:spacing w:after="0" w:line="306" w:lineRule="auto"/>
        <w:rPr>
          <w:sz w:val="20"/>
          <w:szCs w:val="20"/>
          <w:color w:val="auto"/>
        </w:rPr>
      </w:pPr>
      <w:r>
        <w:rPr>
          <w:rFonts w:ascii="Arial" w:cs="Arial" w:eastAsia="Arial" w:hAnsi="Arial"/>
          <w:sz w:val="14"/>
          <w:szCs w:val="14"/>
          <w:color w:val="auto"/>
        </w:rPr>
        <w:t>A participant is always 100% vested in his or her deferred amounts. Deferred amounts under the Deferred Compensation Program are subject to adjustment for appreciation or depreciation in value based on hypothetical investments in one or more investment funds or vehicles permitted by the Committee and chosen by the participant. A participant’s deferred amounts are generally payable beginning on the earliest to occur of the following: (a) a specified time chosen by the participant, or if none, the date that is six months following a separation from service, (b) the participant’s death, (c) the participant’s disability or (d) an “unforeseeable emergency” (generally, a severe financial hardship resulting from the illness of the participant or his or her spouse or dependent, or other extraordinary and unforeseeable circumstances arising from events beyond the control of the participant). Distributions in the event of an unforeseeable emergency are subject to restrictions and are limited to an amount that is reasonably necessary to satisfy the emergency need. For distributions upon a separation from service or at a specified time chosen by a participant, the participant may choose to receive deferred amounts as a lump sum cash payment or in annual installments over a period not to exceed five years. The amount of each installment will be calculated using the “declining balance method,” under which each installment payment is determined by dividing a participant’s aggregate unpaid balance by the remaining years in the payment period. For distributions resulting from all other events, payment will be made as a lump sum cash payment.</w:t>
      </w:r>
    </w:p>
    <w:p>
      <w:pPr>
        <w:spacing w:after="0" w:line="167" w:lineRule="exact"/>
        <w:rPr>
          <w:sz w:val="20"/>
          <w:szCs w:val="20"/>
          <w:color w:val="auto"/>
        </w:rPr>
      </w:pPr>
    </w:p>
    <w:p>
      <w:pPr>
        <w:ind w:right="360" w:firstLine="546"/>
        <w:spacing w:after="0" w:line="275" w:lineRule="auto"/>
        <w:rPr>
          <w:sz w:val="20"/>
          <w:szCs w:val="20"/>
          <w:color w:val="auto"/>
        </w:rPr>
      </w:pPr>
      <w:r>
        <w:rPr>
          <w:rFonts w:ascii="Arial" w:cs="Arial" w:eastAsia="Arial" w:hAnsi="Arial"/>
          <w:sz w:val="16"/>
          <w:szCs w:val="16"/>
          <w:color w:val="auto"/>
        </w:rPr>
        <w:t>The Company's obligations with respect to deferred amounts under the Salary Deferral Plan and the Executive Incentive Plan are payable from its general assets, although the Company has established a rabbi trust to assist it in meeting its liabilities under the plans. The assets of the trust are at all times subject to the claims of the Company’s general creditors.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Retirement Savings Excess Benefit Plan</w:t>
      </w:r>
    </w:p>
    <w:p>
      <w:pPr>
        <w:spacing w:after="0" w:line="235" w:lineRule="exact"/>
        <w:rPr>
          <w:sz w:val="20"/>
          <w:szCs w:val="20"/>
          <w:color w:val="auto"/>
        </w:rPr>
      </w:pPr>
    </w:p>
    <w:p>
      <w:pPr>
        <w:ind w:right="40" w:firstLine="546"/>
        <w:spacing w:after="0" w:line="302" w:lineRule="auto"/>
        <w:rPr>
          <w:sz w:val="20"/>
          <w:szCs w:val="20"/>
          <w:color w:val="auto"/>
        </w:rPr>
      </w:pPr>
      <w:r>
        <w:rPr>
          <w:rFonts w:ascii="Arial" w:cs="Arial" w:eastAsia="Arial" w:hAnsi="Arial"/>
          <w:sz w:val="14"/>
          <w:szCs w:val="14"/>
          <w:color w:val="auto"/>
        </w:rPr>
        <w:t>The Retirement Savings Excess Benefit Plan (the “Excess Benefit Plan”) is a nonqualified supplemental retirement benefits plan that compensates participants for the amount of benefits that would otherwise be payable under the Company’s Retirement Savings Plan but for limitations under Internal Revenue Code Sections 415 and 401(a)</w:t>
      </w:r>
    </w:p>
    <w:p>
      <w:pPr>
        <w:ind w:right="220" w:firstLine="7"/>
        <w:spacing w:after="0" w:line="272" w:lineRule="auto"/>
        <w:tabs>
          <w:tab w:leader="none" w:pos="307" w:val="left"/>
        </w:tabs>
        <w:numPr>
          <w:ilvl w:val="0"/>
          <w:numId w:val="80"/>
        </w:numPr>
        <w:rPr>
          <w:rFonts w:ascii="Arial" w:cs="Arial" w:eastAsia="Arial" w:hAnsi="Arial"/>
          <w:sz w:val="16"/>
          <w:szCs w:val="16"/>
          <w:color w:val="auto"/>
        </w:rPr>
      </w:pPr>
      <w:r>
        <w:rPr>
          <w:rFonts w:ascii="Arial" w:cs="Arial" w:eastAsia="Arial" w:hAnsi="Arial"/>
          <w:sz w:val="16"/>
          <w:szCs w:val="16"/>
          <w:color w:val="auto"/>
        </w:rPr>
        <w:t>as to the amount of annual contributions to, and annual benefits payable under, the Retirement Savings Plan. A participant’s accrued benefits under the Excess Benefit Plan are hypothetically invested in one or more funds permitted by the Plan and chosen by the participant, and are adjusted for appreciation or depreciation in value attributable to such hypothetical investments.</w:t>
      </w:r>
    </w:p>
    <w:p>
      <w:pPr>
        <w:spacing w:after="0" w:line="186" w:lineRule="exact"/>
        <w:rPr>
          <w:sz w:val="20"/>
          <w:szCs w:val="20"/>
          <w:color w:val="auto"/>
        </w:rPr>
      </w:pPr>
    </w:p>
    <w:p>
      <w:pPr>
        <w:ind w:right="100" w:firstLine="546"/>
        <w:spacing w:after="0" w:line="324" w:lineRule="auto"/>
        <w:rPr>
          <w:sz w:val="20"/>
          <w:szCs w:val="20"/>
          <w:color w:val="auto"/>
        </w:rPr>
      </w:pPr>
      <w:r>
        <w:rPr>
          <w:rFonts w:ascii="Arial" w:cs="Arial" w:eastAsia="Arial" w:hAnsi="Arial"/>
          <w:sz w:val="15"/>
          <w:szCs w:val="15"/>
          <w:color w:val="auto"/>
        </w:rPr>
        <w:t>For an individual who became a participant in the Excess Benefit Plan after May 19, 2006, the plan provides that benefits are payable upon a separation from service according to a distribution schedule that is determined by reference to the total amount accrued for the individual under the plan. A participant with:</w:t>
      </w:r>
    </w:p>
    <w:p>
      <w:pPr>
        <w:spacing w:after="0" w:line="43" w:lineRule="exact"/>
        <w:rPr>
          <w:sz w:val="20"/>
          <w:szCs w:val="20"/>
          <w:color w:val="auto"/>
        </w:rPr>
      </w:pPr>
    </w:p>
    <w:p>
      <w:pPr>
        <w:ind w:left="1080" w:hanging="538"/>
        <w:spacing w:after="0"/>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$100,000 or less in deferred amounts will receive a lump sum payment six months after separation from service;</w:t>
      </w:r>
    </w:p>
    <w:p>
      <w:pPr>
        <w:spacing w:after="0" w:line="123" w:lineRule="exact"/>
        <w:rPr>
          <w:rFonts w:ascii="Arial" w:cs="Arial" w:eastAsia="Arial" w:hAnsi="Arial"/>
          <w:sz w:val="16"/>
          <w:szCs w:val="16"/>
          <w:color w:val="auto"/>
        </w:rPr>
      </w:pPr>
    </w:p>
    <w:p>
      <w:pPr>
        <w:ind w:left="1080" w:hanging="538"/>
        <w:spacing w:after="0"/>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more than $100,000 but no more than $300,000 in deferred amounts will receive distributions in two installments;</w:t>
      </w:r>
    </w:p>
    <w:p>
      <w:pPr>
        <w:spacing w:after="0" w:line="123" w:lineRule="exact"/>
        <w:rPr>
          <w:rFonts w:ascii="Arial" w:cs="Arial" w:eastAsia="Arial" w:hAnsi="Arial"/>
          <w:sz w:val="16"/>
          <w:szCs w:val="16"/>
          <w:color w:val="auto"/>
        </w:rPr>
      </w:pPr>
    </w:p>
    <w:p>
      <w:pPr>
        <w:ind w:left="1080" w:hanging="538"/>
        <w:spacing w:after="0"/>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more than $300,000 but no more than $500,000 in deferred amounts will receive distributions in three installments; and</w:t>
      </w:r>
    </w:p>
    <w:p>
      <w:pPr>
        <w:spacing w:after="0" w:line="123" w:lineRule="exact"/>
        <w:rPr>
          <w:rFonts w:ascii="Arial" w:cs="Arial" w:eastAsia="Arial" w:hAnsi="Arial"/>
          <w:sz w:val="16"/>
          <w:szCs w:val="16"/>
          <w:color w:val="auto"/>
        </w:rPr>
      </w:pPr>
    </w:p>
    <w:p>
      <w:pPr>
        <w:ind w:left="1080" w:hanging="538"/>
        <w:spacing w:after="0"/>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more than $500,000 in deferred amounts will receive distributions in five installments.</w:t>
      </w:r>
    </w:p>
    <w:p>
      <w:pPr>
        <w:spacing w:after="0" w:line="23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 each case, the first installment will be paid on the first day of the seventh month following separation from service and subsequent installments will be paid in each</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subsequent January. An individual who first became a participant in the Excess Benefit Plan on or prior to May 19, 2006 will receive benefits upon the participant’s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separation from service and may have elected to be paid as follows: (a) according to the distribution schedule applicable to individuals who become participants after May 19,</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2006, (b) in a lump sum on the first day of the seventh month following separation from service, or (c) in annual installments (not to exceed five) commencing on the first day</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of the seventh month following separation from service or commencing on an anniversary of the participant’s separation from service (not later than the fifth</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anniversary). The amount of each installment will be calculated using the declining balance method. If a participant dies prior to the full distribution of his or her deferred</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amounts, any unpaid amounts remaining will be distributed in a lump sum to the participant's beneficiary.</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right="500" w:firstLine="546"/>
        <w:spacing w:after="0" w:line="289" w:lineRule="auto"/>
        <w:rPr>
          <w:sz w:val="20"/>
          <w:szCs w:val="20"/>
          <w:color w:val="auto"/>
        </w:rPr>
      </w:pPr>
      <w:r>
        <w:rPr>
          <w:rFonts w:ascii="Arial" w:cs="Arial" w:eastAsia="Arial" w:hAnsi="Arial"/>
          <w:sz w:val="16"/>
          <w:szCs w:val="16"/>
          <w:color w:val="auto"/>
        </w:rPr>
        <w:t>The Company’s obligations under the Excess Benefit Plan are payable from its general assets, although the Company has established a rabbi trust to assist it in meeting its liabilities under the plan. The assets of the trust are at all times subject to the claims of the Company’s general creditors.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Set forth below is information regarding the amounts deferred by or for the benefit of the named executive officers in 2021.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NONQUALIFIED DEFERRED COMPENSATION TABLE</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2600" w:type="dxa"/>
            <w:vAlign w:val="bottom"/>
            <w:tcBorders>
              <w:top w:val="single" w:sz="8" w:color="auto"/>
              <w:left w:val="single" w:sz="8" w:color="auto"/>
            </w:tcBorders>
            <w:shd w:val="clear" w:color="auto" w:fill="086FB8"/>
          </w:tcPr>
          <w:p>
            <w:pPr>
              <w:spacing w:after="0"/>
              <w:rPr>
                <w:sz w:val="13"/>
                <w:szCs w:val="13"/>
                <w:color w:val="auto"/>
              </w:rPr>
            </w:pPr>
          </w:p>
        </w:tc>
        <w:tc>
          <w:tcPr>
            <w:tcW w:w="2640" w:type="dxa"/>
            <w:vAlign w:val="bottom"/>
            <w:tcBorders>
              <w:top w:val="single" w:sz="8" w:color="auto"/>
            </w:tcBorders>
            <w:vMerge w:val="restart"/>
            <w:shd w:val="clear" w:color="auto" w:fill="086FB8"/>
          </w:tcPr>
          <w:p>
            <w:pPr>
              <w:jc w:val="center"/>
              <w:ind w:left="889"/>
              <w:spacing w:after="0"/>
              <w:rPr>
                <w:sz w:val="20"/>
                <w:szCs w:val="20"/>
                <w:color w:val="auto"/>
              </w:rPr>
            </w:pPr>
            <w:r>
              <w:rPr>
                <w:rFonts w:ascii="Arial" w:cs="Arial" w:eastAsia="Arial" w:hAnsi="Arial"/>
                <w:sz w:val="14"/>
                <w:szCs w:val="14"/>
                <w:b w:val="1"/>
                <w:bCs w:val="1"/>
                <w:color w:val="FFFFFF"/>
                <w:w w:val="91"/>
              </w:rPr>
              <w:t>Executive</w:t>
            </w:r>
          </w:p>
        </w:tc>
        <w:tc>
          <w:tcPr>
            <w:tcW w:w="1560" w:type="dxa"/>
            <w:vAlign w:val="bottom"/>
            <w:tcBorders>
              <w:top w:val="single" w:sz="8" w:color="auto"/>
            </w:tcBorders>
            <w:vMerge w:val="restart"/>
            <w:shd w:val="clear" w:color="auto" w:fill="086FB8"/>
          </w:tcPr>
          <w:p>
            <w:pPr>
              <w:jc w:val="center"/>
              <w:ind w:right="169"/>
              <w:spacing w:after="0"/>
              <w:rPr>
                <w:sz w:val="20"/>
                <w:szCs w:val="20"/>
                <w:color w:val="auto"/>
              </w:rPr>
            </w:pPr>
            <w:r>
              <w:rPr>
                <w:rFonts w:ascii="Arial" w:cs="Arial" w:eastAsia="Arial" w:hAnsi="Arial"/>
                <w:sz w:val="14"/>
                <w:szCs w:val="14"/>
                <w:b w:val="1"/>
                <w:bCs w:val="1"/>
                <w:color w:val="FFFFFF"/>
                <w:w w:val="92"/>
              </w:rPr>
              <w:t>Registrant</w:t>
            </w:r>
          </w:p>
        </w:tc>
        <w:tc>
          <w:tcPr>
            <w:tcW w:w="1440" w:type="dxa"/>
            <w:vAlign w:val="bottom"/>
            <w:tcBorders>
              <w:top w:val="single" w:sz="8" w:color="auto"/>
            </w:tcBorders>
            <w:vMerge w:val="restart"/>
            <w:shd w:val="clear" w:color="auto" w:fill="086FB8"/>
          </w:tcPr>
          <w:p>
            <w:pPr>
              <w:jc w:val="right"/>
              <w:ind w:right="449"/>
              <w:spacing w:after="0"/>
              <w:rPr>
                <w:sz w:val="20"/>
                <w:szCs w:val="20"/>
                <w:color w:val="auto"/>
              </w:rPr>
            </w:pPr>
            <w:r>
              <w:rPr>
                <w:rFonts w:ascii="Arial" w:cs="Arial" w:eastAsia="Arial" w:hAnsi="Arial"/>
                <w:sz w:val="14"/>
                <w:szCs w:val="14"/>
                <w:b w:val="1"/>
                <w:bCs w:val="1"/>
                <w:color w:val="FFFFFF"/>
              </w:rPr>
              <w:t>Aggregate</w:t>
            </w:r>
          </w:p>
        </w:tc>
        <w:tc>
          <w:tcPr>
            <w:tcW w:w="1540" w:type="dxa"/>
            <w:vAlign w:val="bottom"/>
            <w:tcBorders>
              <w:top w:val="single" w:sz="8" w:color="auto"/>
            </w:tcBorders>
            <w:shd w:val="clear" w:color="auto" w:fill="086FB8"/>
          </w:tcPr>
          <w:p>
            <w:pPr>
              <w:jc w:val="center"/>
              <w:ind w:right="89"/>
              <w:spacing w:after="0" w:line="151" w:lineRule="exact"/>
              <w:rPr>
                <w:sz w:val="20"/>
                <w:szCs w:val="20"/>
                <w:color w:val="auto"/>
              </w:rPr>
            </w:pPr>
            <w:r>
              <w:rPr>
                <w:rFonts w:ascii="Arial" w:cs="Arial" w:eastAsia="Arial" w:hAnsi="Arial"/>
                <w:sz w:val="14"/>
                <w:szCs w:val="14"/>
                <w:b w:val="1"/>
                <w:bCs w:val="1"/>
                <w:color w:val="FFFFFF"/>
                <w:w w:val="89"/>
              </w:rPr>
              <w:t>Aggregate</w:t>
            </w:r>
          </w:p>
        </w:tc>
        <w:tc>
          <w:tcPr>
            <w:tcW w:w="1460" w:type="dxa"/>
            <w:vAlign w:val="bottom"/>
            <w:tcBorders>
              <w:top w:val="single" w:sz="8" w:color="auto"/>
              <w:right w:val="single" w:sz="8" w:color="auto"/>
            </w:tcBorders>
            <w:shd w:val="clear" w:color="auto" w:fill="086FB8"/>
          </w:tcPr>
          <w:p>
            <w:pPr>
              <w:jc w:val="center"/>
              <w:ind w:right="9"/>
              <w:spacing w:after="0" w:line="151" w:lineRule="exact"/>
              <w:rPr>
                <w:sz w:val="20"/>
                <w:szCs w:val="20"/>
                <w:color w:val="auto"/>
              </w:rPr>
            </w:pPr>
            <w:r>
              <w:rPr>
                <w:rFonts w:ascii="Arial" w:cs="Arial" w:eastAsia="Arial" w:hAnsi="Arial"/>
                <w:sz w:val="14"/>
                <w:szCs w:val="14"/>
                <w:b w:val="1"/>
                <w:bCs w:val="1"/>
                <w:color w:val="FFFFFF"/>
                <w:w w:val="89"/>
              </w:rPr>
              <w:t>Aggregate</w:t>
            </w:r>
          </w:p>
        </w:tc>
        <w:tc>
          <w:tcPr>
            <w:tcW w:w="0" w:type="dxa"/>
            <w:vAlign w:val="bottom"/>
          </w:tcPr>
          <w:p>
            <w:pPr>
              <w:spacing w:after="0"/>
              <w:rPr>
                <w:sz w:val="1"/>
                <w:szCs w:val="1"/>
                <w:color w:val="auto"/>
              </w:rPr>
            </w:pPr>
          </w:p>
        </w:tc>
      </w:tr>
      <w:tr>
        <w:trPr>
          <w:trHeight w:val="147"/>
        </w:trPr>
        <w:tc>
          <w:tcPr>
            <w:tcW w:w="2600" w:type="dxa"/>
            <w:vAlign w:val="bottom"/>
            <w:tcBorders>
              <w:left w:val="single" w:sz="8" w:color="auto"/>
            </w:tcBorders>
            <w:shd w:val="clear" w:color="auto" w:fill="086FB8"/>
          </w:tcPr>
          <w:p>
            <w:pPr>
              <w:spacing w:after="0"/>
              <w:rPr>
                <w:sz w:val="12"/>
                <w:szCs w:val="12"/>
                <w:color w:val="auto"/>
              </w:rPr>
            </w:pPr>
          </w:p>
        </w:tc>
        <w:tc>
          <w:tcPr>
            <w:tcW w:w="2640" w:type="dxa"/>
            <w:vAlign w:val="bottom"/>
            <w:vMerge w:val="continue"/>
            <w:shd w:val="clear" w:color="auto" w:fill="086FB8"/>
          </w:tcPr>
          <w:p>
            <w:pPr>
              <w:spacing w:after="0"/>
              <w:rPr>
                <w:sz w:val="12"/>
                <w:szCs w:val="12"/>
                <w:color w:val="auto"/>
              </w:rPr>
            </w:pPr>
          </w:p>
        </w:tc>
        <w:tc>
          <w:tcPr>
            <w:tcW w:w="1560" w:type="dxa"/>
            <w:vAlign w:val="bottom"/>
            <w:vMerge w:val="continue"/>
            <w:shd w:val="clear" w:color="auto" w:fill="086FB8"/>
          </w:tcPr>
          <w:p>
            <w:pPr>
              <w:spacing w:after="0"/>
              <w:rPr>
                <w:sz w:val="12"/>
                <w:szCs w:val="12"/>
                <w:color w:val="auto"/>
              </w:rPr>
            </w:pPr>
          </w:p>
        </w:tc>
        <w:tc>
          <w:tcPr>
            <w:tcW w:w="1440" w:type="dxa"/>
            <w:vAlign w:val="bottom"/>
            <w:vMerge w:val="continue"/>
            <w:shd w:val="clear" w:color="auto" w:fill="086FB8"/>
          </w:tcPr>
          <w:p>
            <w:pPr>
              <w:spacing w:after="0"/>
              <w:rPr>
                <w:sz w:val="12"/>
                <w:szCs w:val="12"/>
                <w:color w:val="auto"/>
              </w:rPr>
            </w:pPr>
          </w:p>
        </w:tc>
        <w:tc>
          <w:tcPr>
            <w:tcW w:w="1540" w:type="dxa"/>
            <w:vAlign w:val="bottom"/>
            <w:shd w:val="clear" w:color="auto" w:fill="086FB8"/>
          </w:tcPr>
          <w:p>
            <w:pPr>
              <w:jc w:val="center"/>
              <w:ind w:right="69"/>
              <w:spacing w:after="0" w:line="147" w:lineRule="exact"/>
              <w:rPr>
                <w:sz w:val="20"/>
                <w:szCs w:val="20"/>
                <w:color w:val="auto"/>
              </w:rPr>
            </w:pPr>
            <w:r>
              <w:rPr>
                <w:rFonts w:ascii="Arial" w:cs="Arial" w:eastAsia="Arial" w:hAnsi="Arial"/>
                <w:sz w:val="14"/>
                <w:szCs w:val="14"/>
                <w:b w:val="1"/>
                <w:bCs w:val="1"/>
                <w:color w:val="FFFFFF"/>
                <w:w w:val="95"/>
              </w:rPr>
              <w:t>Withdrawals or</w:t>
            </w:r>
          </w:p>
        </w:tc>
        <w:tc>
          <w:tcPr>
            <w:tcW w:w="1460" w:type="dxa"/>
            <w:vAlign w:val="bottom"/>
            <w:tcBorders>
              <w:right w:val="single" w:sz="8" w:color="auto"/>
            </w:tcBorders>
            <w:shd w:val="clear" w:color="auto" w:fill="086FB8"/>
          </w:tcPr>
          <w:p>
            <w:pPr>
              <w:jc w:val="center"/>
              <w:ind w:right="29"/>
              <w:spacing w:after="0" w:line="147" w:lineRule="exact"/>
              <w:rPr>
                <w:sz w:val="20"/>
                <w:szCs w:val="20"/>
                <w:color w:val="auto"/>
              </w:rPr>
            </w:pPr>
            <w:r>
              <w:rPr>
                <w:rFonts w:ascii="Arial" w:cs="Arial" w:eastAsia="Arial" w:hAnsi="Arial"/>
                <w:sz w:val="14"/>
                <w:szCs w:val="14"/>
                <w:b w:val="1"/>
                <w:bCs w:val="1"/>
                <w:color w:val="FFFFFF"/>
                <w:w w:val="89"/>
              </w:rPr>
              <w:t>Balance</w:t>
            </w:r>
          </w:p>
        </w:tc>
        <w:tc>
          <w:tcPr>
            <w:tcW w:w="0" w:type="dxa"/>
            <w:vAlign w:val="bottom"/>
          </w:tcPr>
          <w:p>
            <w:pPr>
              <w:spacing w:after="0"/>
              <w:rPr>
                <w:sz w:val="1"/>
                <w:szCs w:val="1"/>
                <w:color w:val="auto"/>
              </w:rPr>
            </w:pPr>
          </w:p>
        </w:tc>
      </w:tr>
      <w:tr>
        <w:trPr>
          <w:trHeight w:val="147"/>
        </w:trPr>
        <w:tc>
          <w:tcPr>
            <w:tcW w:w="2600" w:type="dxa"/>
            <w:vAlign w:val="bottom"/>
            <w:tcBorders>
              <w:left w:val="single" w:sz="8" w:color="auto"/>
            </w:tcBorders>
            <w:shd w:val="clear" w:color="auto" w:fill="086FB8"/>
          </w:tcPr>
          <w:p>
            <w:pPr>
              <w:spacing w:after="0"/>
              <w:rPr>
                <w:sz w:val="12"/>
                <w:szCs w:val="12"/>
                <w:color w:val="auto"/>
              </w:rPr>
            </w:pPr>
          </w:p>
        </w:tc>
        <w:tc>
          <w:tcPr>
            <w:tcW w:w="2640" w:type="dxa"/>
            <w:vAlign w:val="bottom"/>
            <w:shd w:val="clear" w:color="auto" w:fill="086FB8"/>
          </w:tcPr>
          <w:p>
            <w:pPr>
              <w:jc w:val="center"/>
              <w:ind w:left="869"/>
              <w:spacing w:after="0" w:line="147" w:lineRule="exact"/>
              <w:rPr>
                <w:sz w:val="20"/>
                <w:szCs w:val="20"/>
                <w:color w:val="auto"/>
              </w:rPr>
            </w:pPr>
            <w:r>
              <w:rPr>
                <w:rFonts w:ascii="Arial" w:cs="Arial" w:eastAsia="Arial" w:hAnsi="Arial"/>
                <w:sz w:val="14"/>
                <w:szCs w:val="14"/>
                <w:b w:val="1"/>
                <w:bCs w:val="1"/>
                <w:color w:val="FFFFFF"/>
                <w:w w:val="93"/>
              </w:rPr>
              <w:t>Contributions</w:t>
            </w:r>
          </w:p>
        </w:tc>
        <w:tc>
          <w:tcPr>
            <w:tcW w:w="1560" w:type="dxa"/>
            <w:vAlign w:val="bottom"/>
            <w:shd w:val="clear" w:color="auto" w:fill="086FB8"/>
          </w:tcPr>
          <w:p>
            <w:pPr>
              <w:jc w:val="center"/>
              <w:ind w:right="149"/>
              <w:spacing w:after="0" w:line="147" w:lineRule="exact"/>
              <w:rPr>
                <w:sz w:val="20"/>
                <w:szCs w:val="20"/>
                <w:color w:val="auto"/>
              </w:rPr>
            </w:pPr>
            <w:r>
              <w:rPr>
                <w:rFonts w:ascii="Arial" w:cs="Arial" w:eastAsia="Arial" w:hAnsi="Arial"/>
                <w:sz w:val="14"/>
                <w:szCs w:val="14"/>
                <w:b w:val="1"/>
                <w:bCs w:val="1"/>
                <w:color w:val="FFFFFF"/>
                <w:w w:val="93"/>
              </w:rPr>
              <w:t>Contributions</w:t>
            </w:r>
          </w:p>
        </w:tc>
        <w:tc>
          <w:tcPr>
            <w:tcW w:w="1440" w:type="dxa"/>
            <w:vAlign w:val="bottom"/>
            <w:shd w:val="clear" w:color="auto" w:fill="086FB8"/>
          </w:tcPr>
          <w:p>
            <w:pPr>
              <w:jc w:val="right"/>
              <w:ind w:right="389"/>
              <w:spacing w:after="0" w:line="147" w:lineRule="exact"/>
              <w:rPr>
                <w:sz w:val="20"/>
                <w:szCs w:val="20"/>
                <w:color w:val="auto"/>
              </w:rPr>
            </w:pPr>
            <w:r>
              <w:rPr>
                <w:rFonts w:ascii="Arial" w:cs="Arial" w:eastAsia="Arial" w:hAnsi="Arial"/>
                <w:sz w:val="14"/>
                <w:szCs w:val="14"/>
                <w:b w:val="1"/>
                <w:bCs w:val="1"/>
                <w:color w:val="FFFFFF"/>
              </w:rPr>
              <w:t>Earnings in</w:t>
            </w:r>
          </w:p>
        </w:tc>
        <w:tc>
          <w:tcPr>
            <w:tcW w:w="1540" w:type="dxa"/>
            <w:vAlign w:val="bottom"/>
            <w:shd w:val="clear" w:color="auto" w:fill="086FB8"/>
          </w:tcPr>
          <w:p>
            <w:pPr>
              <w:jc w:val="center"/>
              <w:ind w:right="69"/>
              <w:spacing w:after="0" w:line="147" w:lineRule="exact"/>
              <w:rPr>
                <w:sz w:val="20"/>
                <w:szCs w:val="20"/>
                <w:color w:val="auto"/>
              </w:rPr>
            </w:pPr>
            <w:r>
              <w:rPr>
                <w:rFonts w:ascii="Arial" w:cs="Arial" w:eastAsia="Arial" w:hAnsi="Arial"/>
                <w:sz w:val="14"/>
                <w:szCs w:val="14"/>
                <w:b w:val="1"/>
                <w:bCs w:val="1"/>
                <w:color w:val="FFFFFF"/>
                <w:w w:val="92"/>
              </w:rPr>
              <w:t>Distributions</w:t>
            </w:r>
          </w:p>
        </w:tc>
        <w:tc>
          <w:tcPr>
            <w:tcW w:w="1460" w:type="dxa"/>
            <w:vAlign w:val="bottom"/>
            <w:tcBorders>
              <w:right w:val="single" w:sz="8" w:color="auto"/>
            </w:tcBorders>
            <w:shd w:val="clear" w:color="auto" w:fill="086FB8"/>
          </w:tcPr>
          <w:p>
            <w:pPr>
              <w:jc w:val="center"/>
              <w:ind w:right="9"/>
              <w:spacing w:after="0" w:line="147" w:lineRule="exact"/>
              <w:rPr>
                <w:sz w:val="20"/>
                <w:szCs w:val="20"/>
                <w:color w:val="auto"/>
              </w:rPr>
            </w:pPr>
            <w:r>
              <w:rPr>
                <w:rFonts w:ascii="Arial" w:cs="Arial" w:eastAsia="Arial" w:hAnsi="Arial"/>
                <w:sz w:val="14"/>
                <w:szCs w:val="14"/>
                <w:b w:val="1"/>
                <w:bCs w:val="1"/>
                <w:color w:val="FFFFFF"/>
                <w:w w:val="91"/>
              </w:rPr>
              <w:t>at December 31,</w:t>
            </w:r>
          </w:p>
        </w:tc>
        <w:tc>
          <w:tcPr>
            <w:tcW w:w="0" w:type="dxa"/>
            <w:vAlign w:val="bottom"/>
          </w:tcPr>
          <w:p>
            <w:pPr>
              <w:spacing w:after="0"/>
              <w:rPr>
                <w:sz w:val="1"/>
                <w:szCs w:val="1"/>
                <w:color w:val="auto"/>
              </w:rPr>
            </w:pPr>
          </w:p>
        </w:tc>
      </w:tr>
      <w:tr>
        <w:trPr>
          <w:trHeight w:val="147"/>
        </w:trPr>
        <w:tc>
          <w:tcPr>
            <w:tcW w:w="2600" w:type="dxa"/>
            <w:vAlign w:val="bottom"/>
            <w:tcBorders>
              <w:left w:val="single" w:sz="8" w:color="auto"/>
            </w:tcBorders>
            <w:vMerge w:val="restart"/>
            <w:shd w:val="clear" w:color="auto" w:fill="086FB8"/>
          </w:tcPr>
          <w:p>
            <w:pPr>
              <w:ind w:left="140"/>
              <w:spacing w:after="0"/>
              <w:rPr>
                <w:sz w:val="20"/>
                <w:szCs w:val="20"/>
                <w:color w:val="auto"/>
              </w:rPr>
            </w:pPr>
            <w:r>
              <w:rPr>
                <w:rFonts w:ascii="Arial" w:cs="Arial" w:eastAsia="Arial" w:hAnsi="Arial"/>
                <w:sz w:val="14"/>
                <w:szCs w:val="14"/>
                <w:b w:val="1"/>
                <w:bCs w:val="1"/>
                <w:color w:val="FFFFFF"/>
              </w:rPr>
              <w:t>Name</w:t>
            </w:r>
          </w:p>
        </w:tc>
        <w:tc>
          <w:tcPr>
            <w:tcW w:w="2640" w:type="dxa"/>
            <w:vAlign w:val="bottom"/>
            <w:shd w:val="clear" w:color="auto" w:fill="086FB8"/>
          </w:tcPr>
          <w:p>
            <w:pPr>
              <w:jc w:val="center"/>
              <w:ind w:left="889"/>
              <w:spacing w:after="0" w:line="147" w:lineRule="exact"/>
              <w:rPr>
                <w:sz w:val="20"/>
                <w:szCs w:val="20"/>
                <w:color w:val="auto"/>
              </w:rPr>
            </w:pPr>
            <w:r>
              <w:rPr>
                <w:rFonts w:ascii="Arial" w:cs="Arial" w:eastAsia="Arial" w:hAnsi="Arial"/>
                <w:sz w:val="14"/>
                <w:szCs w:val="14"/>
                <w:b w:val="1"/>
                <w:bCs w:val="1"/>
                <w:color w:val="FFFFFF"/>
                <w:w w:val="92"/>
              </w:rPr>
              <w:t>in 2021</w:t>
            </w:r>
          </w:p>
        </w:tc>
        <w:tc>
          <w:tcPr>
            <w:tcW w:w="1560" w:type="dxa"/>
            <w:vAlign w:val="bottom"/>
            <w:shd w:val="clear" w:color="auto" w:fill="086FB8"/>
          </w:tcPr>
          <w:p>
            <w:pPr>
              <w:jc w:val="center"/>
              <w:ind w:right="169"/>
              <w:spacing w:after="0" w:line="147" w:lineRule="exact"/>
              <w:rPr>
                <w:sz w:val="20"/>
                <w:szCs w:val="20"/>
                <w:color w:val="auto"/>
              </w:rPr>
            </w:pPr>
            <w:r>
              <w:rPr>
                <w:rFonts w:ascii="Arial" w:cs="Arial" w:eastAsia="Arial" w:hAnsi="Arial"/>
                <w:sz w:val="14"/>
                <w:szCs w:val="14"/>
                <w:b w:val="1"/>
                <w:bCs w:val="1"/>
                <w:color w:val="FFFFFF"/>
                <w:w w:val="92"/>
              </w:rPr>
              <w:t>in 2021</w:t>
            </w:r>
          </w:p>
        </w:tc>
        <w:tc>
          <w:tcPr>
            <w:tcW w:w="1440" w:type="dxa"/>
            <w:vAlign w:val="bottom"/>
            <w:shd w:val="clear" w:color="auto" w:fill="086FB8"/>
          </w:tcPr>
          <w:p>
            <w:pPr>
              <w:jc w:val="right"/>
              <w:ind w:right="609"/>
              <w:spacing w:after="0" w:line="147" w:lineRule="exact"/>
              <w:rPr>
                <w:sz w:val="20"/>
                <w:szCs w:val="20"/>
                <w:color w:val="auto"/>
              </w:rPr>
            </w:pPr>
            <w:r>
              <w:rPr>
                <w:rFonts w:ascii="Arial" w:cs="Arial" w:eastAsia="Arial" w:hAnsi="Arial"/>
                <w:sz w:val="14"/>
                <w:szCs w:val="14"/>
                <w:b w:val="1"/>
                <w:bCs w:val="1"/>
                <w:color w:val="FFFFFF"/>
              </w:rPr>
              <w:t>2021</w:t>
            </w:r>
          </w:p>
        </w:tc>
        <w:tc>
          <w:tcPr>
            <w:tcW w:w="1540" w:type="dxa"/>
            <w:vAlign w:val="bottom"/>
            <w:shd w:val="clear" w:color="auto" w:fill="086FB8"/>
          </w:tcPr>
          <w:p>
            <w:pPr>
              <w:jc w:val="center"/>
              <w:ind w:right="69"/>
              <w:spacing w:after="0" w:line="147" w:lineRule="exact"/>
              <w:rPr>
                <w:sz w:val="20"/>
                <w:szCs w:val="20"/>
                <w:color w:val="auto"/>
              </w:rPr>
            </w:pPr>
            <w:r>
              <w:rPr>
                <w:rFonts w:ascii="Arial" w:cs="Arial" w:eastAsia="Arial" w:hAnsi="Arial"/>
                <w:sz w:val="14"/>
                <w:szCs w:val="14"/>
                <w:b w:val="1"/>
                <w:bCs w:val="1"/>
                <w:color w:val="FFFFFF"/>
                <w:w w:val="92"/>
              </w:rPr>
              <w:t>in 2021</w:t>
            </w:r>
          </w:p>
        </w:tc>
        <w:tc>
          <w:tcPr>
            <w:tcW w:w="1460" w:type="dxa"/>
            <w:vAlign w:val="bottom"/>
            <w:tcBorders>
              <w:right w:val="single" w:sz="8" w:color="auto"/>
            </w:tcBorders>
            <w:shd w:val="clear" w:color="auto" w:fill="086FB8"/>
          </w:tcPr>
          <w:p>
            <w:pPr>
              <w:jc w:val="right"/>
              <w:ind w:right="569"/>
              <w:spacing w:after="0" w:line="147" w:lineRule="exact"/>
              <w:rPr>
                <w:sz w:val="20"/>
                <w:szCs w:val="20"/>
                <w:color w:val="auto"/>
              </w:rPr>
            </w:pPr>
            <w:r>
              <w:rPr>
                <w:rFonts w:ascii="Arial" w:cs="Arial" w:eastAsia="Arial" w:hAnsi="Arial"/>
                <w:sz w:val="14"/>
                <w:szCs w:val="14"/>
                <w:b w:val="1"/>
                <w:bCs w:val="1"/>
                <w:color w:val="FFFFFF"/>
              </w:rPr>
              <w:t>2021</w:t>
            </w:r>
          </w:p>
        </w:tc>
        <w:tc>
          <w:tcPr>
            <w:tcW w:w="0" w:type="dxa"/>
            <w:vAlign w:val="bottom"/>
          </w:tcPr>
          <w:p>
            <w:pPr>
              <w:spacing w:after="0"/>
              <w:rPr>
                <w:sz w:val="1"/>
                <w:szCs w:val="1"/>
                <w:color w:val="auto"/>
              </w:rPr>
            </w:pPr>
          </w:p>
        </w:tc>
      </w:tr>
      <w:tr>
        <w:trPr>
          <w:trHeight w:val="170"/>
        </w:trPr>
        <w:tc>
          <w:tcPr>
            <w:tcW w:w="2600" w:type="dxa"/>
            <w:vAlign w:val="bottom"/>
            <w:tcBorders>
              <w:left w:val="single" w:sz="8" w:color="auto"/>
              <w:bottom w:val="single" w:sz="8" w:color="auto"/>
            </w:tcBorders>
            <w:vMerge w:val="continue"/>
            <w:shd w:val="clear" w:color="auto" w:fill="086FB8"/>
          </w:tcPr>
          <w:p>
            <w:pPr>
              <w:spacing w:after="0"/>
              <w:rPr>
                <w:sz w:val="14"/>
                <w:szCs w:val="14"/>
                <w:color w:val="auto"/>
              </w:rPr>
            </w:pPr>
          </w:p>
        </w:tc>
        <w:tc>
          <w:tcPr>
            <w:tcW w:w="2640" w:type="dxa"/>
            <w:vAlign w:val="bottom"/>
            <w:tcBorders>
              <w:bottom w:val="single" w:sz="8" w:color="auto"/>
            </w:tcBorders>
            <w:shd w:val="clear" w:color="auto" w:fill="086FB8"/>
          </w:tcPr>
          <w:p>
            <w:pPr>
              <w:jc w:val="center"/>
              <w:ind w:left="869"/>
              <w:spacing w:after="0"/>
              <w:rPr>
                <w:sz w:val="20"/>
                <w:szCs w:val="20"/>
                <w:color w:val="auto"/>
              </w:rPr>
            </w:pPr>
            <w:r>
              <w:rPr>
                <w:rFonts w:ascii="Arial" w:cs="Arial" w:eastAsia="Arial" w:hAnsi="Arial"/>
                <w:sz w:val="14"/>
                <w:szCs w:val="14"/>
                <w:b w:val="1"/>
                <w:bCs w:val="1"/>
                <w:color w:val="FFFFFF"/>
                <w:w w:val="99"/>
              </w:rPr>
              <w:t>($)(1)</w:t>
            </w:r>
          </w:p>
        </w:tc>
        <w:tc>
          <w:tcPr>
            <w:tcW w:w="1560" w:type="dxa"/>
            <w:vAlign w:val="bottom"/>
            <w:tcBorders>
              <w:bottom w:val="single" w:sz="8" w:color="auto"/>
            </w:tcBorders>
            <w:shd w:val="clear" w:color="auto" w:fill="086FB8"/>
          </w:tcPr>
          <w:p>
            <w:pPr>
              <w:jc w:val="center"/>
              <w:ind w:right="149"/>
              <w:spacing w:after="0"/>
              <w:rPr>
                <w:sz w:val="20"/>
                <w:szCs w:val="20"/>
                <w:color w:val="auto"/>
              </w:rPr>
            </w:pPr>
            <w:r>
              <w:rPr>
                <w:rFonts w:ascii="Arial" w:cs="Arial" w:eastAsia="Arial" w:hAnsi="Arial"/>
                <w:sz w:val="14"/>
                <w:szCs w:val="14"/>
                <w:b w:val="1"/>
                <w:bCs w:val="1"/>
                <w:color w:val="FFFFFF"/>
                <w:w w:val="99"/>
              </w:rPr>
              <w:t>($)(2)</w:t>
            </w:r>
          </w:p>
        </w:tc>
        <w:tc>
          <w:tcPr>
            <w:tcW w:w="1440" w:type="dxa"/>
            <w:vAlign w:val="bottom"/>
            <w:tcBorders>
              <w:bottom w:val="single" w:sz="8" w:color="auto"/>
            </w:tcBorders>
            <w:shd w:val="clear" w:color="auto" w:fill="086FB8"/>
          </w:tcPr>
          <w:p>
            <w:pPr>
              <w:jc w:val="right"/>
              <w:ind w:right="669"/>
              <w:spacing w:after="0"/>
              <w:rPr>
                <w:sz w:val="20"/>
                <w:szCs w:val="20"/>
                <w:color w:val="auto"/>
              </w:rPr>
            </w:pPr>
            <w:r>
              <w:rPr>
                <w:rFonts w:ascii="Arial" w:cs="Arial" w:eastAsia="Arial" w:hAnsi="Arial"/>
                <w:sz w:val="14"/>
                <w:szCs w:val="14"/>
                <w:b w:val="1"/>
                <w:bCs w:val="1"/>
                <w:color w:val="FFFFFF"/>
              </w:rPr>
              <w:t>($)</w:t>
            </w:r>
          </w:p>
        </w:tc>
        <w:tc>
          <w:tcPr>
            <w:tcW w:w="1540" w:type="dxa"/>
            <w:vAlign w:val="bottom"/>
            <w:tcBorders>
              <w:bottom w:val="single" w:sz="8" w:color="auto"/>
            </w:tcBorders>
            <w:shd w:val="clear" w:color="auto" w:fill="086FB8"/>
          </w:tcPr>
          <w:p>
            <w:pPr>
              <w:jc w:val="center"/>
              <w:ind w:right="69"/>
              <w:spacing w:after="0"/>
              <w:rPr>
                <w:sz w:val="20"/>
                <w:szCs w:val="20"/>
                <w:color w:val="auto"/>
              </w:rPr>
            </w:pPr>
            <w:r>
              <w:rPr>
                <w:rFonts w:ascii="Arial" w:cs="Arial" w:eastAsia="Arial" w:hAnsi="Arial"/>
                <w:sz w:val="14"/>
                <w:szCs w:val="14"/>
                <w:b w:val="1"/>
                <w:bCs w:val="1"/>
                <w:color w:val="FFFFFF"/>
                <w:w w:val="93"/>
              </w:rPr>
              <w:t>($)</w:t>
            </w:r>
          </w:p>
        </w:tc>
        <w:tc>
          <w:tcPr>
            <w:tcW w:w="1460" w:type="dxa"/>
            <w:vAlign w:val="bottom"/>
            <w:tcBorders>
              <w:bottom w:val="single" w:sz="8" w:color="auto"/>
              <w:right w:val="single" w:sz="8" w:color="auto"/>
            </w:tcBorders>
            <w:shd w:val="clear" w:color="auto" w:fill="086FB8"/>
          </w:tcPr>
          <w:p>
            <w:pPr>
              <w:jc w:val="right"/>
              <w:ind w:right="529"/>
              <w:spacing w:after="0"/>
              <w:rPr>
                <w:sz w:val="20"/>
                <w:szCs w:val="20"/>
                <w:color w:val="auto"/>
              </w:rPr>
            </w:pPr>
            <w:r>
              <w:rPr>
                <w:rFonts w:ascii="Arial" w:cs="Arial" w:eastAsia="Arial" w:hAnsi="Arial"/>
                <w:sz w:val="14"/>
                <w:szCs w:val="14"/>
                <w:b w:val="1"/>
                <w:bCs w:val="1"/>
                <w:color w:val="FFFFFF"/>
              </w:rPr>
              <w:t>($)(3)</w:t>
            </w:r>
          </w:p>
        </w:tc>
        <w:tc>
          <w:tcPr>
            <w:tcW w:w="0" w:type="dxa"/>
            <w:vAlign w:val="bottom"/>
          </w:tcPr>
          <w:p>
            <w:pPr>
              <w:spacing w:after="0"/>
              <w:rPr>
                <w:sz w:val="1"/>
                <w:szCs w:val="1"/>
                <w:color w:val="auto"/>
              </w:rPr>
            </w:pPr>
          </w:p>
        </w:tc>
      </w:tr>
      <w:tr>
        <w:trPr>
          <w:trHeight w:val="149"/>
        </w:trPr>
        <w:tc>
          <w:tcPr>
            <w:tcW w:w="2600" w:type="dxa"/>
            <w:vAlign w:val="bottom"/>
            <w:tcBorders>
              <w:left w:val="single" w:sz="8" w:color="auto"/>
            </w:tcBorders>
          </w:tcPr>
          <w:p>
            <w:pPr>
              <w:ind w:left="140"/>
              <w:spacing w:after="0" w:line="149" w:lineRule="exact"/>
              <w:rPr>
                <w:sz w:val="20"/>
                <w:szCs w:val="20"/>
                <w:color w:val="auto"/>
              </w:rPr>
            </w:pPr>
            <w:r>
              <w:rPr>
                <w:rFonts w:ascii="Arial" w:cs="Arial" w:eastAsia="Arial" w:hAnsi="Arial"/>
                <w:sz w:val="14"/>
                <w:szCs w:val="14"/>
                <w:color w:val="auto"/>
              </w:rPr>
              <w:t>Peter S. Ho</w:t>
            </w:r>
          </w:p>
        </w:tc>
        <w:tc>
          <w:tcPr>
            <w:tcW w:w="264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1560" w:type="dxa"/>
            <w:vAlign w:val="bottom"/>
          </w:tcPr>
          <w:p>
            <w:pPr>
              <w:jc w:val="right"/>
              <w:ind w:right="189"/>
              <w:spacing w:after="0" w:line="149" w:lineRule="exact"/>
              <w:rPr>
                <w:sz w:val="20"/>
                <w:szCs w:val="20"/>
                <w:color w:val="auto"/>
              </w:rPr>
            </w:pPr>
            <w:r>
              <w:rPr>
                <w:rFonts w:ascii="Arial" w:cs="Arial" w:eastAsia="Arial" w:hAnsi="Arial"/>
                <w:sz w:val="14"/>
                <w:szCs w:val="14"/>
                <w:color w:val="auto"/>
              </w:rPr>
              <w:t>76,894</w:t>
            </w:r>
          </w:p>
        </w:tc>
        <w:tc>
          <w:tcPr>
            <w:tcW w:w="144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25,588</w:t>
            </w:r>
          </w:p>
        </w:tc>
        <w:tc>
          <w:tcPr>
            <w:tcW w:w="154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1460" w:type="dxa"/>
            <w:vAlign w:val="bottom"/>
            <w:tcBorders>
              <w:right w:val="single" w:sz="8" w:color="auto"/>
            </w:tcBorders>
          </w:tcPr>
          <w:p>
            <w:pPr>
              <w:jc w:val="right"/>
              <w:ind w:right="69"/>
              <w:spacing w:after="0" w:line="149" w:lineRule="exact"/>
              <w:rPr>
                <w:sz w:val="20"/>
                <w:szCs w:val="20"/>
                <w:color w:val="auto"/>
              </w:rPr>
            </w:pPr>
            <w:r>
              <w:rPr>
                <w:rFonts w:ascii="Arial" w:cs="Arial" w:eastAsia="Arial" w:hAnsi="Arial"/>
                <w:sz w:val="14"/>
                <w:szCs w:val="14"/>
                <w:color w:val="auto"/>
              </w:rPr>
              <w:t>2,655,334</w:t>
            </w:r>
          </w:p>
        </w:tc>
        <w:tc>
          <w:tcPr>
            <w:tcW w:w="0" w:type="dxa"/>
            <w:vAlign w:val="bottom"/>
          </w:tcPr>
          <w:p>
            <w:pPr>
              <w:spacing w:after="0"/>
              <w:rPr>
                <w:sz w:val="1"/>
                <w:szCs w:val="1"/>
                <w:color w:val="auto"/>
              </w:rPr>
            </w:pPr>
          </w:p>
        </w:tc>
      </w:tr>
      <w:tr>
        <w:trPr>
          <w:trHeight w:val="160"/>
        </w:trPr>
        <w:tc>
          <w:tcPr>
            <w:tcW w:w="260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Dean Y. Shigemura</w:t>
            </w:r>
          </w:p>
        </w:tc>
        <w:tc>
          <w:tcPr>
            <w:tcW w:w="2640" w:type="dxa"/>
            <w:vAlign w:val="bottom"/>
          </w:tcPr>
          <w:p>
            <w:pPr>
              <w:jc w:val="right"/>
              <w:ind w:right="149"/>
              <w:spacing w:after="0"/>
              <w:rPr>
                <w:sz w:val="20"/>
                <w:szCs w:val="20"/>
                <w:color w:val="auto"/>
              </w:rPr>
            </w:pPr>
            <w:r>
              <w:rPr>
                <w:rFonts w:ascii="Arial" w:cs="Arial" w:eastAsia="Arial" w:hAnsi="Arial"/>
                <w:sz w:val="14"/>
                <w:szCs w:val="14"/>
                <w:color w:val="auto"/>
              </w:rPr>
              <w:t>273,785</w:t>
            </w:r>
          </w:p>
        </w:tc>
        <w:tc>
          <w:tcPr>
            <w:tcW w:w="1560" w:type="dxa"/>
            <w:vAlign w:val="bottom"/>
          </w:tcPr>
          <w:p>
            <w:pPr>
              <w:jc w:val="right"/>
              <w:ind w:right="189"/>
              <w:spacing w:after="0"/>
              <w:rPr>
                <w:sz w:val="20"/>
                <w:szCs w:val="20"/>
                <w:color w:val="auto"/>
              </w:rPr>
            </w:pPr>
            <w:r>
              <w:rPr>
                <w:rFonts w:ascii="Arial" w:cs="Arial" w:eastAsia="Arial" w:hAnsi="Arial"/>
                <w:sz w:val="14"/>
                <w:szCs w:val="14"/>
                <w:color w:val="auto"/>
              </w:rPr>
              <w:t>22,155</w:t>
            </w:r>
          </w:p>
        </w:tc>
        <w:tc>
          <w:tcPr>
            <w:tcW w:w="1440" w:type="dxa"/>
            <w:vAlign w:val="bottom"/>
          </w:tcPr>
          <w:p>
            <w:pPr>
              <w:jc w:val="right"/>
              <w:ind w:right="129"/>
              <w:spacing w:after="0"/>
              <w:rPr>
                <w:sz w:val="20"/>
                <w:szCs w:val="20"/>
                <w:color w:val="auto"/>
              </w:rPr>
            </w:pPr>
            <w:r>
              <w:rPr>
                <w:rFonts w:ascii="Arial" w:cs="Arial" w:eastAsia="Arial" w:hAnsi="Arial"/>
                <w:sz w:val="14"/>
                <w:szCs w:val="14"/>
                <w:color w:val="auto"/>
              </w:rPr>
              <w:t>366,593</w:t>
            </w:r>
          </w:p>
        </w:tc>
        <w:tc>
          <w:tcPr>
            <w:tcW w:w="15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460" w:type="dxa"/>
            <w:vAlign w:val="bottom"/>
            <w:tcBorders>
              <w:right w:val="single" w:sz="8" w:color="auto"/>
            </w:tcBorders>
          </w:tcPr>
          <w:p>
            <w:pPr>
              <w:jc w:val="right"/>
              <w:ind w:right="69"/>
              <w:spacing w:after="0"/>
              <w:rPr>
                <w:sz w:val="20"/>
                <w:szCs w:val="20"/>
                <w:color w:val="auto"/>
              </w:rPr>
            </w:pPr>
            <w:r>
              <w:rPr>
                <w:rFonts w:ascii="Arial" w:cs="Arial" w:eastAsia="Arial" w:hAnsi="Arial"/>
                <w:sz w:val="14"/>
                <w:szCs w:val="14"/>
                <w:color w:val="auto"/>
              </w:rPr>
              <w:t>4,171,928</w:t>
            </w:r>
          </w:p>
        </w:tc>
        <w:tc>
          <w:tcPr>
            <w:tcW w:w="0" w:type="dxa"/>
            <w:vAlign w:val="bottom"/>
          </w:tcPr>
          <w:p>
            <w:pPr>
              <w:spacing w:after="0"/>
              <w:rPr>
                <w:sz w:val="1"/>
                <w:szCs w:val="1"/>
                <w:color w:val="auto"/>
              </w:rPr>
            </w:pPr>
          </w:p>
        </w:tc>
      </w:tr>
      <w:tr>
        <w:trPr>
          <w:trHeight w:val="160"/>
        </w:trPr>
        <w:tc>
          <w:tcPr>
            <w:tcW w:w="260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Sharon M. Crofts</w:t>
            </w:r>
          </w:p>
        </w:tc>
        <w:tc>
          <w:tcPr>
            <w:tcW w:w="2640" w:type="dxa"/>
            <w:vAlign w:val="bottom"/>
          </w:tcPr>
          <w:p>
            <w:pPr>
              <w:jc w:val="right"/>
              <w:ind w:right="149"/>
              <w:spacing w:after="0"/>
              <w:rPr>
                <w:sz w:val="20"/>
                <w:szCs w:val="20"/>
                <w:color w:val="auto"/>
              </w:rPr>
            </w:pPr>
            <w:r>
              <w:rPr>
                <w:rFonts w:ascii="Arial" w:cs="Arial" w:eastAsia="Arial" w:hAnsi="Arial"/>
                <w:sz w:val="14"/>
                <w:szCs w:val="14"/>
                <w:color w:val="auto"/>
              </w:rPr>
              <w:t>124,200</w:t>
            </w:r>
          </w:p>
        </w:tc>
        <w:tc>
          <w:tcPr>
            <w:tcW w:w="1560" w:type="dxa"/>
            <w:vAlign w:val="bottom"/>
          </w:tcPr>
          <w:p>
            <w:pPr>
              <w:jc w:val="right"/>
              <w:ind w:right="189"/>
              <w:spacing w:after="0"/>
              <w:rPr>
                <w:sz w:val="20"/>
                <w:szCs w:val="20"/>
                <w:color w:val="auto"/>
              </w:rPr>
            </w:pPr>
            <w:r>
              <w:rPr>
                <w:rFonts w:ascii="Arial" w:cs="Arial" w:eastAsia="Arial" w:hAnsi="Arial"/>
                <w:sz w:val="14"/>
                <w:szCs w:val="14"/>
                <w:color w:val="auto"/>
              </w:rPr>
              <w:t>21,120</w:t>
            </w:r>
          </w:p>
        </w:tc>
        <w:tc>
          <w:tcPr>
            <w:tcW w:w="1440" w:type="dxa"/>
            <w:vAlign w:val="bottom"/>
          </w:tcPr>
          <w:p>
            <w:pPr>
              <w:jc w:val="right"/>
              <w:ind w:right="129"/>
              <w:spacing w:after="0"/>
              <w:rPr>
                <w:sz w:val="20"/>
                <w:szCs w:val="20"/>
                <w:color w:val="auto"/>
              </w:rPr>
            </w:pPr>
            <w:r>
              <w:rPr>
                <w:rFonts w:ascii="Arial" w:cs="Arial" w:eastAsia="Arial" w:hAnsi="Arial"/>
                <w:sz w:val="14"/>
                <w:szCs w:val="14"/>
                <w:color w:val="auto"/>
              </w:rPr>
              <w:t>278,622</w:t>
            </w:r>
          </w:p>
        </w:tc>
        <w:tc>
          <w:tcPr>
            <w:tcW w:w="15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460" w:type="dxa"/>
            <w:vAlign w:val="bottom"/>
            <w:tcBorders>
              <w:right w:val="single" w:sz="8" w:color="auto"/>
            </w:tcBorders>
          </w:tcPr>
          <w:p>
            <w:pPr>
              <w:jc w:val="right"/>
              <w:ind w:right="69"/>
              <w:spacing w:after="0"/>
              <w:rPr>
                <w:sz w:val="20"/>
                <w:szCs w:val="20"/>
                <w:color w:val="auto"/>
              </w:rPr>
            </w:pPr>
            <w:r>
              <w:rPr>
                <w:rFonts w:ascii="Arial" w:cs="Arial" w:eastAsia="Arial" w:hAnsi="Arial"/>
                <w:sz w:val="14"/>
                <w:szCs w:val="14"/>
                <w:color w:val="auto"/>
              </w:rPr>
              <w:t>2,497,822</w:t>
            </w:r>
          </w:p>
        </w:tc>
        <w:tc>
          <w:tcPr>
            <w:tcW w:w="0" w:type="dxa"/>
            <w:vAlign w:val="bottom"/>
          </w:tcPr>
          <w:p>
            <w:pPr>
              <w:spacing w:after="0"/>
              <w:rPr>
                <w:sz w:val="1"/>
                <w:szCs w:val="1"/>
                <w:color w:val="auto"/>
              </w:rPr>
            </w:pPr>
          </w:p>
        </w:tc>
      </w:tr>
      <w:tr>
        <w:trPr>
          <w:trHeight w:val="160"/>
        </w:trPr>
        <w:tc>
          <w:tcPr>
            <w:tcW w:w="260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James C. Polk</w:t>
            </w:r>
          </w:p>
        </w:tc>
        <w:tc>
          <w:tcPr>
            <w:tcW w:w="2640" w:type="dxa"/>
            <w:vAlign w:val="bottom"/>
          </w:tcPr>
          <w:p>
            <w:pPr>
              <w:jc w:val="right"/>
              <w:ind w:right="149"/>
              <w:spacing w:after="0"/>
              <w:rPr>
                <w:sz w:val="20"/>
                <w:szCs w:val="20"/>
                <w:color w:val="auto"/>
              </w:rPr>
            </w:pPr>
            <w:r>
              <w:rPr>
                <w:rFonts w:ascii="Arial" w:cs="Arial" w:eastAsia="Arial" w:hAnsi="Arial"/>
                <w:sz w:val="14"/>
                <w:szCs w:val="14"/>
                <w:color w:val="auto"/>
              </w:rPr>
              <w:t>232,026</w:t>
            </w:r>
          </w:p>
        </w:tc>
        <w:tc>
          <w:tcPr>
            <w:tcW w:w="1560" w:type="dxa"/>
            <w:vAlign w:val="bottom"/>
          </w:tcPr>
          <w:p>
            <w:pPr>
              <w:jc w:val="right"/>
              <w:ind w:right="189"/>
              <w:spacing w:after="0"/>
              <w:rPr>
                <w:sz w:val="20"/>
                <w:szCs w:val="20"/>
                <w:color w:val="auto"/>
              </w:rPr>
            </w:pPr>
            <w:r>
              <w:rPr>
                <w:rFonts w:ascii="Arial" w:cs="Arial" w:eastAsia="Arial" w:hAnsi="Arial"/>
                <w:sz w:val="14"/>
                <w:szCs w:val="14"/>
                <w:color w:val="auto"/>
              </w:rPr>
              <w:t>21,120</w:t>
            </w:r>
          </w:p>
        </w:tc>
        <w:tc>
          <w:tcPr>
            <w:tcW w:w="1440" w:type="dxa"/>
            <w:vAlign w:val="bottom"/>
          </w:tcPr>
          <w:p>
            <w:pPr>
              <w:jc w:val="right"/>
              <w:ind w:right="129"/>
              <w:spacing w:after="0"/>
              <w:rPr>
                <w:sz w:val="20"/>
                <w:szCs w:val="20"/>
                <w:color w:val="auto"/>
              </w:rPr>
            </w:pPr>
            <w:r>
              <w:rPr>
                <w:rFonts w:ascii="Arial" w:cs="Arial" w:eastAsia="Arial" w:hAnsi="Arial"/>
                <w:sz w:val="14"/>
                <w:szCs w:val="14"/>
                <w:color w:val="auto"/>
              </w:rPr>
              <w:t>1,525</w:t>
            </w:r>
          </w:p>
        </w:tc>
        <w:tc>
          <w:tcPr>
            <w:tcW w:w="1540" w:type="dxa"/>
            <w:vAlign w:val="bottom"/>
          </w:tcPr>
          <w:p>
            <w:pPr>
              <w:jc w:val="right"/>
              <w:ind w:right="149"/>
              <w:spacing w:after="0"/>
              <w:rPr>
                <w:sz w:val="20"/>
                <w:szCs w:val="20"/>
                <w:color w:val="auto"/>
              </w:rPr>
            </w:pPr>
            <w:r>
              <w:rPr>
                <w:rFonts w:ascii="Arial" w:cs="Arial" w:eastAsia="Arial" w:hAnsi="Arial"/>
                <w:sz w:val="14"/>
                <w:szCs w:val="14"/>
                <w:color w:val="auto"/>
              </w:rPr>
              <w:t>102,986</w:t>
            </w:r>
          </w:p>
        </w:tc>
        <w:tc>
          <w:tcPr>
            <w:tcW w:w="1460" w:type="dxa"/>
            <w:vAlign w:val="bottom"/>
            <w:tcBorders>
              <w:right w:val="single" w:sz="8" w:color="auto"/>
            </w:tcBorders>
          </w:tcPr>
          <w:p>
            <w:pPr>
              <w:jc w:val="right"/>
              <w:ind w:right="69"/>
              <w:spacing w:after="0"/>
              <w:rPr>
                <w:sz w:val="20"/>
                <w:szCs w:val="20"/>
                <w:color w:val="auto"/>
              </w:rPr>
            </w:pPr>
            <w:r>
              <w:rPr>
                <w:rFonts w:ascii="Arial" w:cs="Arial" w:eastAsia="Arial" w:hAnsi="Arial"/>
                <w:sz w:val="14"/>
                <w:szCs w:val="14"/>
                <w:color w:val="auto"/>
              </w:rPr>
              <w:t>999,737</w:t>
            </w:r>
          </w:p>
        </w:tc>
        <w:tc>
          <w:tcPr>
            <w:tcW w:w="0" w:type="dxa"/>
            <w:vAlign w:val="bottom"/>
          </w:tcPr>
          <w:p>
            <w:pPr>
              <w:spacing w:after="0"/>
              <w:rPr>
                <w:sz w:val="1"/>
                <w:szCs w:val="1"/>
                <w:color w:val="auto"/>
              </w:rPr>
            </w:pPr>
          </w:p>
        </w:tc>
      </w:tr>
      <w:tr>
        <w:trPr>
          <w:trHeight w:val="166"/>
        </w:trPr>
        <w:tc>
          <w:tcPr>
            <w:tcW w:w="26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4"/>
                <w:szCs w:val="14"/>
                <w:color w:val="auto"/>
              </w:rPr>
              <w:t>Mary E. Sellers</w:t>
            </w:r>
          </w:p>
        </w:tc>
        <w:tc>
          <w:tcPr>
            <w:tcW w:w="26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22,215</w:t>
            </w:r>
          </w:p>
        </w:tc>
        <w:tc>
          <w:tcPr>
            <w:tcW w:w="14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165,375</w:t>
            </w:r>
          </w:p>
        </w:tc>
        <w:tc>
          <w:tcPr>
            <w:tcW w:w="15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69"/>
              <w:spacing w:after="0"/>
              <w:rPr>
                <w:sz w:val="20"/>
                <w:szCs w:val="20"/>
                <w:color w:val="auto"/>
              </w:rPr>
            </w:pPr>
            <w:r>
              <w:rPr>
                <w:rFonts w:ascii="Arial" w:cs="Arial" w:eastAsia="Arial" w:hAnsi="Arial"/>
                <w:sz w:val="14"/>
                <w:szCs w:val="14"/>
                <w:color w:val="auto"/>
              </w:rPr>
              <w:t>1,798,091</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400" w:right="180" w:hanging="393"/>
        <w:spacing w:after="0" w:line="273" w:lineRule="auto"/>
        <w:tabs>
          <w:tab w:leader="none" w:pos="400" w:val="left"/>
        </w:tabs>
        <w:numPr>
          <w:ilvl w:val="0"/>
          <w:numId w:val="82"/>
        </w:numPr>
        <w:rPr>
          <w:rFonts w:ascii="Arial" w:cs="Arial" w:eastAsia="Arial" w:hAnsi="Arial"/>
          <w:sz w:val="13"/>
          <w:szCs w:val="13"/>
          <w:color w:val="auto"/>
        </w:rPr>
      </w:pPr>
      <w:r>
        <w:rPr>
          <w:rFonts w:ascii="Arial" w:cs="Arial" w:eastAsia="Arial" w:hAnsi="Arial"/>
          <w:sz w:val="12"/>
          <w:szCs w:val="12"/>
          <w:color w:val="auto"/>
        </w:rPr>
        <w:t>During 2021, Messrs. Shigemura, and Polk, deferred $94,385 and $138,876, respectively under the Base Salary Deferral Plan, and deferred $179,400 and $93,150, respectively, under the Executive Incentive Plan. During 2021, Ms. Crofts contributed $124,200 under the Executive Incentive Plan. The table below shows the Vanguard funds deemed available for selection by participants under the Deferred Compensation Program and their annual rate of return for the calendar year ended December 31, 2021, as reported by the administrator of the Deferred Compensation Program.</w:t>
      </w:r>
    </w:p>
    <w:p>
      <w:pPr>
        <w:spacing w:after="0" w:line="176" w:lineRule="exact"/>
        <w:rPr>
          <w:sz w:val="20"/>
          <w:szCs w:val="20"/>
          <w:color w:val="auto"/>
        </w:rPr>
      </w:pPr>
    </w:p>
    <w:tbl>
      <w:tblPr>
        <w:tblLayout w:type="fixed"/>
        <w:tblInd w:w="570" w:type="dxa"/>
        <w:tblCellMar>
          <w:top w:w="0" w:type="dxa"/>
          <w:left w:w="0" w:type="dxa"/>
          <w:bottom w:w="0" w:type="dxa"/>
          <w:right w:w="0" w:type="dxa"/>
        </w:tblCellMar>
      </w:tblPr>
      <w:tr>
        <w:trPr>
          <w:trHeight w:val="160"/>
        </w:trPr>
        <w:tc>
          <w:tcPr>
            <w:tcW w:w="3120" w:type="dxa"/>
            <w:vAlign w:val="bottom"/>
            <w:tcBorders>
              <w:top w:val="single" w:sz="8" w:color="auto"/>
              <w:left w:val="single" w:sz="8" w:color="auto"/>
              <w:bottom w:val="single" w:sz="8" w:color="auto"/>
            </w:tcBorders>
            <w:shd w:val="clear" w:color="auto" w:fill="086FB8"/>
          </w:tcPr>
          <w:p>
            <w:pPr>
              <w:ind w:left="140"/>
              <w:spacing w:after="0"/>
              <w:rPr>
                <w:sz w:val="20"/>
                <w:szCs w:val="20"/>
                <w:color w:val="auto"/>
              </w:rPr>
            </w:pPr>
            <w:r>
              <w:rPr>
                <w:rFonts w:ascii="Arial" w:cs="Arial" w:eastAsia="Arial" w:hAnsi="Arial"/>
                <w:sz w:val="12"/>
                <w:szCs w:val="12"/>
                <w:b w:val="1"/>
                <w:bCs w:val="1"/>
                <w:color w:val="FFFFFF"/>
              </w:rPr>
              <w:t>Name of Fund</w:t>
            </w:r>
          </w:p>
        </w:tc>
        <w:tc>
          <w:tcPr>
            <w:tcW w:w="1860" w:type="dxa"/>
            <w:vAlign w:val="bottom"/>
            <w:tcBorders>
              <w:top w:val="single" w:sz="8" w:color="auto"/>
              <w:bottom w:val="single" w:sz="8" w:color="auto"/>
            </w:tcBorders>
            <w:shd w:val="clear" w:color="auto" w:fill="086FB8"/>
          </w:tcPr>
          <w:p>
            <w:pPr>
              <w:jc w:val="right"/>
              <w:ind w:right="498"/>
              <w:spacing w:after="0"/>
              <w:rPr>
                <w:sz w:val="20"/>
                <w:szCs w:val="20"/>
                <w:color w:val="auto"/>
              </w:rPr>
            </w:pPr>
            <w:r>
              <w:rPr>
                <w:rFonts w:ascii="Arial" w:cs="Arial" w:eastAsia="Arial" w:hAnsi="Arial"/>
                <w:sz w:val="12"/>
                <w:szCs w:val="12"/>
                <w:b w:val="1"/>
                <w:bCs w:val="1"/>
                <w:color w:val="FFFFFF"/>
              </w:rPr>
              <w:t>Rate of Return</w:t>
            </w:r>
          </w:p>
        </w:tc>
        <w:tc>
          <w:tcPr>
            <w:tcW w:w="3080" w:type="dxa"/>
            <w:vAlign w:val="bottom"/>
            <w:tcBorders>
              <w:top w:val="single" w:sz="8" w:color="auto"/>
              <w:bottom w:val="single" w:sz="8" w:color="auto"/>
            </w:tcBorders>
            <w:shd w:val="clear" w:color="auto" w:fill="086FB8"/>
          </w:tcPr>
          <w:p>
            <w:pPr>
              <w:ind w:left="220"/>
              <w:spacing w:after="0"/>
              <w:rPr>
                <w:sz w:val="20"/>
                <w:szCs w:val="20"/>
                <w:color w:val="auto"/>
              </w:rPr>
            </w:pPr>
            <w:r>
              <w:rPr>
                <w:rFonts w:ascii="Arial" w:cs="Arial" w:eastAsia="Arial" w:hAnsi="Arial"/>
                <w:sz w:val="12"/>
                <w:szCs w:val="12"/>
                <w:b w:val="1"/>
                <w:bCs w:val="1"/>
                <w:color w:val="FFFFFF"/>
              </w:rPr>
              <w:t>Name of Fund</w:t>
            </w:r>
          </w:p>
        </w:tc>
        <w:tc>
          <w:tcPr>
            <w:tcW w:w="2060" w:type="dxa"/>
            <w:vAlign w:val="bottom"/>
            <w:tcBorders>
              <w:top w:val="single" w:sz="8" w:color="auto"/>
              <w:bottom w:val="single" w:sz="8" w:color="auto"/>
              <w:right w:val="single" w:sz="8" w:color="auto"/>
            </w:tcBorders>
            <w:shd w:val="clear" w:color="auto" w:fill="086FB8"/>
          </w:tcPr>
          <w:p>
            <w:pPr>
              <w:jc w:val="right"/>
              <w:ind w:right="438"/>
              <w:spacing w:after="0"/>
              <w:rPr>
                <w:sz w:val="20"/>
                <w:szCs w:val="20"/>
                <w:color w:val="auto"/>
              </w:rPr>
            </w:pPr>
            <w:r>
              <w:rPr>
                <w:rFonts w:ascii="Arial" w:cs="Arial" w:eastAsia="Arial" w:hAnsi="Arial"/>
                <w:sz w:val="12"/>
                <w:szCs w:val="12"/>
                <w:b w:val="1"/>
                <w:bCs w:val="1"/>
                <w:color w:val="FFFFFF"/>
              </w:rPr>
              <w:t>Rate of Return</w:t>
            </w:r>
          </w:p>
        </w:tc>
      </w:tr>
      <w:tr>
        <w:trPr>
          <w:trHeight w:val="140"/>
        </w:trPr>
        <w:tc>
          <w:tcPr>
            <w:tcW w:w="312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Vanguard 500 Index Inv</w:t>
            </w:r>
          </w:p>
        </w:tc>
        <w:tc>
          <w:tcPr>
            <w:tcW w:w="1860" w:type="dxa"/>
            <w:vAlign w:val="bottom"/>
          </w:tcPr>
          <w:p>
            <w:pPr>
              <w:jc w:val="right"/>
              <w:ind w:right="198"/>
              <w:spacing w:after="0"/>
              <w:rPr>
                <w:sz w:val="20"/>
                <w:szCs w:val="20"/>
                <w:color w:val="auto"/>
              </w:rPr>
            </w:pPr>
            <w:r>
              <w:rPr>
                <w:rFonts w:ascii="Arial" w:cs="Arial" w:eastAsia="Arial" w:hAnsi="Arial"/>
                <w:sz w:val="12"/>
                <w:szCs w:val="12"/>
                <w:color w:val="auto"/>
              </w:rPr>
              <w:t>28.54%</w:t>
            </w:r>
          </w:p>
        </w:tc>
        <w:tc>
          <w:tcPr>
            <w:tcW w:w="3080" w:type="dxa"/>
            <w:vAlign w:val="bottom"/>
          </w:tcPr>
          <w:p>
            <w:pPr>
              <w:ind w:left="220"/>
              <w:spacing w:after="0"/>
              <w:rPr>
                <w:sz w:val="20"/>
                <w:szCs w:val="20"/>
                <w:color w:val="auto"/>
              </w:rPr>
            </w:pPr>
            <w:r>
              <w:rPr>
                <w:rFonts w:ascii="Arial" w:cs="Arial" w:eastAsia="Arial" w:hAnsi="Arial"/>
                <w:sz w:val="12"/>
                <w:szCs w:val="12"/>
                <w:color w:val="auto"/>
              </w:rPr>
              <w:t>Vanguard Target Retirement 2030 Fund</w:t>
            </w:r>
          </w:p>
        </w:tc>
        <w:tc>
          <w:tcPr>
            <w:tcW w:w="2060" w:type="dxa"/>
            <w:vAlign w:val="bottom"/>
            <w:tcBorders>
              <w:right w:val="single" w:sz="8" w:color="auto"/>
            </w:tcBorders>
          </w:tcPr>
          <w:p>
            <w:pPr>
              <w:jc w:val="right"/>
              <w:ind w:right="138"/>
              <w:spacing w:after="0"/>
              <w:rPr>
                <w:sz w:val="20"/>
                <w:szCs w:val="20"/>
                <w:color w:val="auto"/>
              </w:rPr>
            </w:pPr>
            <w:r>
              <w:rPr>
                <w:rFonts w:ascii="Arial" w:cs="Arial" w:eastAsia="Arial" w:hAnsi="Arial"/>
                <w:sz w:val="12"/>
                <w:szCs w:val="12"/>
                <w:color w:val="auto"/>
              </w:rPr>
              <w:t>11.38%</w:t>
            </w:r>
          </w:p>
        </w:tc>
      </w:tr>
      <w:tr>
        <w:trPr>
          <w:trHeight w:val="147"/>
        </w:trPr>
        <w:tc>
          <w:tcPr>
            <w:tcW w:w="312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Vanguard Emerging Markets Stock Index</w:t>
            </w:r>
          </w:p>
        </w:tc>
        <w:tc>
          <w:tcPr>
            <w:tcW w:w="1860" w:type="dxa"/>
            <w:vAlign w:val="bottom"/>
          </w:tcPr>
          <w:p>
            <w:pPr>
              <w:jc w:val="right"/>
              <w:ind w:right="198"/>
              <w:spacing w:after="0"/>
              <w:rPr>
                <w:sz w:val="20"/>
                <w:szCs w:val="20"/>
                <w:color w:val="auto"/>
              </w:rPr>
            </w:pPr>
            <w:r>
              <w:rPr>
                <w:rFonts w:ascii="Arial" w:cs="Arial" w:eastAsia="Arial" w:hAnsi="Arial"/>
                <w:sz w:val="12"/>
                <w:szCs w:val="12"/>
                <w:color w:val="auto"/>
              </w:rPr>
              <w:t>0.73%</w:t>
            </w:r>
          </w:p>
        </w:tc>
        <w:tc>
          <w:tcPr>
            <w:tcW w:w="3080" w:type="dxa"/>
            <w:vAlign w:val="bottom"/>
          </w:tcPr>
          <w:p>
            <w:pPr>
              <w:ind w:left="220"/>
              <w:spacing w:after="0"/>
              <w:rPr>
                <w:sz w:val="20"/>
                <w:szCs w:val="20"/>
                <w:color w:val="auto"/>
              </w:rPr>
            </w:pPr>
            <w:r>
              <w:rPr>
                <w:rFonts w:ascii="Arial" w:cs="Arial" w:eastAsia="Arial" w:hAnsi="Arial"/>
                <w:sz w:val="12"/>
                <w:szCs w:val="12"/>
                <w:color w:val="auto"/>
              </w:rPr>
              <w:t>Vanguard Target Retirement 2035 Fund</w:t>
            </w:r>
          </w:p>
        </w:tc>
        <w:tc>
          <w:tcPr>
            <w:tcW w:w="2060" w:type="dxa"/>
            <w:vAlign w:val="bottom"/>
            <w:tcBorders>
              <w:right w:val="single" w:sz="8" w:color="auto"/>
            </w:tcBorders>
          </w:tcPr>
          <w:p>
            <w:pPr>
              <w:jc w:val="right"/>
              <w:ind w:right="138"/>
              <w:spacing w:after="0"/>
              <w:rPr>
                <w:sz w:val="20"/>
                <w:szCs w:val="20"/>
                <w:color w:val="auto"/>
              </w:rPr>
            </w:pPr>
            <w:r>
              <w:rPr>
                <w:rFonts w:ascii="Arial" w:cs="Arial" w:eastAsia="Arial" w:hAnsi="Arial"/>
                <w:sz w:val="12"/>
                <w:szCs w:val="12"/>
                <w:color w:val="auto"/>
              </w:rPr>
              <w:t>12.96%</w:t>
            </w:r>
          </w:p>
        </w:tc>
      </w:tr>
      <w:tr>
        <w:trPr>
          <w:trHeight w:val="147"/>
        </w:trPr>
        <w:tc>
          <w:tcPr>
            <w:tcW w:w="312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Vanguard Explorer Inv</w:t>
            </w:r>
          </w:p>
        </w:tc>
        <w:tc>
          <w:tcPr>
            <w:tcW w:w="1860" w:type="dxa"/>
            <w:vAlign w:val="bottom"/>
          </w:tcPr>
          <w:p>
            <w:pPr>
              <w:jc w:val="right"/>
              <w:ind w:right="198"/>
              <w:spacing w:after="0"/>
              <w:rPr>
                <w:sz w:val="20"/>
                <w:szCs w:val="20"/>
                <w:color w:val="auto"/>
              </w:rPr>
            </w:pPr>
            <w:r>
              <w:rPr>
                <w:rFonts w:ascii="Arial" w:cs="Arial" w:eastAsia="Arial" w:hAnsi="Arial"/>
                <w:sz w:val="12"/>
                <w:szCs w:val="12"/>
                <w:color w:val="auto"/>
              </w:rPr>
              <w:t>16.26%</w:t>
            </w:r>
          </w:p>
        </w:tc>
        <w:tc>
          <w:tcPr>
            <w:tcW w:w="3080" w:type="dxa"/>
            <w:vAlign w:val="bottom"/>
          </w:tcPr>
          <w:p>
            <w:pPr>
              <w:ind w:left="220"/>
              <w:spacing w:after="0"/>
              <w:rPr>
                <w:sz w:val="20"/>
                <w:szCs w:val="20"/>
                <w:color w:val="auto"/>
              </w:rPr>
            </w:pPr>
            <w:r>
              <w:rPr>
                <w:rFonts w:ascii="Arial" w:cs="Arial" w:eastAsia="Arial" w:hAnsi="Arial"/>
                <w:sz w:val="12"/>
                <w:szCs w:val="12"/>
                <w:color w:val="auto"/>
              </w:rPr>
              <w:t>Vanguard Target Retirement 2040 Fund</w:t>
            </w:r>
          </w:p>
        </w:tc>
        <w:tc>
          <w:tcPr>
            <w:tcW w:w="2060" w:type="dxa"/>
            <w:vAlign w:val="bottom"/>
            <w:tcBorders>
              <w:right w:val="single" w:sz="8" w:color="auto"/>
            </w:tcBorders>
          </w:tcPr>
          <w:p>
            <w:pPr>
              <w:jc w:val="right"/>
              <w:ind w:right="138"/>
              <w:spacing w:after="0"/>
              <w:rPr>
                <w:sz w:val="20"/>
                <w:szCs w:val="20"/>
                <w:color w:val="auto"/>
              </w:rPr>
            </w:pPr>
            <w:r>
              <w:rPr>
                <w:rFonts w:ascii="Arial" w:cs="Arial" w:eastAsia="Arial" w:hAnsi="Arial"/>
                <w:sz w:val="12"/>
                <w:szCs w:val="12"/>
                <w:color w:val="auto"/>
              </w:rPr>
              <w:t>14.56%</w:t>
            </w:r>
          </w:p>
        </w:tc>
      </w:tr>
      <w:tr>
        <w:trPr>
          <w:trHeight w:val="147"/>
        </w:trPr>
        <w:tc>
          <w:tcPr>
            <w:tcW w:w="312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Vanguard Federal Money Market Investor</w:t>
            </w:r>
          </w:p>
        </w:tc>
        <w:tc>
          <w:tcPr>
            <w:tcW w:w="1860" w:type="dxa"/>
            <w:vAlign w:val="bottom"/>
          </w:tcPr>
          <w:p>
            <w:pPr>
              <w:jc w:val="right"/>
              <w:ind w:right="198"/>
              <w:spacing w:after="0"/>
              <w:rPr>
                <w:sz w:val="20"/>
                <w:szCs w:val="20"/>
                <w:color w:val="auto"/>
              </w:rPr>
            </w:pPr>
            <w:r>
              <w:rPr>
                <w:rFonts w:ascii="Arial" w:cs="Arial" w:eastAsia="Arial" w:hAnsi="Arial"/>
                <w:sz w:val="12"/>
                <w:szCs w:val="12"/>
                <w:color w:val="auto"/>
              </w:rPr>
              <w:t>0.01%</w:t>
            </w:r>
          </w:p>
        </w:tc>
        <w:tc>
          <w:tcPr>
            <w:tcW w:w="3080" w:type="dxa"/>
            <w:vAlign w:val="bottom"/>
          </w:tcPr>
          <w:p>
            <w:pPr>
              <w:ind w:left="220"/>
              <w:spacing w:after="0"/>
              <w:rPr>
                <w:sz w:val="20"/>
                <w:szCs w:val="20"/>
                <w:color w:val="auto"/>
              </w:rPr>
            </w:pPr>
            <w:r>
              <w:rPr>
                <w:rFonts w:ascii="Arial" w:cs="Arial" w:eastAsia="Arial" w:hAnsi="Arial"/>
                <w:sz w:val="12"/>
                <w:szCs w:val="12"/>
                <w:color w:val="auto"/>
              </w:rPr>
              <w:t>Vanguard Target Retirement 2045 Fund</w:t>
            </w:r>
          </w:p>
        </w:tc>
        <w:tc>
          <w:tcPr>
            <w:tcW w:w="2060" w:type="dxa"/>
            <w:vAlign w:val="bottom"/>
            <w:tcBorders>
              <w:right w:val="single" w:sz="8" w:color="auto"/>
            </w:tcBorders>
          </w:tcPr>
          <w:p>
            <w:pPr>
              <w:jc w:val="right"/>
              <w:ind w:right="138"/>
              <w:spacing w:after="0"/>
              <w:rPr>
                <w:sz w:val="20"/>
                <w:szCs w:val="20"/>
                <w:color w:val="auto"/>
              </w:rPr>
            </w:pPr>
            <w:r>
              <w:rPr>
                <w:rFonts w:ascii="Arial" w:cs="Arial" w:eastAsia="Arial" w:hAnsi="Arial"/>
                <w:sz w:val="12"/>
                <w:szCs w:val="12"/>
                <w:color w:val="auto"/>
              </w:rPr>
              <w:t>16.16%</w:t>
            </w:r>
          </w:p>
        </w:tc>
      </w:tr>
      <w:tr>
        <w:trPr>
          <w:trHeight w:val="147"/>
        </w:trPr>
        <w:tc>
          <w:tcPr>
            <w:tcW w:w="312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Vanguard High-Yield Corporate Inv</w:t>
            </w:r>
          </w:p>
        </w:tc>
        <w:tc>
          <w:tcPr>
            <w:tcW w:w="1860" w:type="dxa"/>
            <w:vAlign w:val="bottom"/>
          </w:tcPr>
          <w:p>
            <w:pPr>
              <w:jc w:val="right"/>
              <w:ind w:right="198"/>
              <w:spacing w:after="0"/>
              <w:rPr>
                <w:sz w:val="20"/>
                <w:szCs w:val="20"/>
                <w:color w:val="auto"/>
              </w:rPr>
            </w:pPr>
            <w:r>
              <w:rPr>
                <w:rFonts w:ascii="Arial" w:cs="Arial" w:eastAsia="Arial" w:hAnsi="Arial"/>
                <w:sz w:val="12"/>
                <w:szCs w:val="12"/>
                <w:color w:val="auto"/>
              </w:rPr>
              <w:t>3.68%</w:t>
            </w:r>
          </w:p>
        </w:tc>
        <w:tc>
          <w:tcPr>
            <w:tcW w:w="3080" w:type="dxa"/>
            <w:vAlign w:val="bottom"/>
          </w:tcPr>
          <w:p>
            <w:pPr>
              <w:ind w:left="220"/>
              <w:spacing w:after="0"/>
              <w:rPr>
                <w:sz w:val="20"/>
                <w:szCs w:val="20"/>
                <w:color w:val="auto"/>
              </w:rPr>
            </w:pPr>
            <w:r>
              <w:rPr>
                <w:rFonts w:ascii="Arial" w:cs="Arial" w:eastAsia="Arial" w:hAnsi="Arial"/>
                <w:sz w:val="12"/>
                <w:szCs w:val="12"/>
                <w:color w:val="auto"/>
              </w:rPr>
              <w:t>Vanguard Target Retirement 2050 Fund</w:t>
            </w:r>
          </w:p>
        </w:tc>
        <w:tc>
          <w:tcPr>
            <w:tcW w:w="2060" w:type="dxa"/>
            <w:vAlign w:val="bottom"/>
            <w:tcBorders>
              <w:right w:val="single" w:sz="8" w:color="auto"/>
            </w:tcBorders>
          </w:tcPr>
          <w:p>
            <w:pPr>
              <w:jc w:val="right"/>
              <w:ind w:right="138"/>
              <w:spacing w:after="0"/>
              <w:rPr>
                <w:sz w:val="20"/>
                <w:szCs w:val="20"/>
                <w:color w:val="auto"/>
              </w:rPr>
            </w:pPr>
            <w:r>
              <w:rPr>
                <w:rFonts w:ascii="Arial" w:cs="Arial" w:eastAsia="Arial" w:hAnsi="Arial"/>
                <w:sz w:val="12"/>
                <w:szCs w:val="12"/>
                <w:color w:val="auto"/>
              </w:rPr>
              <w:t>16.41%</w:t>
            </w:r>
          </w:p>
        </w:tc>
      </w:tr>
      <w:tr>
        <w:trPr>
          <w:trHeight w:val="147"/>
        </w:trPr>
        <w:tc>
          <w:tcPr>
            <w:tcW w:w="312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Vanguard International Growth Inv</w:t>
            </w:r>
          </w:p>
        </w:tc>
        <w:tc>
          <w:tcPr>
            <w:tcW w:w="1860" w:type="dxa"/>
            <w:vAlign w:val="bottom"/>
          </w:tcPr>
          <w:p>
            <w:pPr>
              <w:jc w:val="right"/>
              <w:ind w:right="158"/>
              <w:spacing w:after="0"/>
              <w:rPr>
                <w:sz w:val="20"/>
                <w:szCs w:val="20"/>
                <w:color w:val="auto"/>
              </w:rPr>
            </w:pPr>
            <w:r>
              <w:rPr>
                <w:rFonts w:ascii="Arial" w:cs="Arial" w:eastAsia="Arial" w:hAnsi="Arial"/>
                <w:sz w:val="12"/>
                <w:szCs w:val="12"/>
                <w:color w:val="auto"/>
              </w:rPr>
              <w:t>(0.85)%</w:t>
            </w:r>
          </w:p>
        </w:tc>
        <w:tc>
          <w:tcPr>
            <w:tcW w:w="3080" w:type="dxa"/>
            <w:vAlign w:val="bottom"/>
          </w:tcPr>
          <w:p>
            <w:pPr>
              <w:ind w:left="220"/>
              <w:spacing w:after="0"/>
              <w:rPr>
                <w:sz w:val="20"/>
                <w:szCs w:val="20"/>
                <w:color w:val="auto"/>
              </w:rPr>
            </w:pPr>
            <w:r>
              <w:rPr>
                <w:rFonts w:ascii="Arial" w:cs="Arial" w:eastAsia="Arial" w:hAnsi="Arial"/>
                <w:sz w:val="12"/>
                <w:szCs w:val="12"/>
                <w:color w:val="auto"/>
              </w:rPr>
              <w:t>Vanguard Target Retirement 2055 Fund</w:t>
            </w:r>
          </w:p>
        </w:tc>
        <w:tc>
          <w:tcPr>
            <w:tcW w:w="2060" w:type="dxa"/>
            <w:vAlign w:val="bottom"/>
            <w:tcBorders>
              <w:right w:val="single" w:sz="8" w:color="auto"/>
            </w:tcBorders>
          </w:tcPr>
          <w:p>
            <w:pPr>
              <w:jc w:val="right"/>
              <w:ind w:right="138"/>
              <w:spacing w:after="0"/>
              <w:rPr>
                <w:sz w:val="20"/>
                <w:szCs w:val="20"/>
                <w:color w:val="auto"/>
              </w:rPr>
            </w:pPr>
            <w:r>
              <w:rPr>
                <w:rFonts w:ascii="Arial" w:cs="Arial" w:eastAsia="Arial" w:hAnsi="Arial"/>
                <w:sz w:val="12"/>
                <w:szCs w:val="12"/>
                <w:color w:val="auto"/>
              </w:rPr>
              <w:t>16.44%</w:t>
            </w:r>
          </w:p>
        </w:tc>
      </w:tr>
      <w:tr>
        <w:trPr>
          <w:trHeight w:val="147"/>
        </w:trPr>
        <w:tc>
          <w:tcPr>
            <w:tcW w:w="312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Vanguard Mid Cap Growth Inv</w:t>
            </w:r>
          </w:p>
        </w:tc>
        <w:tc>
          <w:tcPr>
            <w:tcW w:w="1860" w:type="dxa"/>
            <w:vAlign w:val="bottom"/>
          </w:tcPr>
          <w:p>
            <w:pPr>
              <w:jc w:val="right"/>
              <w:ind w:right="198"/>
              <w:spacing w:after="0"/>
              <w:rPr>
                <w:sz w:val="20"/>
                <w:szCs w:val="20"/>
                <w:color w:val="auto"/>
              </w:rPr>
            </w:pPr>
            <w:r>
              <w:rPr>
                <w:rFonts w:ascii="Arial" w:cs="Arial" w:eastAsia="Arial" w:hAnsi="Arial"/>
                <w:sz w:val="12"/>
                <w:szCs w:val="12"/>
                <w:color w:val="auto"/>
              </w:rPr>
              <w:t>9.77%</w:t>
            </w:r>
          </w:p>
        </w:tc>
        <w:tc>
          <w:tcPr>
            <w:tcW w:w="3080" w:type="dxa"/>
            <w:vAlign w:val="bottom"/>
          </w:tcPr>
          <w:p>
            <w:pPr>
              <w:ind w:left="220"/>
              <w:spacing w:after="0"/>
              <w:rPr>
                <w:sz w:val="20"/>
                <w:szCs w:val="20"/>
                <w:color w:val="auto"/>
              </w:rPr>
            </w:pPr>
            <w:r>
              <w:rPr>
                <w:rFonts w:ascii="Arial" w:cs="Arial" w:eastAsia="Arial" w:hAnsi="Arial"/>
                <w:sz w:val="12"/>
                <w:szCs w:val="12"/>
                <w:color w:val="auto"/>
              </w:rPr>
              <w:t>Vanguard Target Retirement 2060 Fund</w:t>
            </w:r>
          </w:p>
        </w:tc>
        <w:tc>
          <w:tcPr>
            <w:tcW w:w="2060" w:type="dxa"/>
            <w:vAlign w:val="bottom"/>
            <w:tcBorders>
              <w:right w:val="single" w:sz="8" w:color="auto"/>
            </w:tcBorders>
          </w:tcPr>
          <w:p>
            <w:pPr>
              <w:jc w:val="right"/>
              <w:ind w:right="138"/>
              <w:spacing w:after="0"/>
              <w:rPr>
                <w:sz w:val="20"/>
                <w:szCs w:val="20"/>
                <w:color w:val="auto"/>
              </w:rPr>
            </w:pPr>
            <w:r>
              <w:rPr>
                <w:rFonts w:ascii="Arial" w:cs="Arial" w:eastAsia="Arial" w:hAnsi="Arial"/>
                <w:sz w:val="12"/>
                <w:szCs w:val="12"/>
                <w:color w:val="auto"/>
              </w:rPr>
              <w:t>16.44%</w:t>
            </w:r>
          </w:p>
        </w:tc>
      </w:tr>
      <w:tr>
        <w:trPr>
          <w:trHeight w:val="147"/>
        </w:trPr>
        <w:tc>
          <w:tcPr>
            <w:tcW w:w="312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Vanguard Mid Cap Index Inv</w:t>
            </w:r>
          </w:p>
        </w:tc>
        <w:tc>
          <w:tcPr>
            <w:tcW w:w="1860" w:type="dxa"/>
            <w:vAlign w:val="bottom"/>
          </w:tcPr>
          <w:p>
            <w:pPr>
              <w:jc w:val="right"/>
              <w:ind w:right="198"/>
              <w:spacing w:after="0"/>
              <w:rPr>
                <w:sz w:val="20"/>
                <w:szCs w:val="20"/>
                <w:color w:val="auto"/>
              </w:rPr>
            </w:pPr>
            <w:r>
              <w:rPr>
                <w:rFonts w:ascii="Arial" w:cs="Arial" w:eastAsia="Arial" w:hAnsi="Arial"/>
                <w:sz w:val="12"/>
                <w:szCs w:val="12"/>
                <w:color w:val="auto"/>
              </w:rPr>
              <w:t>24.36%</w:t>
            </w:r>
          </w:p>
        </w:tc>
        <w:tc>
          <w:tcPr>
            <w:tcW w:w="3080" w:type="dxa"/>
            <w:vAlign w:val="bottom"/>
          </w:tcPr>
          <w:p>
            <w:pPr>
              <w:ind w:left="220"/>
              <w:spacing w:after="0"/>
              <w:rPr>
                <w:sz w:val="20"/>
                <w:szCs w:val="20"/>
                <w:color w:val="auto"/>
              </w:rPr>
            </w:pPr>
            <w:r>
              <w:rPr>
                <w:rFonts w:ascii="Arial" w:cs="Arial" w:eastAsia="Arial" w:hAnsi="Arial"/>
                <w:sz w:val="12"/>
                <w:szCs w:val="12"/>
                <w:color w:val="auto"/>
              </w:rPr>
              <w:t>Vanguard Target Retirement 2065 Fund</w:t>
            </w:r>
          </w:p>
        </w:tc>
        <w:tc>
          <w:tcPr>
            <w:tcW w:w="2060" w:type="dxa"/>
            <w:vAlign w:val="bottom"/>
            <w:tcBorders>
              <w:right w:val="single" w:sz="8" w:color="auto"/>
            </w:tcBorders>
          </w:tcPr>
          <w:p>
            <w:pPr>
              <w:jc w:val="right"/>
              <w:ind w:right="138"/>
              <w:spacing w:after="0"/>
              <w:rPr>
                <w:sz w:val="20"/>
                <w:szCs w:val="20"/>
                <w:color w:val="auto"/>
              </w:rPr>
            </w:pPr>
            <w:r>
              <w:rPr>
                <w:rFonts w:ascii="Arial" w:cs="Arial" w:eastAsia="Arial" w:hAnsi="Arial"/>
                <w:sz w:val="12"/>
                <w:szCs w:val="12"/>
                <w:color w:val="auto"/>
              </w:rPr>
              <w:t>16.46%</w:t>
            </w:r>
          </w:p>
        </w:tc>
      </w:tr>
      <w:tr>
        <w:trPr>
          <w:trHeight w:val="147"/>
        </w:trPr>
        <w:tc>
          <w:tcPr>
            <w:tcW w:w="312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Vanguard Selected Value Inv</w:t>
            </w:r>
          </w:p>
        </w:tc>
        <w:tc>
          <w:tcPr>
            <w:tcW w:w="1860" w:type="dxa"/>
            <w:vAlign w:val="bottom"/>
          </w:tcPr>
          <w:p>
            <w:pPr>
              <w:jc w:val="right"/>
              <w:ind w:right="198"/>
              <w:spacing w:after="0"/>
              <w:rPr>
                <w:sz w:val="20"/>
                <w:szCs w:val="20"/>
                <w:color w:val="auto"/>
              </w:rPr>
            </w:pPr>
            <w:r>
              <w:rPr>
                <w:rFonts w:ascii="Arial" w:cs="Arial" w:eastAsia="Arial" w:hAnsi="Arial"/>
                <w:sz w:val="12"/>
                <w:szCs w:val="12"/>
                <w:color w:val="auto"/>
              </w:rPr>
              <w:t>27.75%</w:t>
            </w:r>
          </w:p>
        </w:tc>
        <w:tc>
          <w:tcPr>
            <w:tcW w:w="3080" w:type="dxa"/>
            <w:vAlign w:val="bottom"/>
          </w:tcPr>
          <w:p>
            <w:pPr>
              <w:ind w:left="220"/>
              <w:spacing w:after="0"/>
              <w:rPr>
                <w:sz w:val="20"/>
                <w:szCs w:val="20"/>
                <w:color w:val="auto"/>
              </w:rPr>
            </w:pPr>
            <w:r>
              <w:rPr>
                <w:rFonts w:ascii="Arial" w:cs="Arial" w:eastAsia="Arial" w:hAnsi="Arial"/>
                <w:sz w:val="12"/>
                <w:szCs w:val="12"/>
                <w:color w:val="auto"/>
              </w:rPr>
              <w:t>Vanguard Target Retirement Income Fund</w:t>
            </w:r>
          </w:p>
        </w:tc>
        <w:tc>
          <w:tcPr>
            <w:tcW w:w="2060" w:type="dxa"/>
            <w:vAlign w:val="bottom"/>
            <w:tcBorders>
              <w:right w:val="single" w:sz="8" w:color="auto"/>
            </w:tcBorders>
          </w:tcPr>
          <w:p>
            <w:pPr>
              <w:jc w:val="right"/>
              <w:ind w:right="138"/>
              <w:spacing w:after="0"/>
              <w:rPr>
                <w:sz w:val="20"/>
                <w:szCs w:val="20"/>
                <w:color w:val="auto"/>
              </w:rPr>
            </w:pPr>
            <w:r>
              <w:rPr>
                <w:rFonts w:ascii="Arial" w:cs="Arial" w:eastAsia="Arial" w:hAnsi="Arial"/>
                <w:sz w:val="12"/>
                <w:szCs w:val="12"/>
                <w:color w:val="auto"/>
              </w:rPr>
              <w:t>5.25%</w:t>
            </w:r>
          </w:p>
        </w:tc>
      </w:tr>
      <w:tr>
        <w:trPr>
          <w:trHeight w:val="147"/>
        </w:trPr>
        <w:tc>
          <w:tcPr>
            <w:tcW w:w="312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Vanguard Short-Term Federal Fund Investor Shares</w:t>
            </w:r>
          </w:p>
        </w:tc>
        <w:tc>
          <w:tcPr>
            <w:tcW w:w="1860" w:type="dxa"/>
            <w:vAlign w:val="bottom"/>
          </w:tcPr>
          <w:p>
            <w:pPr>
              <w:jc w:val="right"/>
              <w:ind w:right="158"/>
              <w:spacing w:after="0"/>
              <w:rPr>
                <w:sz w:val="20"/>
                <w:szCs w:val="20"/>
                <w:color w:val="auto"/>
              </w:rPr>
            </w:pPr>
            <w:r>
              <w:rPr>
                <w:rFonts w:ascii="Arial" w:cs="Arial" w:eastAsia="Arial" w:hAnsi="Arial"/>
                <w:sz w:val="12"/>
                <w:szCs w:val="12"/>
                <w:color w:val="auto"/>
              </w:rPr>
              <w:t>(0.58)%</w:t>
            </w:r>
          </w:p>
        </w:tc>
        <w:tc>
          <w:tcPr>
            <w:tcW w:w="3080" w:type="dxa"/>
            <w:vAlign w:val="bottom"/>
          </w:tcPr>
          <w:p>
            <w:pPr>
              <w:ind w:left="220"/>
              <w:spacing w:after="0"/>
              <w:rPr>
                <w:sz w:val="20"/>
                <w:szCs w:val="20"/>
                <w:color w:val="auto"/>
              </w:rPr>
            </w:pPr>
            <w:r>
              <w:rPr>
                <w:rFonts w:ascii="Arial" w:cs="Arial" w:eastAsia="Arial" w:hAnsi="Arial"/>
                <w:sz w:val="12"/>
                <w:szCs w:val="12"/>
                <w:color w:val="auto"/>
              </w:rPr>
              <w:t>Vanguard Total Bond Market Index Inv</w:t>
            </w:r>
          </w:p>
        </w:tc>
        <w:tc>
          <w:tcPr>
            <w:tcW w:w="2060" w:type="dxa"/>
            <w:vAlign w:val="bottom"/>
            <w:tcBorders>
              <w:right w:val="single" w:sz="8" w:color="auto"/>
            </w:tcBorders>
          </w:tcPr>
          <w:p>
            <w:pPr>
              <w:jc w:val="right"/>
              <w:ind w:right="98"/>
              <w:spacing w:after="0"/>
              <w:rPr>
                <w:sz w:val="20"/>
                <w:szCs w:val="20"/>
                <w:color w:val="auto"/>
              </w:rPr>
            </w:pPr>
            <w:r>
              <w:rPr>
                <w:rFonts w:ascii="Arial" w:cs="Arial" w:eastAsia="Arial" w:hAnsi="Arial"/>
                <w:sz w:val="12"/>
                <w:szCs w:val="12"/>
                <w:color w:val="auto"/>
              </w:rPr>
              <w:t>(1.77)%</w:t>
            </w:r>
          </w:p>
        </w:tc>
      </w:tr>
      <w:tr>
        <w:trPr>
          <w:trHeight w:val="147"/>
        </w:trPr>
        <w:tc>
          <w:tcPr>
            <w:tcW w:w="312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Vanguard Small Cap Index Inv</w:t>
            </w:r>
          </w:p>
        </w:tc>
        <w:tc>
          <w:tcPr>
            <w:tcW w:w="1860" w:type="dxa"/>
            <w:vAlign w:val="bottom"/>
          </w:tcPr>
          <w:p>
            <w:pPr>
              <w:jc w:val="right"/>
              <w:ind w:right="198"/>
              <w:spacing w:after="0"/>
              <w:rPr>
                <w:sz w:val="20"/>
                <w:szCs w:val="20"/>
                <w:color w:val="auto"/>
              </w:rPr>
            </w:pPr>
            <w:r>
              <w:rPr>
                <w:rFonts w:ascii="Arial" w:cs="Arial" w:eastAsia="Arial" w:hAnsi="Arial"/>
                <w:sz w:val="12"/>
                <w:szCs w:val="12"/>
                <w:color w:val="auto"/>
              </w:rPr>
              <w:t>17.59%</w:t>
            </w:r>
          </w:p>
        </w:tc>
        <w:tc>
          <w:tcPr>
            <w:tcW w:w="3080" w:type="dxa"/>
            <w:vAlign w:val="bottom"/>
          </w:tcPr>
          <w:p>
            <w:pPr>
              <w:ind w:left="220"/>
              <w:spacing w:after="0"/>
              <w:rPr>
                <w:sz w:val="20"/>
                <w:szCs w:val="20"/>
                <w:color w:val="auto"/>
              </w:rPr>
            </w:pPr>
            <w:r>
              <w:rPr>
                <w:rFonts w:ascii="Arial" w:cs="Arial" w:eastAsia="Arial" w:hAnsi="Arial"/>
                <w:sz w:val="12"/>
                <w:szCs w:val="12"/>
                <w:color w:val="auto"/>
              </w:rPr>
              <w:t>Vanguard US Growth Inv</w:t>
            </w:r>
          </w:p>
        </w:tc>
        <w:tc>
          <w:tcPr>
            <w:tcW w:w="2060" w:type="dxa"/>
            <w:vAlign w:val="bottom"/>
            <w:tcBorders>
              <w:right w:val="single" w:sz="8" w:color="auto"/>
            </w:tcBorders>
          </w:tcPr>
          <w:p>
            <w:pPr>
              <w:jc w:val="right"/>
              <w:ind w:right="138"/>
              <w:spacing w:after="0"/>
              <w:rPr>
                <w:sz w:val="20"/>
                <w:szCs w:val="20"/>
                <w:color w:val="auto"/>
              </w:rPr>
            </w:pPr>
            <w:r>
              <w:rPr>
                <w:rFonts w:ascii="Arial" w:cs="Arial" w:eastAsia="Arial" w:hAnsi="Arial"/>
                <w:sz w:val="12"/>
                <w:szCs w:val="12"/>
                <w:color w:val="auto"/>
              </w:rPr>
              <w:t>12.34%</w:t>
            </w:r>
          </w:p>
        </w:tc>
      </w:tr>
      <w:tr>
        <w:trPr>
          <w:trHeight w:val="147"/>
        </w:trPr>
        <w:tc>
          <w:tcPr>
            <w:tcW w:w="312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Vanguard Target Retirement 2015 Fund</w:t>
            </w:r>
          </w:p>
        </w:tc>
        <w:tc>
          <w:tcPr>
            <w:tcW w:w="1860" w:type="dxa"/>
            <w:vAlign w:val="bottom"/>
          </w:tcPr>
          <w:p>
            <w:pPr>
              <w:jc w:val="right"/>
              <w:ind w:right="198"/>
              <w:spacing w:after="0"/>
              <w:rPr>
                <w:sz w:val="20"/>
                <w:szCs w:val="20"/>
                <w:color w:val="auto"/>
              </w:rPr>
            </w:pPr>
            <w:r>
              <w:rPr>
                <w:rFonts w:ascii="Arial" w:cs="Arial" w:eastAsia="Arial" w:hAnsi="Arial"/>
                <w:sz w:val="12"/>
                <w:szCs w:val="12"/>
                <w:color w:val="auto"/>
              </w:rPr>
              <w:t>5.78%</w:t>
            </w:r>
          </w:p>
        </w:tc>
        <w:tc>
          <w:tcPr>
            <w:tcW w:w="3080" w:type="dxa"/>
            <w:vAlign w:val="bottom"/>
          </w:tcPr>
          <w:p>
            <w:pPr>
              <w:ind w:left="220"/>
              <w:spacing w:after="0"/>
              <w:rPr>
                <w:sz w:val="20"/>
                <w:szCs w:val="20"/>
                <w:color w:val="auto"/>
              </w:rPr>
            </w:pPr>
            <w:r>
              <w:rPr>
                <w:rFonts w:ascii="Arial" w:cs="Arial" w:eastAsia="Arial" w:hAnsi="Arial"/>
                <w:sz w:val="12"/>
                <w:szCs w:val="12"/>
                <w:color w:val="auto"/>
              </w:rPr>
              <w:t>Vanguard Wellington Inv</w:t>
            </w:r>
          </w:p>
        </w:tc>
        <w:tc>
          <w:tcPr>
            <w:tcW w:w="2060" w:type="dxa"/>
            <w:vAlign w:val="bottom"/>
            <w:tcBorders>
              <w:right w:val="single" w:sz="8" w:color="auto"/>
            </w:tcBorders>
          </w:tcPr>
          <w:p>
            <w:pPr>
              <w:jc w:val="right"/>
              <w:ind w:right="138"/>
              <w:spacing w:after="0"/>
              <w:rPr>
                <w:sz w:val="20"/>
                <w:szCs w:val="20"/>
                <w:color w:val="auto"/>
              </w:rPr>
            </w:pPr>
            <w:r>
              <w:rPr>
                <w:rFonts w:ascii="Arial" w:cs="Arial" w:eastAsia="Arial" w:hAnsi="Arial"/>
                <w:sz w:val="12"/>
                <w:szCs w:val="12"/>
                <w:color w:val="auto"/>
              </w:rPr>
              <w:t>19.01%</w:t>
            </w:r>
          </w:p>
        </w:tc>
      </w:tr>
      <w:tr>
        <w:trPr>
          <w:trHeight w:val="147"/>
        </w:trPr>
        <w:tc>
          <w:tcPr>
            <w:tcW w:w="312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Vanguard Target Retirement 2020 Fund</w:t>
            </w:r>
          </w:p>
        </w:tc>
        <w:tc>
          <w:tcPr>
            <w:tcW w:w="1860" w:type="dxa"/>
            <w:vAlign w:val="bottom"/>
          </w:tcPr>
          <w:p>
            <w:pPr>
              <w:jc w:val="right"/>
              <w:ind w:right="198"/>
              <w:spacing w:after="0"/>
              <w:rPr>
                <w:sz w:val="20"/>
                <w:szCs w:val="20"/>
                <w:color w:val="auto"/>
              </w:rPr>
            </w:pPr>
            <w:r>
              <w:rPr>
                <w:rFonts w:ascii="Arial" w:cs="Arial" w:eastAsia="Arial" w:hAnsi="Arial"/>
                <w:sz w:val="12"/>
                <w:szCs w:val="12"/>
                <w:color w:val="auto"/>
              </w:rPr>
              <w:t>8.17%</w:t>
            </w:r>
          </w:p>
        </w:tc>
        <w:tc>
          <w:tcPr>
            <w:tcW w:w="3080" w:type="dxa"/>
            <w:vAlign w:val="bottom"/>
          </w:tcPr>
          <w:p>
            <w:pPr>
              <w:ind w:left="220"/>
              <w:spacing w:after="0"/>
              <w:rPr>
                <w:sz w:val="20"/>
                <w:szCs w:val="20"/>
                <w:color w:val="auto"/>
              </w:rPr>
            </w:pPr>
            <w:r>
              <w:rPr>
                <w:rFonts w:ascii="Arial" w:cs="Arial" w:eastAsia="Arial" w:hAnsi="Arial"/>
                <w:sz w:val="12"/>
                <w:szCs w:val="12"/>
                <w:color w:val="auto"/>
              </w:rPr>
              <w:t>Vanguard Windsor Fund Investor Shares</w:t>
            </w:r>
          </w:p>
        </w:tc>
        <w:tc>
          <w:tcPr>
            <w:tcW w:w="2060" w:type="dxa"/>
            <w:vAlign w:val="bottom"/>
            <w:tcBorders>
              <w:right w:val="single" w:sz="8" w:color="auto"/>
            </w:tcBorders>
          </w:tcPr>
          <w:p>
            <w:pPr>
              <w:jc w:val="right"/>
              <w:ind w:right="138"/>
              <w:spacing w:after="0"/>
              <w:rPr>
                <w:sz w:val="20"/>
                <w:szCs w:val="20"/>
                <w:color w:val="auto"/>
              </w:rPr>
            </w:pPr>
            <w:r>
              <w:rPr>
                <w:rFonts w:ascii="Arial" w:cs="Arial" w:eastAsia="Arial" w:hAnsi="Arial"/>
                <w:sz w:val="12"/>
                <w:szCs w:val="12"/>
                <w:color w:val="auto"/>
              </w:rPr>
              <w:t>27.98%</w:t>
            </w:r>
          </w:p>
        </w:tc>
      </w:tr>
      <w:tr>
        <w:trPr>
          <w:trHeight w:val="148"/>
        </w:trPr>
        <w:tc>
          <w:tcPr>
            <w:tcW w:w="31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Vanguard Target Retirement 2025 Fund</w:t>
            </w:r>
          </w:p>
        </w:tc>
        <w:tc>
          <w:tcPr>
            <w:tcW w:w="18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9.80%</w:t>
            </w:r>
          </w:p>
        </w:tc>
        <w:tc>
          <w:tcPr>
            <w:tcW w:w="3080" w:type="dxa"/>
            <w:vAlign w:val="bottom"/>
            <w:tcBorders>
              <w:bottom w:val="single" w:sz="8" w:color="auto"/>
            </w:tcBorders>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r>
    </w:tbl>
    <w:p>
      <w:pPr>
        <w:spacing w:after="0" w:line="110" w:lineRule="exact"/>
        <w:rPr>
          <w:sz w:val="20"/>
          <w:szCs w:val="20"/>
          <w:color w:val="auto"/>
        </w:rPr>
      </w:pPr>
    </w:p>
    <w:p>
      <w:pPr>
        <w:ind w:left="400" w:right="140" w:hanging="393"/>
        <w:spacing w:after="0" w:line="252" w:lineRule="auto"/>
        <w:tabs>
          <w:tab w:leader="none" w:pos="400" w:val="left"/>
        </w:tabs>
        <w:numPr>
          <w:ilvl w:val="0"/>
          <w:numId w:val="83"/>
        </w:numPr>
        <w:rPr>
          <w:rFonts w:ascii="Arial" w:cs="Arial" w:eastAsia="Arial" w:hAnsi="Arial"/>
          <w:sz w:val="14"/>
          <w:szCs w:val="14"/>
          <w:color w:val="auto"/>
        </w:rPr>
      </w:pPr>
      <w:r>
        <w:rPr>
          <w:rFonts w:ascii="Arial" w:cs="Arial" w:eastAsia="Arial" w:hAnsi="Arial"/>
          <w:sz w:val="13"/>
          <w:szCs w:val="13"/>
          <w:color w:val="auto"/>
        </w:rPr>
        <w:t>These amounts represent Excess Benefit Plan and Restoration contributions by the Company for fiscal year 2021 which were paid in 2022 and accordingly are not included in the Aggregate Balance at Last Fiscal Year-End column. See columns 3, 5, and 6 of the “All Other Compensation Table” for additional details.</w:t>
      </w:r>
    </w:p>
    <w:p>
      <w:pPr>
        <w:spacing w:after="0" w:line="75" w:lineRule="exact"/>
        <w:rPr>
          <w:rFonts w:ascii="Arial" w:cs="Arial" w:eastAsia="Arial" w:hAnsi="Arial"/>
          <w:sz w:val="14"/>
          <w:szCs w:val="14"/>
          <w:color w:val="auto"/>
        </w:rPr>
      </w:pPr>
    </w:p>
    <w:p>
      <w:pPr>
        <w:ind w:left="400" w:right="160" w:hanging="393"/>
        <w:spacing w:after="0" w:line="293" w:lineRule="auto"/>
        <w:tabs>
          <w:tab w:leader="none" w:pos="400" w:val="left"/>
        </w:tabs>
        <w:numPr>
          <w:ilvl w:val="0"/>
          <w:numId w:val="83"/>
        </w:numPr>
        <w:rPr>
          <w:rFonts w:ascii="Arial" w:cs="Arial" w:eastAsia="Arial" w:hAnsi="Arial"/>
          <w:sz w:val="13"/>
          <w:szCs w:val="13"/>
          <w:color w:val="auto"/>
        </w:rPr>
      </w:pPr>
      <w:r>
        <w:rPr>
          <w:rFonts w:ascii="Arial" w:cs="Arial" w:eastAsia="Arial" w:hAnsi="Arial"/>
          <w:sz w:val="12"/>
          <w:szCs w:val="12"/>
          <w:color w:val="auto"/>
        </w:rPr>
        <w:t>A portion of each amount listed in this column has been reported in the “Summary Compensation Table” in current and prior years' proxy statements for the years in which the named executive officer appeared in these proxy statements. The amounts reported are as follows: Mr. Ho, $2,487,547; Mr. Shigemura, $2,152,800; Ms. Crofts, $526,647; Mr. Polk, $759,973; and Ms. Sellers, $1,248,310.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GRANTS OF PLAN-BASED AWARDS</w:t>
      </w:r>
    </w:p>
    <w:p>
      <w:pPr>
        <w:spacing w:after="0" w:line="2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equity-based awards granted in 2021 to the named executive officers in the Summary Compensation Table.</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142"/>
        </w:trPr>
        <w:tc>
          <w:tcPr>
            <w:tcW w:w="1560" w:type="dxa"/>
            <w:vAlign w:val="bottom"/>
            <w:tcBorders>
              <w:top w:val="single" w:sz="8" w:color="auto"/>
              <w:left w:val="single" w:sz="8" w:color="auto"/>
            </w:tcBorders>
            <w:shd w:val="clear" w:color="auto" w:fill="086FB8"/>
          </w:tcPr>
          <w:p>
            <w:pPr>
              <w:spacing w:after="0"/>
              <w:rPr>
                <w:sz w:val="12"/>
                <w:szCs w:val="12"/>
                <w:color w:val="auto"/>
              </w:rPr>
            </w:pPr>
          </w:p>
        </w:tc>
        <w:tc>
          <w:tcPr>
            <w:tcW w:w="380" w:type="dxa"/>
            <w:vAlign w:val="bottom"/>
            <w:tcBorders>
              <w:top w:val="single" w:sz="8" w:color="auto"/>
            </w:tcBorders>
            <w:shd w:val="clear" w:color="auto" w:fill="086FB8"/>
          </w:tcPr>
          <w:p>
            <w:pPr>
              <w:spacing w:after="0"/>
              <w:rPr>
                <w:sz w:val="12"/>
                <w:szCs w:val="12"/>
                <w:color w:val="auto"/>
              </w:rPr>
            </w:pPr>
          </w:p>
        </w:tc>
        <w:tc>
          <w:tcPr>
            <w:tcW w:w="600" w:type="dxa"/>
            <w:vAlign w:val="bottom"/>
            <w:tcBorders>
              <w:top w:val="single" w:sz="8" w:color="auto"/>
            </w:tcBorders>
            <w:shd w:val="clear" w:color="auto" w:fill="086FB8"/>
          </w:tcPr>
          <w:p>
            <w:pPr>
              <w:spacing w:after="0"/>
              <w:rPr>
                <w:sz w:val="12"/>
                <w:szCs w:val="12"/>
                <w:color w:val="auto"/>
              </w:rPr>
            </w:pPr>
          </w:p>
        </w:tc>
        <w:tc>
          <w:tcPr>
            <w:tcW w:w="740" w:type="dxa"/>
            <w:vAlign w:val="bottom"/>
            <w:tcBorders>
              <w:top w:val="single" w:sz="8" w:color="auto"/>
            </w:tcBorders>
            <w:shd w:val="clear" w:color="auto" w:fill="086FB8"/>
          </w:tcPr>
          <w:p>
            <w:pPr>
              <w:spacing w:after="0"/>
              <w:rPr>
                <w:sz w:val="12"/>
                <w:szCs w:val="12"/>
                <w:color w:val="auto"/>
              </w:rPr>
            </w:pPr>
          </w:p>
        </w:tc>
        <w:tc>
          <w:tcPr>
            <w:tcW w:w="720" w:type="dxa"/>
            <w:vAlign w:val="bottom"/>
            <w:tcBorders>
              <w:top w:val="single" w:sz="8" w:color="auto"/>
            </w:tcBorders>
            <w:shd w:val="clear" w:color="auto" w:fill="086FB8"/>
          </w:tcPr>
          <w:p>
            <w:pPr>
              <w:spacing w:after="0"/>
              <w:rPr>
                <w:sz w:val="12"/>
                <w:szCs w:val="12"/>
                <w:color w:val="auto"/>
              </w:rPr>
            </w:pPr>
          </w:p>
        </w:tc>
        <w:tc>
          <w:tcPr>
            <w:tcW w:w="1040" w:type="dxa"/>
            <w:vAlign w:val="bottom"/>
            <w:tcBorders>
              <w:top w:val="single" w:sz="8" w:color="auto"/>
            </w:tcBorders>
            <w:shd w:val="clear" w:color="auto" w:fill="086FB8"/>
          </w:tcPr>
          <w:p>
            <w:pPr>
              <w:spacing w:after="0"/>
              <w:rPr>
                <w:sz w:val="12"/>
                <w:szCs w:val="12"/>
                <w:color w:val="auto"/>
              </w:rPr>
            </w:pPr>
          </w:p>
        </w:tc>
        <w:tc>
          <w:tcPr>
            <w:tcW w:w="780" w:type="dxa"/>
            <w:vAlign w:val="bottom"/>
            <w:tcBorders>
              <w:top w:val="single" w:sz="8" w:color="auto"/>
            </w:tcBorders>
            <w:shd w:val="clear" w:color="auto" w:fill="086FB8"/>
          </w:tcPr>
          <w:p>
            <w:pPr>
              <w:spacing w:after="0"/>
              <w:rPr>
                <w:sz w:val="12"/>
                <w:szCs w:val="12"/>
                <w:color w:val="auto"/>
              </w:rPr>
            </w:pPr>
          </w:p>
        </w:tc>
        <w:tc>
          <w:tcPr>
            <w:tcW w:w="740" w:type="dxa"/>
            <w:vAlign w:val="bottom"/>
            <w:tcBorders>
              <w:top w:val="single" w:sz="8" w:color="auto"/>
            </w:tcBorders>
            <w:shd w:val="clear" w:color="auto" w:fill="086FB8"/>
          </w:tcPr>
          <w:p>
            <w:pPr>
              <w:spacing w:after="0"/>
              <w:rPr>
                <w:sz w:val="12"/>
                <w:szCs w:val="12"/>
                <w:color w:val="auto"/>
              </w:rPr>
            </w:pPr>
          </w:p>
        </w:tc>
        <w:tc>
          <w:tcPr>
            <w:tcW w:w="780" w:type="dxa"/>
            <w:vAlign w:val="bottom"/>
            <w:tcBorders>
              <w:top w:val="single" w:sz="8" w:color="auto"/>
            </w:tcBorders>
            <w:shd w:val="clear" w:color="auto" w:fill="086FB8"/>
          </w:tcPr>
          <w:p>
            <w:pPr>
              <w:spacing w:after="0"/>
              <w:rPr>
                <w:sz w:val="12"/>
                <w:szCs w:val="12"/>
                <w:color w:val="auto"/>
              </w:rPr>
            </w:pPr>
          </w:p>
        </w:tc>
        <w:tc>
          <w:tcPr>
            <w:tcW w:w="780" w:type="dxa"/>
            <w:vAlign w:val="bottom"/>
            <w:tcBorders>
              <w:top w:val="single" w:sz="8" w:color="auto"/>
            </w:tcBorders>
            <w:shd w:val="clear" w:color="auto" w:fill="086FB8"/>
          </w:tcPr>
          <w:p>
            <w:pPr>
              <w:spacing w:after="0"/>
              <w:rPr>
                <w:sz w:val="12"/>
                <w:szCs w:val="12"/>
                <w:color w:val="auto"/>
              </w:rPr>
            </w:pPr>
          </w:p>
        </w:tc>
        <w:tc>
          <w:tcPr>
            <w:tcW w:w="880" w:type="dxa"/>
            <w:vAlign w:val="bottom"/>
            <w:tcBorders>
              <w:top w:val="single" w:sz="8" w:color="auto"/>
            </w:tcBorders>
            <w:shd w:val="clear" w:color="auto" w:fill="086FB8"/>
          </w:tcPr>
          <w:p>
            <w:pPr>
              <w:jc w:val="center"/>
              <w:ind w:right="38"/>
              <w:spacing w:after="0"/>
              <w:rPr>
                <w:sz w:val="20"/>
                <w:szCs w:val="20"/>
                <w:color w:val="auto"/>
              </w:rPr>
            </w:pPr>
            <w:r>
              <w:rPr>
                <w:rFonts w:ascii="Arial" w:cs="Arial" w:eastAsia="Arial" w:hAnsi="Arial"/>
                <w:sz w:val="12"/>
                <w:szCs w:val="12"/>
                <w:b w:val="1"/>
                <w:bCs w:val="1"/>
                <w:color w:val="FFFFFF"/>
                <w:w w:val="98"/>
              </w:rPr>
              <w:t>All Other</w:t>
            </w:r>
          </w:p>
        </w:tc>
        <w:tc>
          <w:tcPr>
            <w:tcW w:w="860" w:type="dxa"/>
            <w:vAlign w:val="bottom"/>
            <w:tcBorders>
              <w:top w:val="single" w:sz="8" w:color="auto"/>
            </w:tcBorders>
            <w:shd w:val="clear" w:color="auto" w:fill="086FB8"/>
          </w:tcPr>
          <w:p>
            <w:pPr>
              <w:spacing w:after="0"/>
              <w:rPr>
                <w:sz w:val="12"/>
                <w:szCs w:val="12"/>
                <w:color w:val="auto"/>
              </w:rPr>
            </w:pPr>
          </w:p>
        </w:tc>
        <w:tc>
          <w:tcPr>
            <w:tcW w:w="760" w:type="dxa"/>
            <w:vAlign w:val="bottom"/>
            <w:tcBorders>
              <w:top w:val="single" w:sz="8" w:color="auto"/>
            </w:tcBorders>
            <w:shd w:val="clear" w:color="auto" w:fill="086FB8"/>
          </w:tcPr>
          <w:p>
            <w:pPr>
              <w:spacing w:after="0"/>
              <w:rPr>
                <w:sz w:val="12"/>
                <w:szCs w:val="12"/>
                <w:color w:val="auto"/>
              </w:rPr>
            </w:pPr>
          </w:p>
        </w:tc>
        <w:tc>
          <w:tcPr>
            <w:tcW w:w="720" w:type="dxa"/>
            <w:vAlign w:val="bottom"/>
            <w:tcBorders>
              <w:top w:val="single" w:sz="8" w:color="auto"/>
            </w:tcBorders>
            <w:shd w:val="clear" w:color="auto" w:fill="086FB8"/>
          </w:tcPr>
          <w:p>
            <w:pPr>
              <w:spacing w:after="0"/>
              <w:rPr>
                <w:sz w:val="12"/>
                <w:szCs w:val="12"/>
                <w:color w:val="auto"/>
              </w:rPr>
            </w:pPr>
          </w:p>
        </w:tc>
      </w:tr>
      <w:tr>
        <w:trPr>
          <w:trHeight w:val="134"/>
        </w:trPr>
        <w:tc>
          <w:tcPr>
            <w:tcW w:w="1560" w:type="dxa"/>
            <w:vAlign w:val="bottom"/>
            <w:tcBorders>
              <w:left w:val="single" w:sz="8" w:color="auto"/>
            </w:tcBorders>
            <w:shd w:val="clear" w:color="auto" w:fill="086FB8"/>
          </w:tcPr>
          <w:p>
            <w:pPr>
              <w:spacing w:after="0"/>
              <w:rPr>
                <w:sz w:val="11"/>
                <w:szCs w:val="11"/>
                <w:color w:val="auto"/>
              </w:rPr>
            </w:pPr>
          </w:p>
        </w:tc>
        <w:tc>
          <w:tcPr>
            <w:tcW w:w="380" w:type="dxa"/>
            <w:vAlign w:val="bottom"/>
            <w:shd w:val="clear" w:color="auto" w:fill="086FB8"/>
          </w:tcPr>
          <w:p>
            <w:pPr>
              <w:spacing w:after="0"/>
              <w:rPr>
                <w:sz w:val="11"/>
                <w:szCs w:val="11"/>
                <w:color w:val="auto"/>
              </w:rPr>
            </w:pPr>
          </w:p>
        </w:tc>
        <w:tc>
          <w:tcPr>
            <w:tcW w:w="600" w:type="dxa"/>
            <w:vAlign w:val="bottom"/>
            <w:shd w:val="clear" w:color="auto" w:fill="086FB8"/>
          </w:tcPr>
          <w:p>
            <w:pPr>
              <w:spacing w:after="0"/>
              <w:rPr>
                <w:sz w:val="11"/>
                <w:szCs w:val="11"/>
                <w:color w:val="auto"/>
              </w:rPr>
            </w:pPr>
          </w:p>
        </w:tc>
        <w:tc>
          <w:tcPr>
            <w:tcW w:w="740" w:type="dxa"/>
            <w:vAlign w:val="bottom"/>
            <w:shd w:val="clear" w:color="auto" w:fill="086FB8"/>
          </w:tcPr>
          <w:p>
            <w:pPr>
              <w:spacing w:after="0"/>
              <w:rPr>
                <w:sz w:val="11"/>
                <w:szCs w:val="11"/>
                <w:color w:val="auto"/>
              </w:rPr>
            </w:pPr>
          </w:p>
        </w:tc>
        <w:tc>
          <w:tcPr>
            <w:tcW w:w="720" w:type="dxa"/>
            <w:vAlign w:val="bottom"/>
            <w:shd w:val="clear" w:color="auto" w:fill="086FB8"/>
          </w:tcPr>
          <w:p>
            <w:pPr>
              <w:spacing w:after="0"/>
              <w:rPr>
                <w:sz w:val="11"/>
                <w:szCs w:val="11"/>
                <w:color w:val="auto"/>
              </w:rPr>
            </w:pPr>
          </w:p>
        </w:tc>
        <w:tc>
          <w:tcPr>
            <w:tcW w:w="1040" w:type="dxa"/>
            <w:vAlign w:val="bottom"/>
            <w:shd w:val="clear" w:color="auto" w:fill="086FB8"/>
          </w:tcPr>
          <w:p>
            <w:pPr>
              <w:spacing w:after="0"/>
              <w:rPr>
                <w:sz w:val="11"/>
                <w:szCs w:val="11"/>
                <w:color w:val="auto"/>
              </w:rPr>
            </w:pPr>
          </w:p>
        </w:tc>
        <w:tc>
          <w:tcPr>
            <w:tcW w:w="780" w:type="dxa"/>
            <w:vAlign w:val="bottom"/>
            <w:shd w:val="clear" w:color="auto" w:fill="086FB8"/>
          </w:tcPr>
          <w:p>
            <w:pPr>
              <w:spacing w:after="0"/>
              <w:rPr>
                <w:sz w:val="11"/>
                <w:szCs w:val="11"/>
                <w:color w:val="auto"/>
              </w:rPr>
            </w:pPr>
          </w:p>
        </w:tc>
        <w:tc>
          <w:tcPr>
            <w:tcW w:w="740" w:type="dxa"/>
            <w:vAlign w:val="bottom"/>
            <w:shd w:val="clear" w:color="auto" w:fill="086FB8"/>
          </w:tcPr>
          <w:p>
            <w:pPr>
              <w:spacing w:after="0"/>
              <w:rPr>
                <w:sz w:val="11"/>
                <w:szCs w:val="11"/>
                <w:color w:val="auto"/>
              </w:rPr>
            </w:pPr>
          </w:p>
        </w:tc>
        <w:tc>
          <w:tcPr>
            <w:tcW w:w="780" w:type="dxa"/>
            <w:vAlign w:val="bottom"/>
            <w:shd w:val="clear" w:color="auto" w:fill="086FB8"/>
          </w:tcPr>
          <w:p>
            <w:pPr>
              <w:spacing w:after="0"/>
              <w:rPr>
                <w:sz w:val="11"/>
                <w:szCs w:val="11"/>
                <w:color w:val="auto"/>
              </w:rPr>
            </w:pPr>
          </w:p>
        </w:tc>
        <w:tc>
          <w:tcPr>
            <w:tcW w:w="780" w:type="dxa"/>
            <w:vAlign w:val="bottom"/>
            <w:shd w:val="clear" w:color="auto" w:fill="086FB8"/>
          </w:tcPr>
          <w:p>
            <w:pPr>
              <w:spacing w:after="0"/>
              <w:rPr>
                <w:sz w:val="11"/>
                <w:szCs w:val="11"/>
                <w:color w:val="auto"/>
              </w:rPr>
            </w:pPr>
          </w:p>
        </w:tc>
        <w:tc>
          <w:tcPr>
            <w:tcW w:w="880" w:type="dxa"/>
            <w:vAlign w:val="bottom"/>
            <w:shd w:val="clear" w:color="auto" w:fill="086FB8"/>
          </w:tcPr>
          <w:p>
            <w:pPr>
              <w:jc w:val="center"/>
              <w:ind w:right="38"/>
              <w:spacing w:after="0" w:line="134" w:lineRule="exact"/>
              <w:rPr>
                <w:sz w:val="20"/>
                <w:szCs w:val="20"/>
                <w:color w:val="auto"/>
              </w:rPr>
            </w:pPr>
            <w:r>
              <w:rPr>
                <w:rFonts w:ascii="Arial" w:cs="Arial" w:eastAsia="Arial" w:hAnsi="Arial"/>
                <w:sz w:val="12"/>
                <w:szCs w:val="12"/>
                <w:b w:val="1"/>
                <w:bCs w:val="1"/>
                <w:color w:val="FFFFFF"/>
                <w:w w:val="91"/>
              </w:rPr>
              <w:t>Stock</w:t>
            </w:r>
          </w:p>
        </w:tc>
        <w:tc>
          <w:tcPr>
            <w:tcW w:w="86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rPr>
              <w:t>All Other</w:t>
            </w:r>
          </w:p>
        </w:tc>
        <w:tc>
          <w:tcPr>
            <w:tcW w:w="760" w:type="dxa"/>
            <w:vAlign w:val="bottom"/>
            <w:shd w:val="clear" w:color="auto" w:fill="086FB8"/>
          </w:tcPr>
          <w:p>
            <w:pPr>
              <w:spacing w:after="0"/>
              <w:rPr>
                <w:sz w:val="11"/>
                <w:szCs w:val="11"/>
                <w:color w:val="auto"/>
              </w:rPr>
            </w:pPr>
          </w:p>
        </w:tc>
        <w:tc>
          <w:tcPr>
            <w:tcW w:w="72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9"/>
              </w:rPr>
              <w:t>Grant</w:t>
            </w:r>
          </w:p>
        </w:tc>
      </w:tr>
      <w:tr>
        <w:trPr>
          <w:trHeight w:val="134"/>
        </w:trPr>
        <w:tc>
          <w:tcPr>
            <w:tcW w:w="1560" w:type="dxa"/>
            <w:vAlign w:val="bottom"/>
            <w:tcBorders>
              <w:left w:val="single" w:sz="8" w:color="auto"/>
            </w:tcBorders>
            <w:shd w:val="clear" w:color="auto" w:fill="086FB8"/>
          </w:tcPr>
          <w:p>
            <w:pPr>
              <w:spacing w:after="0"/>
              <w:rPr>
                <w:sz w:val="11"/>
                <w:szCs w:val="11"/>
                <w:color w:val="auto"/>
              </w:rPr>
            </w:pPr>
          </w:p>
        </w:tc>
        <w:tc>
          <w:tcPr>
            <w:tcW w:w="380" w:type="dxa"/>
            <w:vAlign w:val="bottom"/>
            <w:shd w:val="clear" w:color="auto" w:fill="086FB8"/>
          </w:tcPr>
          <w:p>
            <w:pPr>
              <w:spacing w:after="0"/>
              <w:rPr>
                <w:sz w:val="11"/>
                <w:szCs w:val="11"/>
                <w:color w:val="auto"/>
              </w:rPr>
            </w:pPr>
          </w:p>
        </w:tc>
        <w:tc>
          <w:tcPr>
            <w:tcW w:w="600" w:type="dxa"/>
            <w:vAlign w:val="bottom"/>
            <w:shd w:val="clear" w:color="auto" w:fill="086FB8"/>
          </w:tcPr>
          <w:p>
            <w:pPr>
              <w:spacing w:after="0"/>
              <w:rPr>
                <w:sz w:val="11"/>
                <w:szCs w:val="11"/>
                <w:color w:val="auto"/>
              </w:rPr>
            </w:pPr>
          </w:p>
        </w:tc>
        <w:tc>
          <w:tcPr>
            <w:tcW w:w="740" w:type="dxa"/>
            <w:vAlign w:val="bottom"/>
            <w:shd w:val="clear" w:color="auto" w:fill="086FB8"/>
          </w:tcPr>
          <w:p>
            <w:pPr>
              <w:spacing w:after="0"/>
              <w:rPr>
                <w:sz w:val="11"/>
                <w:szCs w:val="11"/>
                <w:color w:val="auto"/>
              </w:rPr>
            </w:pPr>
          </w:p>
        </w:tc>
        <w:tc>
          <w:tcPr>
            <w:tcW w:w="2540" w:type="dxa"/>
            <w:vAlign w:val="bottom"/>
            <w:gridSpan w:val="3"/>
            <w:shd w:val="clear" w:color="auto" w:fill="086FB8"/>
          </w:tcPr>
          <w:p>
            <w:pPr>
              <w:jc w:val="center"/>
              <w:ind w:right="18"/>
              <w:spacing w:after="0" w:line="134" w:lineRule="exact"/>
              <w:rPr>
                <w:sz w:val="20"/>
                <w:szCs w:val="20"/>
                <w:color w:val="auto"/>
              </w:rPr>
            </w:pPr>
            <w:r>
              <w:rPr>
                <w:rFonts w:ascii="Arial" w:cs="Arial" w:eastAsia="Arial" w:hAnsi="Arial"/>
                <w:sz w:val="12"/>
                <w:szCs w:val="12"/>
                <w:b w:val="1"/>
                <w:bCs w:val="1"/>
                <w:color w:val="FFFFFF"/>
                <w:w w:val="93"/>
              </w:rPr>
              <w:t>Estimated Future Payouts</w:t>
            </w:r>
          </w:p>
        </w:tc>
        <w:tc>
          <w:tcPr>
            <w:tcW w:w="2300" w:type="dxa"/>
            <w:vAlign w:val="bottom"/>
            <w:gridSpan w:val="3"/>
            <w:shd w:val="clear" w:color="auto" w:fill="086FB8"/>
          </w:tcPr>
          <w:p>
            <w:pPr>
              <w:jc w:val="center"/>
              <w:ind w:right="18"/>
              <w:spacing w:after="0" w:line="134" w:lineRule="exact"/>
              <w:rPr>
                <w:sz w:val="20"/>
                <w:szCs w:val="20"/>
                <w:color w:val="auto"/>
              </w:rPr>
            </w:pPr>
            <w:r>
              <w:rPr>
                <w:rFonts w:ascii="Arial" w:cs="Arial" w:eastAsia="Arial" w:hAnsi="Arial"/>
                <w:sz w:val="12"/>
                <w:szCs w:val="12"/>
                <w:b w:val="1"/>
                <w:bCs w:val="1"/>
                <w:color w:val="FFFFFF"/>
                <w:w w:val="93"/>
              </w:rPr>
              <w:t>Estimated Future Payouts</w:t>
            </w:r>
          </w:p>
        </w:tc>
        <w:tc>
          <w:tcPr>
            <w:tcW w:w="880" w:type="dxa"/>
            <w:vAlign w:val="bottom"/>
            <w:shd w:val="clear" w:color="auto" w:fill="086FB8"/>
          </w:tcPr>
          <w:p>
            <w:pPr>
              <w:jc w:val="center"/>
              <w:ind w:right="38"/>
              <w:spacing w:after="0" w:line="134" w:lineRule="exact"/>
              <w:rPr>
                <w:sz w:val="20"/>
                <w:szCs w:val="20"/>
                <w:color w:val="auto"/>
              </w:rPr>
            </w:pPr>
            <w:r>
              <w:rPr>
                <w:rFonts w:ascii="Arial" w:cs="Arial" w:eastAsia="Arial" w:hAnsi="Arial"/>
                <w:sz w:val="12"/>
                <w:szCs w:val="12"/>
                <w:b w:val="1"/>
                <w:bCs w:val="1"/>
                <w:color w:val="FFFFFF"/>
                <w:w w:val="97"/>
              </w:rPr>
              <w:t>Awards;</w:t>
            </w:r>
          </w:p>
        </w:tc>
        <w:tc>
          <w:tcPr>
            <w:tcW w:w="860" w:type="dxa"/>
            <w:vAlign w:val="bottom"/>
            <w:shd w:val="clear" w:color="auto" w:fill="086FB8"/>
          </w:tcPr>
          <w:p>
            <w:pPr>
              <w:jc w:val="center"/>
              <w:ind w:right="18"/>
              <w:spacing w:after="0" w:line="134" w:lineRule="exact"/>
              <w:rPr>
                <w:sz w:val="20"/>
                <w:szCs w:val="20"/>
                <w:color w:val="auto"/>
              </w:rPr>
            </w:pPr>
            <w:r>
              <w:rPr>
                <w:rFonts w:ascii="Arial" w:cs="Arial" w:eastAsia="Arial" w:hAnsi="Arial"/>
                <w:sz w:val="12"/>
                <w:szCs w:val="12"/>
                <w:b w:val="1"/>
                <w:bCs w:val="1"/>
                <w:color w:val="FFFFFF"/>
                <w:w w:val="98"/>
              </w:rPr>
              <w:t>Option</w:t>
            </w:r>
          </w:p>
        </w:tc>
        <w:tc>
          <w:tcPr>
            <w:tcW w:w="76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3"/>
              </w:rPr>
              <w:t>Exercise</w:t>
            </w:r>
          </w:p>
        </w:tc>
        <w:tc>
          <w:tcPr>
            <w:tcW w:w="72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7"/>
              </w:rPr>
              <w:t>Date Fair</w:t>
            </w:r>
          </w:p>
        </w:tc>
      </w:tr>
      <w:tr>
        <w:trPr>
          <w:trHeight w:val="134"/>
        </w:trPr>
        <w:tc>
          <w:tcPr>
            <w:tcW w:w="1560" w:type="dxa"/>
            <w:vAlign w:val="bottom"/>
            <w:tcBorders>
              <w:left w:val="single" w:sz="8" w:color="auto"/>
            </w:tcBorders>
            <w:shd w:val="clear" w:color="auto" w:fill="086FB8"/>
          </w:tcPr>
          <w:p>
            <w:pPr>
              <w:spacing w:after="0"/>
              <w:rPr>
                <w:sz w:val="11"/>
                <w:szCs w:val="11"/>
                <w:color w:val="auto"/>
              </w:rPr>
            </w:pPr>
          </w:p>
        </w:tc>
        <w:tc>
          <w:tcPr>
            <w:tcW w:w="380" w:type="dxa"/>
            <w:vAlign w:val="bottom"/>
            <w:shd w:val="clear" w:color="auto" w:fill="086FB8"/>
          </w:tcPr>
          <w:p>
            <w:pPr>
              <w:spacing w:after="0"/>
              <w:rPr>
                <w:sz w:val="11"/>
                <w:szCs w:val="11"/>
                <w:color w:val="auto"/>
              </w:rPr>
            </w:pPr>
          </w:p>
        </w:tc>
        <w:tc>
          <w:tcPr>
            <w:tcW w:w="600" w:type="dxa"/>
            <w:vAlign w:val="bottom"/>
            <w:shd w:val="clear" w:color="auto" w:fill="086FB8"/>
          </w:tcPr>
          <w:p>
            <w:pPr>
              <w:spacing w:after="0"/>
              <w:rPr>
                <w:sz w:val="11"/>
                <w:szCs w:val="11"/>
                <w:color w:val="auto"/>
              </w:rPr>
            </w:pPr>
          </w:p>
        </w:tc>
        <w:tc>
          <w:tcPr>
            <w:tcW w:w="740" w:type="dxa"/>
            <w:vAlign w:val="bottom"/>
            <w:shd w:val="clear" w:color="auto" w:fill="086FB8"/>
          </w:tcPr>
          <w:p>
            <w:pPr>
              <w:spacing w:after="0"/>
              <w:rPr>
                <w:sz w:val="11"/>
                <w:szCs w:val="11"/>
                <w:color w:val="auto"/>
              </w:rPr>
            </w:pPr>
          </w:p>
        </w:tc>
        <w:tc>
          <w:tcPr>
            <w:tcW w:w="720" w:type="dxa"/>
            <w:vAlign w:val="bottom"/>
            <w:shd w:val="clear" w:color="auto" w:fill="086FB8"/>
          </w:tcPr>
          <w:p>
            <w:pPr>
              <w:spacing w:after="0"/>
              <w:rPr>
                <w:sz w:val="11"/>
                <w:szCs w:val="11"/>
                <w:color w:val="auto"/>
              </w:rPr>
            </w:pPr>
          </w:p>
        </w:tc>
        <w:tc>
          <w:tcPr>
            <w:tcW w:w="104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6"/>
              </w:rPr>
              <w:t>Under Non-Equity</w:t>
            </w:r>
          </w:p>
        </w:tc>
        <w:tc>
          <w:tcPr>
            <w:tcW w:w="780" w:type="dxa"/>
            <w:vAlign w:val="bottom"/>
            <w:shd w:val="clear" w:color="auto" w:fill="086FB8"/>
          </w:tcPr>
          <w:p>
            <w:pPr>
              <w:spacing w:after="0"/>
              <w:rPr>
                <w:sz w:val="11"/>
                <w:szCs w:val="11"/>
                <w:color w:val="auto"/>
              </w:rPr>
            </w:pPr>
          </w:p>
        </w:tc>
        <w:tc>
          <w:tcPr>
            <w:tcW w:w="740" w:type="dxa"/>
            <w:vAlign w:val="bottom"/>
            <w:shd w:val="clear" w:color="auto" w:fill="086FB8"/>
          </w:tcPr>
          <w:p>
            <w:pPr>
              <w:spacing w:after="0"/>
              <w:rPr>
                <w:sz w:val="11"/>
                <w:szCs w:val="11"/>
                <w:color w:val="auto"/>
              </w:rPr>
            </w:pPr>
          </w:p>
        </w:tc>
        <w:tc>
          <w:tcPr>
            <w:tcW w:w="78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9"/>
              </w:rPr>
              <w:t>Under Equity</w:t>
            </w:r>
          </w:p>
        </w:tc>
        <w:tc>
          <w:tcPr>
            <w:tcW w:w="780" w:type="dxa"/>
            <w:vAlign w:val="bottom"/>
            <w:shd w:val="clear" w:color="auto" w:fill="086FB8"/>
          </w:tcPr>
          <w:p>
            <w:pPr>
              <w:spacing w:after="0"/>
              <w:rPr>
                <w:sz w:val="11"/>
                <w:szCs w:val="11"/>
                <w:color w:val="auto"/>
              </w:rPr>
            </w:pPr>
          </w:p>
        </w:tc>
        <w:tc>
          <w:tcPr>
            <w:tcW w:w="880" w:type="dxa"/>
            <w:vAlign w:val="bottom"/>
            <w:shd w:val="clear" w:color="auto" w:fill="086FB8"/>
          </w:tcPr>
          <w:p>
            <w:pPr>
              <w:jc w:val="center"/>
              <w:ind w:right="38"/>
              <w:spacing w:after="0" w:line="134" w:lineRule="exact"/>
              <w:rPr>
                <w:sz w:val="20"/>
                <w:szCs w:val="20"/>
                <w:color w:val="auto"/>
              </w:rPr>
            </w:pPr>
            <w:r>
              <w:rPr>
                <w:rFonts w:ascii="Arial" w:cs="Arial" w:eastAsia="Arial" w:hAnsi="Arial"/>
                <w:sz w:val="12"/>
                <w:szCs w:val="12"/>
                <w:b w:val="1"/>
                <w:bCs w:val="1"/>
                <w:color w:val="FFFFFF"/>
                <w:w w:val="96"/>
              </w:rPr>
              <w:t>Number of</w:t>
            </w:r>
          </w:p>
        </w:tc>
        <w:tc>
          <w:tcPr>
            <w:tcW w:w="86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2"/>
              </w:rPr>
              <w:t>Awards:</w:t>
            </w:r>
          </w:p>
        </w:tc>
        <w:tc>
          <w:tcPr>
            <w:tcW w:w="76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0"/>
              </w:rPr>
              <w:t>or Base</w:t>
            </w:r>
          </w:p>
        </w:tc>
        <w:tc>
          <w:tcPr>
            <w:tcW w:w="72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4"/>
              </w:rPr>
              <w:t>Value of</w:t>
            </w:r>
          </w:p>
        </w:tc>
      </w:tr>
      <w:tr>
        <w:trPr>
          <w:trHeight w:val="152"/>
        </w:trPr>
        <w:tc>
          <w:tcPr>
            <w:tcW w:w="1560" w:type="dxa"/>
            <w:vAlign w:val="bottom"/>
            <w:tcBorders>
              <w:left w:val="single" w:sz="8" w:color="auto"/>
            </w:tcBorders>
            <w:shd w:val="clear" w:color="auto" w:fill="086FB8"/>
          </w:tcPr>
          <w:p>
            <w:pPr>
              <w:spacing w:after="0"/>
              <w:rPr>
                <w:sz w:val="13"/>
                <w:szCs w:val="13"/>
                <w:color w:val="auto"/>
              </w:rPr>
            </w:pPr>
          </w:p>
        </w:tc>
        <w:tc>
          <w:tcPr>
            <w:tcW w:w="380" w:type="dxa"/>
            <w:vAlign w:val="bottom"/>
            <w:shd w:val="clear" w:color="auto" w:fill="086FB8"/>
          </w:tcPr>
          <w:p>
            <w:pPr>
              <w:spacing w:after="0"/>
              <w:rPr>
                <w:sz w:val="13"/>
                <w:szCs w:val="13"/>
                <w:color w:val="auto"/>
              </w:rPr>
            </w:pPr>
          </w:p>
        </w:tc>
        <w:tc>
          <w:tcPr>
            <w:tcW w:w="600" w:type="dxa"/>
            <w:vAlign w:val="bottom"/>
            <w:shd w:val="clear" w:color="auto" w:fill="086FB8"/>
          </w:tcPr>
          <w:p>
            <w:pPr>
              <w:spacing w:after="0"/>
              <w:rPr>
                <w:sz w:val="13"/>
                <w:szCs w:val="13"/>
                <w:color w:val="auto"/>
              </w:rPr>
            </w:pPr>
          </w:p>
        </w:tc>
        <w:tc>
          <w:tcPr>
            <w:tcW w:w="740" w:type="dxa"/>
            <w:vAlign w:val="bottom"/>
            <w:shd w:val="clear" w:color="auto" w:fill="086FB8"/>
          </w:tcPr>
          <w:p>
            <w:pPr>
              <w:spacing w:after="0"/>
              <w:rPr>
                <w:sz w:val="13"/>
                <w:szCs w:val="13"/>
                <w:color w:val="auto"/>
              </w:rPr>
            </w:pPr>
          </w:p>
        </w:tc>
        <w:tc>
          <w:tcPr>
            <w:tcW w:w="2540" w:type="dxa"/>
            <w:vAlign w:val="bottom"/>
            <w:gridSpan w:val="3"/>
            <w:shd w:val="clear" w:color="auto" w:fill="086FB8"/>
          </w:tcPr>
          <w:p>
            <w:pPr>
              <w:jc w:val="center"/>
              <w:ind w:right="38"/>
              <w:spacing w:after="0"/>
              <w:rPr>
                <w:sz w:val="20"/>
                <w:szCs w:val="20"/>
                <w:color w:val="auto"/>
              </w:rPr>
            </w:pPr>
            <w:r>
              <w:rPr>
                <w:rFonts w:ascii="Arial" w:cs="Arial" w:eastAsia="Arial" w:hAnsi="Arial"/>
                <w:sz w:val="12"/>
                <w:szCs w:val="12"/>
                <w:b w:val="1"/>
                <w:bCs w:val="1"/>
                <w:color w:val="FFFFFF"/>
                <w:w w:val="94"/>
              </w:rPr>
              <w:t>Incentive Plan Awards</w:t>
            </w:r>
          </w:p>
        </w:tc>
        <w:tc>
          <w:tcPr>
            <w:tcW w:w="2300" w:type="dxa"/>
            <w:vAlign w:val="bottom"/>
            <w:gridSpan w:val="3"/>
            <w:shd w:val="clear" w:color="auto" w:fill="086FB8"/>
          </w:tcPr>
          <w:p>
            <w:pPr>
              <w:jc w:val="center"/>
              <w:ind w:right="38"/>
              <w:spacing w:after="0"/>
              <w:rPr>
                <w:sz w:val="20"/>
                <w:szCs w:val="20"/>
                <w:color w:val="auto"/>
              </w:rPr>
            </w:pPr>
            <w:r>
              <w:rPr>
                <w:rFonts w:ascii="Arial" w:cs="Arial" w:eastAsia="Arial" w:hAnsi="Arial"/>
                <w:sz w:val="12"/>
                <w:szCs w:val="12"/>
                <w:b w:val="1"/>
                <w:bCs w:val="1"/>
                <w:color w:val="FFFFFF"/>
                <w:w w:val="94"/>
              </w:rPr>
              <w:t>Incentive Plan Awards</w:t>
            </w:r>
          </w:p>
        </w:tc>
        <w:tc>
          <w:tcPr>
            <w:tcW w:w="880" w:type="dxa"/>
            <w:vAlign w:val="bottom"/>
            <w:shd w:val="clear" w:color="auto" w:fill="086FB8"/>
          </w:tcPr>
          <w:p>
            <w:pPr>
              <w:jc w:val="center"/>
              <w:ind w:right="38"/>
              <w:spacing w:after="0"/>
              <w:rPr>
                <w:sz w:val="20"/>
                <w:szCs w:val="20"/>
                <w:color w:val="auto"/>
              </w:rPr>
            </w:pPr>
            <w:r>
              <w:rPr>
                <w:rFonts w:ascii="Arial" w:cs="Arial" w:eastAsia="Arial" w:hAnsi="Arial"/>
                <w:sz w:val="12"/>
                <w:szCs w:val="12"/>
                <w:b w:val="1"/>
                <w:bCs w:val="1"/>
                <w:color w:val="FFFFFF"/>
                <w:w w:val="91"/>
              </w:rPr>
              <w:t>Shares of</w:t>
            </w:r>
          </w:p>
        </w:tc>
        <w:tc>
          <w:tcPr>
            <w:tcW w:w="860" w:type="dxa"/>
            <w:vAlign w:val="bottom"/>
            <w:shd w:val="clear" w:color="auto" w:fill="086FB8"/>
          </w:tcPr>
          <w:p>
            <w:pPr>
              <w:jc w:val="center"/>
              <w:ind w:right="18"/>
              <w:spacing w:after="0"/>
              <w:rPr>
                <w:sz w:val="20"/>
                <w:szCs w:val="20"/>
                <w:color w:val="auto"/>
              </w:rPr>
            </w:pPr>
            <w:r>
              <w:rPr>
                <w:rFonts w:ascii="Arial" w:cs="Arial" w:eastAsia="Arial" w:hAnsi="Arial"/>
                <w:sz w:val="12"/>
                <w:szCs w:val="12"/>
                <w:b w:val="1"/>
                <w:bCs w:val="1"/>
                <w:color w:val="FFFFFF"/>
                <w:w w:val="96"/>
              </w:rPr>
              <w:t>Number of</w:t>
            </w:r>
          </w:p>
        </w:tc>
        <w:tc>
          <w:tcPr>
            <w:tcW w:w="760" w:type="dxa"/>
            <w:vAlign w:val="bottom"/>
            <w:shd w:val="clear" w:color="auto" w:fill="086FB8"/>
          </w:tcPr>
          <w:p>
            <w:pPr>
              <w:jc w:val="center"/>
              <w:spacing w:after="0"/>
              <w:rPr>
                <w:sz w:val="20"/>
                <w:szCs w:val="20"/>
                <w:color w:val="auto"/>
              </w:rPr>
            </w:pPr>
            <w:r>
              <w:rPr>
                <w:rFonts w:ascii="Arial" w:cs="Arial" w:eastAsia="Arial" w:hAnsi="Arial"/>
                <w:sz w:val="12"/>
                <w:szCs w:val="12"/>
                <w:b w:val="1"/>
                <w:bCs w:val="1"/>
                <w:color w:val="FFFFFF"/>
                <w:w w:val="95"/>
              </w:rPr>
              <w:t>Price of</w:t>
            </w:r>
          </w:p>
        </w:tc>
        <w:tc>
          <w:tcPr>
            <w:tcW w:w="720" w:type="dxa"/>
            <w:vAlign w:val="bottom"/>
            <w:shd w:val="clear" w:color="auto" w:fill="086FB8"/>
          </w:tcPr>
          <w:p>
            <w:pPr>
              <w:jc w:val="center"/>
              <w:spacing w:after="0"/>
              <w:rPr>
                <w:sz w:val="20"/>
                <w:szCs w:val="20"/>
                <w:color w:val="auto"/>
              </w:rPr>
            </w:pPr>
            <w:r>
              <w:rPr>
                <w:rFonts w:ascii="Arial" w:cs="Arial" w:eastAsia="Arial" w:hAnsi="Arial"/>
                <w:sz w:val="12"/>
                <w:szCs w:val="12"/>
                <w:b w:val="1"/>
                <w:bCs w:val="1"/>
                <w:color w:val="FFFFFF"/>
                <w:w w:val="94"/>
              </w:rPr>
              <w:t>Stock and</w:t>
            </w:r>
          </w:p>
        </w:tc>
      </w:tr>
      <w:tr>
        <w:trPr>
          <w:trHeight w:val="129"/>
        </w:trPr>
        <w:tc>
          <w:tcPr>
            <w:tcW w:w="1560" w:type="dxa"/>
            <w:vAlign w:val="bottom"/>
            <w:tcBorders>
              <w:left w:val="single" w:sz="8" w:color="auto"/>
            </w:tcBorders>
            <w:shd w:val="clear" w:color="auto" w:fill="086FB8"/>
          </w:tcPr>
          <w:p>
            <w:pPr>
              <w:spacing w:after="0"/>
              <w:rPr>
                <w:sz w:val="11"/>
                <w:szCs w:val="11"/>
                <w:color w:val="auto"/>
              </w:rPr>
            </w:pPr>
          </w:p>
        </w:tc>
        <w:tc>
          <w:tcPr>
            <w:tcW w:w="380" w:type="dxa"/>
            <w:vAlign w:val="bottom"/>
            <w:shd w:val="clear" w:color="auto" w:fill="086FB8"/>
          </w:tcPr>
          <w:p>
            <w:pPr>
              <w:spacing w:after="0"/>
              <w:rPr>
                <w:sz w:val="11"/>
                <w:szCs w:val="11"/>
                <w:color w:val="auto"/>
              </w:rPr>
            </w:pPr>
          </w:p>
        </w:tc>
        <w:tc>
          <w:tcPr>
            <w:tcW w:w="600" w:type="dxa"/>
            <w:vAlign w:val="bottom"/>
            <w:shd w:val="clear" w:color="auto" w:fill="086FB8"/>
          </w:tcPr>
          <w:p>
            <w:pPr>
              <w:jc w:val="center"/>
              <w:spacing w:after="0" w:line="129" w:lineRule="exact"/>
              <w:rPr>
                <w:sz w:val="20"/>
                <w:szCs w:val="20"/>
                <w:color w:val="auto"/>
              </w:rPr>
            </w:pPr>
            <w:r>
              <w:rPr>
                <w:rFonts w:ascii="Arial" w:cs="Arial" w:eastAsia="Arial" w:hAnsi="Arial"/>
                <w:sz w:val="12"/>
                <w:szCs w:val="12"/>
                <w:b w:val="1"/>
                <w:bCs w:val="1"/>
                <w:color w:val="FFFFFF"/>
                <w:w w:val="93"/>
              </w:rPr>
              <w:t>Type of</w:t>
            </w:r>
          </w:p>
        </w:tc>
        <w:tc>
          <w:tcPr>
            <w:tcW w:w="740" w:type="dxa"/>
            <w:vAlign w:val="bottom"/>
            <w:shd w:val="clear" w:color="auto" w:fill="086FB8"/>
          </w:tcPr>
          <w:p>
            <w:pPr>
              <w:spacing w:after="0"/>
              <w:rPr>
                <w:sz w:val="11"/>
                <w:szCs w:val="11"/>
                <w:color w:val="auto"/>
              </w:rPr>
            </w:pPr>
          </w:p>
        </w:tc>
        <w:tc>
          <w:tcPr>
            <w:tcW w:w="720" w:type="dxa"/>
            <w:vAlign w:val="bottom"/>
            <w:shd w:val="clear" w:color="auto" w:fill="086FB8"/>
          </w:tcPr>
          <w:p>
            <w:pPr>
              <w:spacing w:after="0"/>
              <w:rPr>
                <w:sz w:val="11"/>
                <w:szCs w:val="11"/>
                <w:color w:val="auto"/>
              </w:rPr>
            </w:pPr>
          </w:p>
        </w:tc>
        <w:tc>
          <w:tcPr>
            <w:tcW w:w="1040" w:type="dxa"/>
            <w:vAlign w:val="bottom"/>
            <w:shd w:val="clear" w:color="auto" w:fill="086FB8"/>
          </w:tcPr>
          <w:p>
            <w:pPr>
              <w:spacing w:after="0"/>
              <w:rPr>
                <w:sz w:val="11"/>
                <w:szCs w:val="11"/>
                <w:color w:val="auto"/>
              </w:rPr>
            </w:pPr>
          </w:p>
        </w:tc>
        <w:tc>
          <w:tcPr>
            <w:tcW w:w="780" w:type="dxa"/>
            <w:vAlign w:val="bottom"/>
            <w:shd w:val="clear" w:color="auto" w:fill="086FB8"/>
          </w:tcPr>
          <w:p>
            <w:pPr>
              <w:spacing w:after="0"/>
              <w:rPr>
                <w:sz w:val="11"/>
                <w:szCs w:val="11"/>
                <w:color w:val="auto"/>
              </w:rPr>
            </w:pPr>
          </w:p>
        </w:tc>
        <w:tc>
          <w:tcPr>
            <w:tcW w:w="740" w:type="dxa"/>
            <w:vAlign w:val="bottom"/>
            <w:shd w:val="clear" w:color="auto" w:fill="086FB8"/>
          </w:tcPr>
          <w:p>
            <w:pPr>
              <w:spacing w:after="0"/>
              <w:rPr>
                <w:sz w:val="11"/>
                <w:szCs w:val="11"/>
                <w:color w:val="auto"/>
              </w:rPr>
            </w:pPr>
          </w:p>
        </w:tc>
        <w:tc>
          <w:tcPr>
            <w:tcW w:w="780" w:type="dxa"/>
            <w:vAlign w:val="bottom"/>
            <w:shd w:val="clear" w:color="auto" w:fill="086FB8"/>
          </w:tcPr>
          <w:p>
            <w:pPr>
              <w:spacing w:after="0"/>
              <w:rPr>
                <w:sz w:val="11"/>
                <w:szCs w:val="11"/>
                <w:color w:val="auto"/>
              </w:rPr>
            </w:pPr>
          </w:p>
        </w:tc>
        <w:tc>
          <w:tcPr>
            <w:tcW w:w="780" w:type="dxa"/>
            <w:vAlign w:val="bottom"/>
            <w:shd w:val="clear" w:color="auto" w:fill="086FB8"/>
          </w:tcPr>
          <w:p>
            <w:pPr>
              <w:spacing w:after="0"/>
              <w:rPr>
                <w:sz w:val="11"/>
                <w:szCs w:val="11"/>
                <w:color w:val="auto"/>
              </w:rPr>
            </w:pPr>
          </w:p>
        </w:tc>
        <w:tc>
          <w:tcPr>
            <w:tcW w:w="880" w:type="dxa"/>
            <w:vAlign w:val="bottom"/>
            <w:shd w:val="clear" w:color="auto" w:fill="086FB8"/>
          </w:tcPr>
          <w:p>
            <w:pPr>
              <w:jc w:val="center"/>
              <w:ind w:right="38"/>
              <w:spacing w:after="0" w:line="129" w:lineRule="exact"/>
              <w:rPr>
                <w:sz w:val="20"/>
                <w:szCs w:val="20"/>
                <w:color w:val="auto"/>
              </w:rPr>
            </w:pPr>
            <w:r>
              <w:rPr>
                <w:rFonts w:ascii="Arial" w:cs="Arial" w:eastAsia="Arial" w:hAnsi="Arial"/>
                <w:sz w:val="12"/>
                <w:szCs w:val="12"/>
                <w:b w:val="1"/>
                <w:bCs w:val="1"/>
                <w:color w:val="FFFFFF"/>
                <w:w w:val="95"/>
              </w:rPr>
              <w:t>Stock or</w:t>
            </w:r>
          </w:p>
        </w:tc>
        <w:tc>
          <w:tcPr>
            <w:tcW w:w="860" w:type="dxa"/>
            <w:vAlign w:val="bottom"/>
            <w:shd w:val="clear" w:color="auto" w:fill="086FB8"/>
          </w:tcPr>
          <w:p>
            <w:pPr>
              <w:jc w:val="center"/>
              <w:spacing w:after="0" w:line="129" w:lineRule="exact"/>
              <w:rPr>
                <w:sz w:val="20"/>
                <w:szCs w:val="20"/>
                <w:color w:val="auto"/>
              </w:rPr>
            </w:pPr>
            <w:r>
              <w:rPr>
                <w:rFonts w:ascii="Arial" w:cs="Arial" w:eastAsia="Arial" w:hAnsi="Arial"/>
                <w:sz w:val="12"/>
                <w:szCs w:val="12"/>
                <w:b w:val="1"/>
                <w:bCs w:val="1"/>
                <w:color w:val="FFFFFF"/>
                <w:w w:val="90"/>
              </w:rPr>
              <w:t>Securities</w:t>
            </w:r>
          </w:p>
        </w:tc>
        <w:tc>
          <w:tcPr>
            <w:tcW w:w="760" w:type="dxa"/>
            <w:vAlign w:val="bottom"/>
            <w:shd w:val="clear" w:color="auto" w:fill="086FB8"/>
          </w:tcPr>
          <w:p>
            <w:pPr>
              <w:jc w:val="center"/>
              <w:spacing w:after="0" w:line="129" w:lineRule="exact"/>
              <w:rPr>
                <w:sz w:val="20"/>
                <w:szCs w:val="20"/>
                <w:color w:val="auto"/>
              </w:rPr>
            </w:pPr>
            <w:r>
              <w:rPr>
                <w:rFonts w:ascii="Arial" w:cs="Arial" w:eastAsia="Arial" w:hAnsi="Arial"/>
                <w:sz w:val="12"/>
                <w:szCs w:val="12"/>
                <w:b w:val="1"/>
                <w:bCs w:val="1"/>
                <w:color w:val="FFFFFF"/>
                <w:w w:val="98"/>
              </w:rPr>
              <w:t>Option</w:t>
            </w:r>
          </w:p>
        </w:tc>
        <w:tc>
          <w:tcPr>
            <w:tcW w:w="720" w:type="dxa"/>
            <w:vAlign w:val="bottom"/>
            <w:shd w:val="clear" w:color="auto" w:fill="086FB8"/>
          </w:tcPr>
          <w:p>
            <w:pPr>
              <w:jc w:val="center"/>
              <w:spacing w:after="0" w:line="129" w:lineRule="exact"/>
              <w:rPr>
                <w:sz w:val="20"/>
                <w:szCs w:val="20"/>
                <w:color w:val="auto"/>
              </w:rPr>
            </w:pPr>
            <w:r>
              <w:rPr>
                <w:rFonts w:ascii="Arial" w:cs="Arial" w:eastAsia="Arial" w:hAnsi="Arial"/>
                <w:sz w:val="12"/>
                <w:szCs w:val="12"/>
                <w:b w:val="1"/>
                <w:bCs w:val="1"/>
                <w:color w:val="FFFFFF"/>
                <w:w w:val="98"/>
              </w:rPr>
              <w:t>Option</w:t>
            </w:r>
          </w:p>
        </w:tc>
      </w:tr>
      <w:tr>
        <w:trPr>
          <w:trHeight w:val="134"/>
        </w:trPr>
        <w:tc>
          <w:tcPr>
            <w:tcW w:w="1560" w:type="dxa"/>
            <w:vAlign w:val="bottom"/>
            <w:tcBorders>
              <w:left w:val="single" w:sz="8" w:color="auto"/>
            </w:tcBorders>
            <w:shd w:val="clear" w:color="auto" w:fill="086FB8"/>
          </w:tcPr>
          <w:p>
            <w:pPr>
              <w:spacing w:after="0"/>
              <w:rPr>
                <w:sz w:val="11"/>
                <w:szCs w:val="11"/>
                <w:color w:val="auto"/>
              </w:rPr>
            </w:pPr>
          </w:p>
        </w:tc>
        <w:tc>
          <w:tcPr>
            <w:tcW w:w="380" w:type="dxa"/>
            <w:vAlign w:val="bottom"/>
            <w:shd w:val="clear" w:color="auto" w:fill="086FB8"/>
          </w:tcPr>
          <w:p>
            <w:pPr>
              <w:spacing w:after="0"/>
              <w:rPr>
                <w:sz w:val="11"/>
                <w:szCs w:val="11"/>
                <w:color w:val="auto"/>
              </w:rPr>
            </w:pPr>
          </w:p>
        </w:tc>
        <w:tc>
          <w:tcPr>
            <w:tcW w:w="60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8"/>
              </w:rPr>
              <w:t>Award</w:t>
            </w:r>
          </w:p>
        </w:tc>
        <w:tc>
          <w:tcPr>
            <w:tcW w:w="74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rPr>
              <w:t>Grant</w:t>
            </w:r>
          </w:p>
        </w:tc>
        <w:tc>
          <w:tcPr>
            <w:tcW w:w="720" w:type="dxa"/>
            <w:vAlign w:val="bottom"/>
            <w:shd w:val="clear" w:color="auto" w:fill="086FB8"/>
          </w:tcPr>
          <w:p>
            <w:pPr>
              <w:ind w:left="100"/>
              <w:spacing w:after="0" w:line="134" w:lineRule="exact"/>
              <w:rPr>
                <w:sz w:val="20"/>
                <w:szCs w:val="20"/>
                <w:color w:val="auto"/>
              </w:rPr>
            </w:pPr>
            <w:r>
              <w:rPr>
                <w:rFonts w:ascii="Arial" w:cs="Arial" w:eastAsia="Arial" w:hAnsi="Arial"/>
                <w:sz w:val="12"/>
                <w:szCs w:val="12"/>
                <w:b w:val="1"/>
                <w:bCs w:val="1"/>
                <w:color w:val="FFFFFF"/>
              </w:rPr>
              <w:t>Threshold</w:t>
            </w:r>
          </w:p>
        </w:tc>
        <w:tc>
          <w:tcPr>
            <w:tcW w:w="104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8"/>
              </w:rPr>
              <w:t>Target</w:t>
            </w:r>
          </w:p>
        </w:tc>
        <w:tc>
          <w:tcPr>
            <w:tcW w:w="780" w:type="dxa"/>
            <w:vAlign w:val="bottom"/>
            <w:shd w:val="clear" w:color="auto" w:fill="086FB8"/>
          </w:tcPr>
          <w:p>
            <w:pPr>
              <w:ind w:left="40"/>
              <w:spacing w:after="0" w:line="134" w:lineRule="exact"/>
              <w:rPr>
                <w:sz w:val="20"/>
                <w:szCs w:val="20"/>
                <w:color w:val="auto"/>
              </w:rPr>
            </w:pPr>
            <w:r>
              <w:rPr>
                <w:rFonts w:ascii="Arial" w:cs="Arial" w:eastAsia="Arial" w:hAnsi="Arial"/>
                <w:sz w:val="12"/>
                <w:szCs w:val="12"/>
                <w:b w:val="1"/>
                <w:bCs w:val="1"/>
                <w:color w:val="FFFFFF"/>
              </w:rPr>
              <w:t>Maximum</w:t>
            </w:r>
          </w:p>
        </w:tc>
        <w:tc>
          <w:tcPr>
            <w:tcW w:w="740" w:type="dxa"/>
            <w:vAlign w:val="bottom"/>
            <w:shd w:val="clear" w:color="auto" w:fill="086FB8"/>
          </w:tcPr>
          <w:p>
            <w:pPr>
              <w:ind w:left="120"/>
              <w:spacing w:after="0" w:line="134" w:lineRule="exact"/>
              <w:rPr>
                <w:sz w:val="20"/>
                <w:szCs w:val="20"/>
                <w:color w:val="auto"/>
              </w:rPr>
            </w:pPr>
            <w:r>
              <w:rPr>
                <w:rFonts w:ascii="Arial" w:cs="Arial" w:eastAsia="Arial" w:hAnsi="Arial"/>
                <w:sz w:val="12"/>
                <w:szCs w:val="12"/>
                <w:b w:val="1"/>
                <w:bCs w:val="1"/>
                <w:color w:val="FFFFFF"/>
              </w:rPr>
              <w:t>Threshold</w:t>
            </w:r>
          </w:p>
        </w:tc>
        <w:tc>
          <w:tcPr>
            <w:tcW w:w="780" w:type="dxa"/>
            <w:vAlign w:val="bottom"/>
            <w:shd w:val="clear" w:color="auto" w:fill="086FB8"/>
          </w:tcPr>
          <w:p>
            <w:pPr>
              <w:jc w:val="right"/>
              <w:ind w:right="158"/>
              <w:spacing w:after="0" w:line="134" w:lineRule="exact"/>
              <w:rPr>
                <w:sz w:val="20"/>
                <w:szCs w:val="20"/>
                <w:color w:val="auto"/>
              </w:rPr>
            </w:pPr>
            <w:r>
              <w:rPr>
                <w:rFonts w:ascii="Arial" w:cs="Arial" w:eastAsia="Arial" w:hAnsi="Arial"/>
                <w:sz w:val="12"/>
                <w:szCs w:val="12"/>
                <w:b w:val="1"/>
                <w:bCs w:val="1"/>
                <w:color w:val="FFFFFF"/>
              </w:rPr>
              <w:t>Target</w:t>
            </w:r>
          </w:p>
        </w:tc>
        <w:tc>
          <w:tcPr>
            <w:tcW w:w="780" w:type="dxa"/>
            <w:vAlign w:val="bottom"/>
            <w:shd w:val="clear" w:color="auto" w:fill="086FB8"/>
          </w:tcPr>
          <w:p>
            <w:pPr>
              <w:jc w:val="right"/>
              <w:ind w:right="118"/>
              <w:spacing w:after="0" w:line="134" w:lineRule="exact"/>
              <w:rPr>
                <w:sz w:val="20"/>
                <w:szCs w:val="20"/>
                <w:color w:val="auto"/>
              </w:rPr>
            </w:pPr>
            <w:r>
              <w:rPr>
                <w:rFonts w:ascii="Arial" w:cs="Arial" w:eastAsia="Arial" w:hAnsi="Arial"/>
                <w:sz w:val="12"/>
                <w:szCs w:val="12"/>
                <w:b w:val="1"/>
                <w:bCs w:val="1"/>
                <w:color w:val="FFFFFF"/>
              </w:rPr>
              <w:t>Maximum</w:t>
            </w:r>
          </w:p>
        </w:tc>
        <w:tc>
          <w:tcPr>
            <w:tcW w:w="880" w:type="dxa"/>
            <w:vAlign w:val="bottom"/>
            <w:shd w:val="clear" w:color="auto" w:fill="086FB8"/>
          </w:tcPr>
          <w:p>
            <w:pPr>
              <w:jc w:val="center"/>
              <w:ind w:right="18"/>
              <w:spacing w:after="0" w:line="134" w:lineRule="exact"/>
              <w:rPr>
                <w:sz w:val="20"/>
                <w:szCs w:val="20"/>
                <w:color w:val="auto"/>
              </w:rPr>
            </w:pPr>
            <w:r>
              <w:rPr>
                <w:rFonts w:ascii="Arial" w:cs="Arial" w:eastAsia="Arial" w:hAnsi="Arial"/>
                <w:sz w:val="12"/>
                <w:szCs w:val="12"/>
                <w:b w:val="1"/>
                <w:bCs w:val="1"/>
                <w:color w:val="FFFFFF"/>
                <w:w w:val="93"/>
              </w:rPr>
              <w:t>Units</w:t>
            </w:r>
          </w:p>
        </w:tc>
        <w:tc>
          <w:tcPr>
            <w:tcW w:w="86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5"/>
              </w:rPr>
              <w:t>Underlying</w:t>
            </w:r>
          </w:p>
        </w:tc>
        <w:tc>
          <w:tcPr>
            <w:tcW w:w="76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6"/>
              </w:rPr>
              <w:t>Awards</w:t>
            </w:r>
          </w:p>
        </w:tc>
        <w:tc>
          <w:tcPr>
            <w:tcW w:w="72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6"/>
              </w:rPr>
              <w:t>Awards</w:t>
            </w:r>
          </w:p>
        </w:tc>
      </w:tr>
      <w:tr>
        <w:trPr>
          <w:trHeight w:val="152"/>
        </w:trPr>
        <w:tc>
          <w:tcPr>
            <w:tcW w:w="1560" w:type="dxa"/>
            <w:vAlign w:val="bottom"/>
            <w:tcBorders>
              <w:left w:val="single" w:sz="8" w:color="auto"/>
              <w:bottom w:val="single" w:sz="8" w:color="auto"/>
            </w:tcBorders>
            <w:shd w:val="clear" w:color="auto" w:fill="086FB8"/>
          </w:tcPr>
          <w:p>
            <w:pPr>
              <w:ind w:left="140"/>
              <w:spacing w:after="0"/>
              <w:rPr>
                <w:sz w:val="20"/>
                <w:szCs w:val="20"/>
                <w:color w:val="auto"/>
              </w:rPr>
            </w:pPr>
            <w:r>
              <w:rPr>
                <w:rFonts w:ascii="Arial" w:cs="Arial" w:eastAsia="Arial" w:hAnsi="Arial"/>
                <w:sz w:val="12"/>
                <w:szCs w:val="12"/>
                <w:b w:val="1"/>
                <w:bCs w:val="1"/>
                <w:color w:val="FFFFFF"/>
              </w:rPr>
              <w:t>Name</w:t>
            </w:r>
          </w:p>
        </w:tc>
        <w:tc>
          <w:tcPr>
            <w:tcW w:w="380" w:type="dxa"/>
            <w:vAlign w:val="bottom"/>
            <w:tcBorders>
              <w:bottom w:val="single" w:sz="8" w:color="auto"/>
            </w:tcBorders>
            <w:shd w:val="clear" w:color="auto" w:fill="086FB8"/>
          </w:tcPr>
          <w:p>
            <w:pPr>
              <w:spacing w:after="0"/>
              <w:rPr>
                <w:sz w:val="13"/>
                <w:szCs w:val="13"/>
                <w:color w:val="auto"/>
              </w:rPr>
            </w:pPr>
          </w:p>
        </w:tc>
        <w:tc>
          <w:tcPr>
            <w:tcW w:w="600" w:type="dxa"/>
            <w:vAlign w:val="bottom"/>
            <w:tcBorders>
              <w:bottom w:val="single" w:sz="8" w:color="auto"/>
            </w:tcBorders>
            <w:shd w:val="clear" w:color="auto" w:fill="086FB8"/>
          </w:tcPr>
          <w:p>
            <w:pPr>
              <w:jc w:val="center"/>
              <w:spacing w:after="0"/>
              <w:rPr>
                <w:sz w:val="20"/>
                <w:szCs w:val="20"/>
                <w:color w:val="auto"/>
              </w:rPr>
            </w:pPr>
            <w:r>
              <w:rPr>
                <w:rFonts w:ascii="Arial" w:cs="Arial" w:eastAsia="Arial" w:hAnsi="Arial"/>
                <w:sz w:val="12"/>
                <w:szCs w:val="12"/>
                <w:b w:val="1"/>
                <w:bCs w:val="1"/>
                <w:color w:val="FFFFFF"/>
              </w:rPr>
              <w:t>(1)</w:t>
            </w:r>
          </w:p>
        </w:tc>
        <w:tc>
          <w:tcPr>
            <w:tcW w:w="740" w:type="dxa"/>
            <w:vAlign w:val="bottom"/>
            <w:tcBorders>
              <w:bottom w:val="single" w:sz="8" w:color="auto"/>
            </w:tcBorders>
            <w:shd w:val="clear" w:color="auto" w:fill="086FB8"/>
          </w:tcPr>
          <w:p>
            <w:pPr>
              <w:jc w:val="center"/>
              <w:spacing w:after="0"/>
              <w:rPr>
                <w:sz w:val="20"/>
                <w:szCs w:val="20"/>
                <w:color w:val="auto"/>
              </w:rPr>
            </w:pPr>
            <w:r>
              <w:rPr>
                <w:rFonts w:ascii="Arial" w:cs="Arial" w:eastAsia="Arial" w:hAnsi="Arial"/>
                <w:sz w:val="12"/>
                <w:szCs w:val="12"/>
                <w:b w:val="1"/>
                <w:bCs w:val="1"/>
                <w:color w:val="FFFFFF"/>
                <w:w w:val="99"/>
              </w:rPr>
              <w:t>Date</w:t>
            </w:r>
          </w:p>
        </w:tc>
        <w:tc>
          <w:tcPr>
            <w:tcW w:w="720" w:type="dxa"/>
            <w:vAlign w:val="bottom"/>
            <w:tcBorders>
              <w:bottom w:val="single" w:sz="8" w:color="auto"/>
            </w:tcBorders>
            <w:shd w:val="clear" w:color="auto" w:fill="086FB8"/>
          </w:tcPr>
          <w:p>
            <w:pPr>
              <w:ind w:left="300"/>
              <w:spacing w:after="0"/>
              <w:rPr>
                <w:sz w:val="20"/>
                <w:szCs w:val="20"/>
                <w:color w:val="auto"/>
              </w:rPr>
            </w:pPr>
            <w:r>
              <w:rPr>
                <w:rFonts w:ascii="Arial" w:cs="Arial" w:eastAsia="Arial" w:hAnsi="Arial"/>
                <w:sz w:val="12"/>
                <w:szCs w:val="12"/>
                <w:b w:val="1"/>
                <w:bCs w:val="1"/>
                <w:color w:val="FFFFFF"/>
              </w:rPr>
              <w:t>($)</w:t>
            </w:r>
          </w:p>
        </w:tc>
        <w:tc>
          <w:tcPr>
            <w:tcW w:w="1040" w:type="dxa"/>
            <w:vAlign w:val="bottom"/>
            <w:tcBorders>
              <w:bottom w:val="single" w:sz="8" w:color="auto"/>
            </w:tcBorders>
            <w:shd w:val="clear" w:color="auto" w:fill="086FB8"/>
          </w:tcPr>
          <w:p>
            <w:pPr>
              <w:jc w:val="center"/>
              <w:spacing w:after="0"/>
              <w:rPr>
                <w:sz w:val="20"/>
                <w:szCs w:val="20"/>
                <w:color w:val="auto"/>
              </w:rPr>
            </w:pPr>
            <w:r>
              <w:rPr>
                <w:rFonts w:ascii="Arial" w:cs="Arial" w:eastAsia="Arial" w:hAnsi="Arial"/>
                <w:sz w:val="12"/>
                <w:szCs w:val="12"/>
                <w:b w:val="1"/>
                <w:bCs w:val="1"/>
                <w:color w:val="FFFFFF"/>
              </w:rPr>
              <w:t>($)</w:t>
            </w:r>
          </w:p>
        </w:tc>
        <w:tc>
          <w:tcPr>
            <w:tcW w:w="780" w:type="dxa"/>
            <w:vAlign w:val="bottom"/>
            <w:tcBorders>
              <w:bottom w:val="single" w:sz="8" w:color="auto"/>
            </w:tcBorders>
            <w:shd w:val="clear" w:color="auto" w:fill="086FB8"/>
          </w:tcPr>
          <w:p>
            <w:pPr>
              <w:ind w:left="240"/>
              <w:spacing w:after="0"/>
              <w:rPr>
                <w:sz w:val="20"/>
                <w:szCs w:val="20"/>
                <w:color w:val="auto"/>
              </w:rPr>
            </w:pPr>
            <w:r>
              <w:rPr>
                <w:rFonts w:ascii="Arial" w:cs="Arial" w:eastAsia="Arial" w:hAnsi="Arial"/>
                <w:sz w:val="12"/>
                <w:szCs w:val="12"/>
                <w:b w:val="1"/>
                <w:bCs w:val="1"/>
                <w:color w:val="FFFFFF"/>
              </w:rPr>
              <w:t>($)</w:t>
            </w:r>
          </w:p>
        </w:tc>
        <w:tc>
          <w:tcPr>
            <w:tcW w:w="740" w:type="dxa"/>
            <w:vAlign w:val="bottom"/>
            <w:tcBorders>
              <w:bottom w:val="single" w:sz="8" w:color="auto"/>
            </w:tcBorders>
            <w:shd w:val="clear" w:color="auto" w:fill="086FB8"/>
          </w:tcPr>
          <w:p>
            <w:pPr>
              <w:ind w:left="320"/>
              <w:spacing w:after="0"/>
              <w:rPr>
                <w:sz w:val="20"/>
                <w:szCs w:val="20"/>
                <w:color w:val="auto"/>
              </w:rPr>
            </w:pPr>
            <w:r>
              <w:rPr>
                <w:rFonts w:ascii="Arial" w:cs="Arial" w:eastAsia="Arial" w:hAnsi="Arial"/>
                <w:sz w:val="12"/>
                <w:szCs w:val="12"/>
                <w:b w:val="1"/>
                <w:bCs w:val="1"/>
                <w:color w:val="FFFFFF"/>
              </w:rPr>
              <w:t>(#)</w:t>
            </w:r>
          </w:p>
        </w:tc>
        <w:tc>
          <w:tcPr>
            <w:tcW w:w="780" w:type="dxa"/>
            <w:vAlign w:val="bottom"/>
            <w:tcBorders>
              <w:bottom w:val="single" w:sz="8" w:color="auto"/>
            </w:tcBorders>
            <w:shd w:val="clear" w:color="auto" w:fill="086FB8"/>
          </w:tcPr>
          <w:p>
            <w:pPr>
              <w:jc w:val="right"/>
              <w:ind w:right="258"/>
              <w:spacing w:after="0"/>
              <w:rPr>
                <w:sz w:val="20"/>
                <w:szCs w:val="20"/>
                <w:color w:val="auto"/>
              </w:rPr>
            </w:pPr>
            <w:r>
              <w:rPr>
                <w:rFonts w:ascii="Arial" w:cs="Arial" w:eastAsia="Arial" w:hAnsi="Arial"/>
                <w:sz w:val="12"/>
                <w:szCs w:val="12"/>
                <w:b w:val="1"/>
                <w:bCs w:val="1"/>
                <w:color w:val="FFFFFF"/>
              </w:rPr>
              <w:t>(#)</w:t>
            </w:r>
          </w:p>
        </w:tc>
        <w:tc>
          <w:tcPr>
            <w:tcW w:w="780" w:type="dxa"/>
            <w:vAlign w:val="bottom"/>
            <w:tcBorders>
              <w:bottom w:val="single" w:sz="8" w:color="auto"/>
            </w:tcBorders>
            <w:shd w:val="clear" w:color="auto" w:fill="086FB8"/>
          </w:tcPr>
          <w:p>
            <w:pPr>
              <w:jc w:val="right"/>
              <w:ind w:right="318"/>
              <w:spacing w:after="0"/>
              <w:rPr>
                <w:sz w:val="20"/>
                <w:szCs w:val="20"/>
                <w:color w:val="auto"/>
              </w:rPr>
            </w:pPr>
            <w:r>
              <w:rPr>
                <w:rFonts w:ascii="Arial" w:cs="Arial" w:eastAsia="Arial" w:hAnsi="Arial"/>
                <w:sz w:val="12"/>
                <w:szCs w:val="12"/>
                <w:b w:val="1"/>
                <w:bCs w:val="1"/>
                <w:color w:val="FFFFFF"/>
              </w:rPr>
              <w:t>(#)</w:t>
            </w:r>
          </w:p>
        </w:tc>
        <w:tc>
          <w:tcPr>
            <w:tcW w:w="880" w:type="dxa"/>
            <w:vAlign w:val="bottom"/>
            <w:tcBorders>
              <w:bottom w:val="single" w:sz="8" w:color="auto"/>
            </w:tcBorders>
            <w:shd w:val="clear" w:color="auto" w:fill="086FB8"/>
          </w:tcPr>
          <w:p>
            <w:pPr>
              <w:jc w:val="center"/>
              <w:ind w:right="38"/>
              <w:spacing w:after="0"/>
              <w:rPr>
                <w:sz w:val="20"/>
                <w:szCs w:val="20"/>
                <w:color w:val="auto"/>
              </w:rPr>
            </w:pPr>
            <w:r>
              <w:rPr>
                <w:rFonts w:ascii="Arial" w:cs="Arial" w:eastAsia="Arial" w:hAnsi="Arial"/>
                <w:sz w:val="12"/>
                <w:szCs w:val="12"/>
                <w:b w:val="1"/>
                <w:bCs w:val="1"/>
                <w:color w:val="FFFFFF"/>
                <w:w w:val="95"/>
              </w:rPr>
              <w:t>(#)</w:t>
            </w:r>
          </w:p>
        </w:tc>
        <w:tc>
          <w:tcPr>
            <w:tcW w:w="860" w:type="dxa"/>
            <w:vAlign w:val="bottom"/>
            <w:tcBorders>
              <w:bottom w:val="single" w:sz="8" w:color="auto"/>
            </w:tcBorders>
            <w:shd w:val="clear" w:color="auto" w:fill="086FB8"/>
          </w:tcPr>
          <w:p>
            <w:pPr>
              <w:jc w:val="center"/>
              <w:spacing w:after="0"/>
              <w:rPr>
                <w:sz w:val="20"/>
                <w:szCs w:val="20"/>
                <w:color w:val="auto"/>
              </w:rPr>
            </w:pPr>
            <w:r>
              <w:rPr>
                <w:rFonts w:ascii="Arial" w:cs="Arial" w:eastAsia="Arial" w:hAnsi="Arial"/>
                <w:sz w:val="12"/>
                <w:szCs w:val="12"/>
                <w:b w:val="1"/>
                <w:bCs w:val="1"/>
                <w:color w:val="FFFFFF"/>
                <w:w w:val="93"/>
              </w:rPr>
              <w:t>Options(#)</w:t>
            </w:r>
          </w:p>
        </w:tc>
        <w:tc>
          <w:tcPr>
            <w:tcW w:w="760" w:type="dxa"/>
            <w:vAlign w:val="bottom"/>
            <w:tcBorders>
              <w:bottom w:val="single" w:sz="8" w:color="auto"/>
            </w:tcBorders>
            <w:shd w:val="clear" w:color="auto" w:fill="086FB8"/>
          </w:tcPr>
          <w:p>
            <w:pPr>
              <w:jc w:val="center"/>
              <w:spacing w:after="0"/>
              <w:rPr>
                <w:sz w:val="20"/>
                <w:szCs w:val="20"/>
                <w:color w:val="auto"/>
              </w:rPr>
            </w:pPr>
            <w:r>
              <w:rPr>
                <w:rFonts w:ascii="Arial" w:cs="Arial" w:eastAsia="Arial" w:hAnsi="Arial"/>
                <w:sz w:val="12"/>
                <w:szCs w:val="12"/>
                <w:b w:val="1"/>
                <w:bCs w:val="1"/>
                <w:color w:val="FFFFFF"/>
                <w:w w:val="97"/>
              </w:rPr>
              <w:t>($/Share)</w:t>
            </w:r>
          </w:p>
        </w:tc>
        <w:tc>
          <w:tcPr>
            <w:tcW w:w="720" w:type="dxa"/>
            <w:vAlign w:val="bottom"/>
            <w:tcBorders>
              <w:bottom w:val="single" w:sz="8" w:color="auto"/>
            </w:tcBorders>
            <w:shd w:val="clear" w:color="auto" w:fill="086FB8"/>
          </w:tcPr>
          <w:p>
            <w:pPr>
              <w:jc w:val="center"/>
              <w:spacing w:after="0"/>
              <w:rPr>
                <w:sz w:val="20"/>
                <w:szCs w:val="20"/>
                <w:color w:val="auto"/>
              </w:rPr>
            </w:pPr>
            <w:r>
              <w:rPr>
                <w:rFonts w:ascii="Arial" w:cs="Arial" w:eastAsia="Arial" w:hAnsi="Arial"/>
                <w:sz w:val="12"/>
                <w:szCs w:val="12"/>
                <w:b w:val="1"/>
                <w:bCs w:val="1"/>
                <w:color w:val="FFFFFF"/>
                <w:w w:val="95"/>
              </w:rPr>
              <w:t>($)</w:t>
            </w:r>
          </w:p>
        </w:tc>
      </w:tr>
      <w:tr>
        <w:trPr>
          <w:trHeight w:val="140"/>
        </w:trPr>
        <w:tc>
          <w:tcPr>
            <w:tcW w:w="156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Peter S. Ho</w:t>
            </w:r>
          </w:p>
        </w:tc>
        <w:tc>
          <w:tcPr>
            <w:tcW w:w="380" w:type="dxa"/>
            <w:vAlign w:val="bottom"/>
          </w:tcPr>
          <w:p>
            <w:pPr>
              <w:jc w:val="right"/>
              <w:ind w:right="38"/>
              <w:spacing w:after="0"/>
              <w:rPr>
                <w:sz w:val="20"/>
                <w:szCs w:val="20"/>
                <w:color w:val="auto"/>
              </w:rPr>
            </w:pPr>
            <w:r>
              <w:rPr>
                <w:rFonts w:ascii="Arial" w:cs="Arial" w:eastAsia="Arial" w:hAnsi="Arial"/>
                <w:sz w:val="12"/>
                <w:szCs w:val="12"/>
                <w:color w:val="auto"/>
              </w:rPr>
              <w:t>(2)</w:t>
            </w:r>
          </w:p>
        </w:tc>
        <w:tc>
          <w:tcPr>
            <w:tcW w:w="600" w:type="dxa"/>
            <w:vAlign w:val="bottom"/>
          </w:tcPr>
          <w:p>
            <w:pPr>
              <w:jc w:val="center"/>
              <w:spacing w:after="0"/>
              <w:rPr>
                <w:sz w:val="20"/>
                <w:szCs w:val="20"/>
                <w:color w:val="auto"/>
              </w:rPr>
            </w:pPr>
            <w:r>
              <w:rPr>
                <w:rFonts w:ascii="Arial" w:cs="Arial" w:eastAsia="Arial" w:hAnsi="Arial"/>
                <w:sz w:val="12"/>
                <w:szCs w:val="12"/>
                <w:color w:val="auto"/>
                <w:w w:val="94"/>
              </w:rPr>
              <w:t>PSG</w:t>
            </w: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2/19/2021</w:t>
            </w:r>
          </w:p>
        </w:tc>
        <w:tc>
          <w:tcPr>
            <w:tcW w:w="720" w:type="dxa"/>
            <w:vAlign w:val="bottom"/>
          </w:tcPr>
          <w:p>
            <w:pPr>
              <w:ind w:left="600"/>
              <w:spacing w:after="0"/>
              <w:rPr>
                <w:sz w:val="20"/>
                <w:szCs w:val="20"/>
                <w:color w:val="auto"/>
              </w:rPr>
            </w:pPr>
            <w:r>
              <w:rPr>
                <w:rFonts w:ascii="Arial" w:cs="Arial" w:eastAsia="Arial" w:hAnsi="Arial"/>
                <w:sz w:val="12"/>
                <w:szCs w:val="12"/>
                <w:color w:val="auto"/>
                <w:w w:val="82"/>
              </w:rPr>
              <w:t>—</w:t>
            </w:r>
          </w:p>
        </w:tc>
        <w:tc>
          <w:tcPr>
            <w:tcW w:w="104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780" w:type="dxa"/>
            <w:vAlign w:val="bottom"/>
          </w:tcPr>
          <w:p>
            <w:pPr>
              <w:ind w:left="540"/>
              <w:spacing w:after="0"/>
              <w:rPr>
                <w:sz w:val="20"/>
                <w:szCs w:val="20"/>
                <w:color w:val="auto"/>
              </w:rPr>
            </w:pPr>
            <w:r>
              <w:rPr>
                <w:rFonts w:ascii="Arial" w:cs="Arial" w:eastAsia="Arial" w:hAnsi="Arial"/>
                <w:sz w:val="12"/>
                <w:szCs w:val="12"/>
                <w:color w:val="auto"/>
              </w:rPr>
              <w:t>—</w:t>
            </w:r>
          </w:p>
        </w:tc>
        <w:tc>
          <w:tcPr>
            <w:tcW w:w="740" w:type="dxa"/>
            <w:vAlign w:val="bottom"/>
          </w:tcPr>
          <w:p>
            <w:pPr>
              <w:ind w:left="620"/>
              <w:spacing w:after="0"/>
              <w:rPr>
                <w:sz w:val="20"/>
                <w:szCs w:val="20"/>
                <w:color w:val="auto"/>
              </w:rPr>
            </w:pPr>
            <w:r>
              <w:rPr>
                <w:rFonts w:ascii="Arial" w:cs="Arial" w:eastAsia="Arial" w:hAnsi="Arial"/>
                <w:sz w:val="12"/>
                <w:szCs w:val="12"/>
                <w:color w:val="auto"/>
                <w:w w:val="82"/>
              </w:rPr>
              <w:t>—</w:t>
            </w: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39,282</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39,282</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860" w:type="dxa"/>
            <w:vAlign w:val="bottom"/>
          </w:tcPr>
          <w:p>
            <w:pPr>
              <w:ind w:left="640"/>
              <w:spacing w:after="0"/>
              <w:rPr>
                <w:sz w:val="20"/>
                <w:szCs w:val="20"/>
                <w:color w:val="auto"/>
              </w:rPr>
            </w:pPr>
            <w:r>
              <w:rPr>
                <w:rFonts w:ascii="Arial" w:cs="Arial" w:eastAsia="Arial" w:hAnsi="Arial"/>
                <w:sz w:val="12"/>
                <w:szCs w:val="12"/>
                <w:color w:val="auto"/>
              </w:rPr>
              <w:t>—</w:t>
            </w:r>
          </w:p>
        </w:tc>
        <w:tc>
          <w:tcPr>
            <w:tcW w:w="760" w:type="dxa"/>
            <w:vAlign w:val="bottom"/>
          </w:tcPr>
          <w:p>
            <w:pPr>
              <w:ind w:left="5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3,500,026</w:t>
            </w:r>
          </w:p>
        </w:tc>
      </w:tr>
      <w:tr>
        <w:trPr>
          <w:trHeight w:val="157"/>
        </w:trPr>
        <w:tc>
          <w:tcPr>
            <w:tcW w:w="1560" w:type="dxa"/>
            <w:vAlign w:val="bottom"/>
            <w:tcBorders>
              <w:left w:val="single" w:sz="8" w:color="auto"/>
            </w:tcBorders>
          </w:tcPr>
          <w:p>
            <w:pPr>
              <w:spacing w:after="0"/>
              <w:rPr>
                <w:sz w:val="13"/>
                <w:szCs w:val="13"/>
                <w:color w:val="auto"/>
              </w:rPr>
            </w:pPr>
          </w:p>
        </w:tc>
        <w:tc>
          <w:tcPr>
            <w:tcW w:w="380" w:type="dxa"/>
            <w:vAlign w:val="bottom"/>
          </w:tcPr>
          <w:p>
            <w:pPr>
              <w:jc w:val="right"/>
              <w:ind w:right="38"/>
              <w:spacing w:after="0"/>
              <w:rPr>
                <w:sz w:val="20"/>
                <w:szCs w:val="20"/>
                <w:color w:val="auto"/>
              </w:rPr>
            </w:pPr>
            <w:r>
              <w:rPr>
                <w:rFonts w:ascii="Arial" w:cs="Arial" w:eastAsia="Arial" w:hAnsi="Arial"/>
                <w:sz w:val="12"/>
                <w:szCs w:val="12"/>
                <w:color w:val="auto"/>
              </w:rPr>
              <w:t>(3)</w:t>
            </w:r>
          </w:p>
        </w:tc>
        <w:tc>
          <w:tcPr>
            <w:tcW w:w="600" w:type="dxa"/>
            <w:vAlign w:val="bottom"/>
          </w:tcPr>
          <w:p>
            <w:pPr>
              <w:jc w:val="center"/>
              <w:spacing w:after="0"/>
              <w:rPr>
                <w:sz w:val="20"/>
                <w:szCs w:val="20"/>
                <w:color w:val="auto"/>
              </w:rPr>
            </w:pPr>
            <w:r>
              <w:rPr>
                <w:rFonts w:ascii="Arial" w:cs="Arial" w:eastAsia="Arial" w:hAnsi="Arial"/>
                <w:sz w:val="12"/>
                <w:szCs w:val="12"/>
                <w:color w:val="auto"/>
                <w:w w:val="92"/>
              </w:rPr>
              <w:t>RSG</w:t>
            </w: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2/19/2021</w:t>
            </w:r>
          </w:p>
        </w:tc>
        <w:tc>
          <w:tcPr>
            <w:tcW w:w="720" w:type="dxa"/>
            <w:vAlign w:val="bottom"/>
          </w:tcPr>
          <w:p>
            <w:pPr>
              <w:ind w:left="600"/>
              <w:spacing w:after="0"/>
              <w:rPr>
                <w:sz w:val="20"/>
                <w:szCs w:val="20"/>
                <w:color w:val="auto"/>
              </w:rPr>
            </w:pPr>
            <w:r>
              <w:rPr>
                <w:rFonts w:ascii="Arial" w:cs="Arial" w:eastAsia="Arial" w:hAnsi="Arial"/>
                <w:sz w:val="12"/>
                <w:szCs w:val="12"/>
                <w:color w:val="auto"/>
                <w:w w:val="82"/>
              </w:rPr>
              <w:t>—</w:t>
            </w:r>
          </w:p>
        </w:tc>
        <w:tc>
          <w:tcPr>
            <w:tcW w:w="104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780" w:type="dxa"/>
            <w:vAlign w:val="bottom"/>
          </w:tcPr>
          <w:p>
            <w:pPr>
              <w:ind w:left="540"/>
              <w:spacing w:after="0"/>
              <w:rPr>
                <w:sz w:val="20"/>
                <w:szCs w:val="20"/>
                <w:color w:val="auto"/>
              </w:rPr>
            </w:pPr>
            <w:r>
              <w:rPr>
                <w:rFonts w:ascii="Arial" w:cs="Arial" w:eastAsia="Arial" w:hAnsi="Arial"/>
                <w:sz w:val="12"/>
                <w:szCs w:val="12"/>
                <w:color w:val="auto"/>
              </w:rPr>
              <w:t>—</w:t>
            </w:r>
          </w:p>
        </w:tc>
        <w:tc>
          <w:tcPr>
            <w:tcW w:w="740" w:type="dxa"/>
            <w:vAlign w:val="bottom"/>
          </w:tcPr>
          <w:p>
            <w:pPr>
              <w:ind w:left="620"/>
              <w:spacing w:after="0"/>
              <w:rPr>
                <w:sz w:val="20"/>
                <w:szCs w:val="20"/>
                <w:color w:val="auto"/>
              </w:rPr>
            </w:pPr>
            <w:r>
              <w:rPr>
                <w:rFonts w:ascii="Arial" w:cs="Arial" w:eastAsia="Arial" w:hAnsi="Arial"/>
                <w:sz w:val="12"/>
                <w:szCs w:val="12"/>
                <w:color w:val="auto"/>
                <w:w w:val="82"/>
              </w:rPr>
              <w:t>—</w:t>
            </w: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7,987</w:t>
            </w:r>
          </w:p>
        </w:tc>
        <w:tc>
          <w:tcPr>
            <w:tcW w:w="860" w:type="dxa"/>
            <w:vAlign w:val="bottom"/>
          </w:tcPr>
          <w:p>
            <w:pPr>
              <w:ind w:left="640"/>
              <w:spacing w:after="0"/>
              <w:rPr>
                <w:sz w:val="20"/>
                <w:szCs w:val="20"/>
                <w:color w:val="auto"/>
              </w:rPr>
            </w:pPr>
            <w:r>
              <w:rPr>
                <w:rFonts w:ascii="Arial" w:cs="Arial" w:eastAsia="Arial" w:hAnsi="Arial"/>
                <w:sz w:val="12"/>
                <w:szCs w:val="12"/>
                <w:color w:val="auto"/>
              </w:rPr>
              <w:t>—</w:t>
            </w:r>
          </w:p>
        </w:tc>
        <w:tc>
          <w:tcPr>
            <w:tcW w:w="760" w:type="dxa"/>
            <w:vAlign w:val="bottom"/>
          </w:tcPr>
          <w:p>
            <w:pPr>
              <w:ind w:left="5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711,642</w:t>
            </w:r>
          </w:p>
        </w:tc>
      </w:tr>
      <w:tr>
        <w:trPr>
          <w:trHeight w:val="284"/>
        </w:trPr>
        <w:tc>
          <w:tcPr>
            <w:tcW w:w="156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Dean Y. Shigemura</w:t>
            </w:r>
          </w:p>
        </w:tc>
        <w:tc>
          <w:tcPr>
            <w:tcW w:w="380" w:type="dxa"/>
            <w:vAlign w:val="bottom"/>
          </w:tcPr>
          <w:p>
            <w:pPr>
              <w:jc w:val="right"/>
              <w:ind w:right="38"/>
              <w:spacing w:after="0"/>
              <w:rPr>
                <w:sz w:val="20"/>
                <w:szCs w:val="20"/>
                <w:color w:val="auto"/>
              </w:rPr>
            </w:pPr>
            <w:r>
              <w:rPr>
                <w:rFonts w:ascii="Arial" w:cs="Arial" w:eastAsia="Arial" w:hAnsi="Arial"/>
                <w:sz w:val="12"/>
                <w:szCs w:val="12"/>
                <w:color w:val="auto"/>
              </w:rPr>
              <w:t>(2)</w:t>
            </w:r>
          </w:p>
        </w:tc>
        <w:tc>
          <w:tcPr>
            <w:tcW w:w="600" w:type="dxa"/>
            <w:vAlign w:val="bottom"/>
          </w:tcPr>
          <w:p>
            <w:pPr>
              <w:jc w:val="center"/>
              <w:spacing w:after="0"/>
              <w:rPr>
                <w:sz w:val="20"/>
                <w:szCs w:val="20"/>
                <w:color w:val="auto"/>
              </w:rPr>
            </w:pPr>
            <w:r>
              <w:rPr>
                <w:rFonts w:ascii="Arial" w:cs="Arial" w:eastAsia="Arial" w:hAnsi="Arial"/>
                <w:sz w:val="12"/>
                <w:szCs w:val="12"/>
                <w:color w:val="auto"/>
                <w:w w:val="94"/>
              </w:rPr>
              <w:t>PSG</w:t>
            </w: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2/19/2021</w:t>
            </w:r>
          </w:p>
        </w:tc>
        <w:tc>
          <w:tcPr>
            <w:tcW w:w="720" w:type="dxa"/>
            <w:vAlign w:val="bottom"/>
          </w:tcPr>
          <w:p>
            <w:pPr>
              <w:ind w:left="600"/>
              <w:spacing w:after="0"/>
              <w:rPr>
                <w:sz w:val="20"/>
                <w:szCs w:val="20"/>
                <w:color w:val="auto"/>
              </w:rPr>
            </w:pPr>
            <w:r>
              <w:rPr>
                <w:rFonts w:ascii="Arial" w:cs="Arial" w:eastAsia="Arial" w:hAnsi="Arial"/>
                <w:sz w:val="12"/>
                <w:szCs w:val="12"/>
                <w:color w:val="auto"/>
                <w:w w:val="82"/>
              </w:rPr>
              <w:t>—</w:t>
            </w:r>
          </w:p>
        </w:tc>
        <w:tc>
          <w:tcPr>
            <w:tcW w:w="104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780" w:type="dxa"/>
            <w:vAlign w:val="bottom"/>
          </w:tcPr>
          <w:p>
            <w:pPr>
              <w:ind w:left="540"/>
              <w:spacing w:after="0"/>
              <w:rPr>
                <w:sz w:val="20"/>
                <w:szCs w:val="20"/>
                <w:color w:val="auto"/>
              </w:rPr>
            </w:pPr>
            <w:r>
              <w:rPr>
                <w:rFonts w:ascii="Arial" w:cs="Arial" w:eastAsia="Arial" w:hAnsi="Arial"/>
                <w:sz w:val="12"/>
                <w:szCs w:val="12"/>
                <w:color w:val="auto"/>
              </w:rPr>
              <w:t>—</w:t>
            </w:r>
          </w:p>
        </w:tc>
        <w:tc>
          <w:tcPr>
            <w:tcW w:w="740" w:type="dxa"/>
            <w:vAlign w:val="bottom"/>
          </w:tcPr>
          <w:p>
            <w:pPr>
              <w:ind w:left="620"/>
              <w:spacing w:after="0"/>
              <w:rPr>
                <w:sz w:val="20"/>
                <w:szCs w:val="20"/>
                <w:color w:val="auto"/>
              </w:rPr>
            </w:pPr>
            <w:r>
              <w:rPr>
                <w:rFonts w:ascii="Arial" w:cs="Arial" w:eastAsia="Arial" w:hAnsi="Arial"/>
                <w:sz w:val="12"/>
                <w:szCs w:val="12"/>
                <w:color w:val="auto"/>
                <w:w w:val="82"/>
              </w:rPr>
              <w:t>—</w:t>
            </w: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7,857</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7,857</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860" w:type="dxa"/>
            <w:vAlign w:val="bottom"/>
          </w:tcPr>
          <w:p>
            <w:pPr>
              <w:ind w:left="640"/>
              <w:spacing w:after="0"/>
              <w:rPr>
                <w:sz w:val="20"/>
                <w:szCs w:val="20"/>
                <w:color w:val="auto"/>
              </w:rPr>
            </w:pPr>
            <w:r>
              <w:rPr>
                <w:rFonts w:ascii="Arial" w:cs="Arial" w:eastAsia="Arial" w:hAnsi="Arial"/>
                <w:sz w:val="12"/>
                <w:szCs w:val="12"/>
                <w:color w:val="auto"/>
              </w:rPr>
              <w:t>—</w:t>
            </w:r>
          </w:p>
        </w:tc>
        <w:tc>
          <w:tcPr>
            <w:tcW w:w="760" w:type="dxa"/>
            <w:vAlign w:val="bottom"/>
          </w:tcPr>
          <w:p>
            <w:pPr>
              <w:ind w:left="5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700,059</w:t>
            </w:r>
          </w:p>
        </w:tc>
      </w:tr>
      <w:tr>
        <w:trPr>
          <w:trHeight w:val="147"/>
        </w:trPr>
        <w:tc>
          <w:tcPr>
            <w:tcW w:w="1560" w:type="dxa"/>
            <w:vAlign w:val="bottom"/>
            <w:tcBorders>
              <w:left w:val="single" w:sz="8" w:color="auto"/>
            </w:tcBorders>
          </w:tcPr>
          <w:p>
            <w:pPr>
              <w:spacing w:after="0"/>
              <w:rPr>
                <w:sz w:val="12"/>
                <w:szCs w:val="12"/>
                <w:color w:val="auto"/>
              </w:rPr>
            </w:pPr>
          </w:p>
        </w:tc>
        <w:tc>
          <w:tcPr>
            <w:tcW w:w="380" w:type="dxa"/>
            <w:vAlign w:val="bottom"/>
          </w:tcPr>
          <w:p>
            <w:pPr>
              <w:jc w:val="right"/>
              <w:ind w:right="38"/>
              <w:spacing w:after="0"/>
              <w:rPr>
                <w:sz w:val="20"/>
                <w:szCs w:val="20"/>
                <w:color w:val="auto"/>
              </w:rPr>
            </w:pPr>
            <w:r>
              <w:rPr>
                <w:rFonts w:ascii="Arial" w:cs="Arial" w:eastAsia="Arial" w:hAnsi="Arial"/>
                <w:sz w:val="12"/>
                <w:szCs w:val="12"/>
                <w:color w:val="auto"/>
              </w:rPr>
              <w:t>(3)</w:t>
            </w:r>
          </w:p>
        </w:tc>
        <w:tc>
          <w:tcPr>
            <w:tcW w:w="600" w:type="dxa"/>
            <w:vAlign w:val="bottom"/>
          </w:tcPr>
          <w:p>
            <w:pPr>
              <w:jc w:val="center"/>
              <w:spacing w:after="0"/>
              <w:rPr>
                <w:sz w:val="20"/>
                <w:szCs w:val="20"/>
                <w:color w:val="auto"/>
              </w:rPr>
            </w:pPr>
            <w:r>
              <w:rPr>
                <w:rFonts w:ascii="Arial" w:cs="Arial" w:eastAsia="Arial" w:hAnsi="Arial"/>
                <w:sz w:val="12"/>
                <w:szCs w:val="12"/>
                <w:color w:val="auto"/>
                <w:w w:val="92"/>
              </w:rPr>
              <w:t>RSG</w:t>
            </w: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2/19/2021</w:t>
            </w:r>
          </w:p>
        </w:tc>
        <w:tc>
          <w:tcPr>
            <w:tcW w:w="720" w:type="dxa"/>
            <w:vAlign w:val="bottom"/>
          </w:tcPr>
          <w:p>
            <w:pPr>
              <w:ind w:left="600"/>
              <w:spacing w:after="0"/>
              <w:rPr>
                <w:sz w:val="20"/>
                <w:szCs w:val="20"/>
                <w:color w:val="auto"/>
              </w:rPr>
            </w:pPr>
            <w:r>
              <w:rPr>
                <w:rFonts w:ascii="Arial" w:cs="Arial" w:eastAsia="Arial" w:hAnsi="Arial"/>
                <w:sz w:val="12"/>
                <w:szCs w:val="12"/>
                <w:color w:val="auto"/>
                <w:w w:val="82"/>
              </w:rPr>
              <w:t>—</w:t>
            </w:r>
          </w:p>
        </w:tc>
        <w:tc>
          <w:tcPr>
            <w:tcW w:w="104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780" w:type="dxa"/>
            <w:vAlign w:val="bottom"/>
          </w:tcPr>
          <w:p>
            <w:pPr>
              <w:ind w:left="540"/>
              <w:spacing w:after="0"/>
              <w:rPr>
                <w:sz w:val="20"/>
                <w:szCs w:val="20"/>
                <w:color w:val="auto"/>
              </w:rPr>
            </w:pPr>
            <w:r>
              <w:rPr>
                <w:rFonts w:ascii="Arial" w:cs="Arial" w:eastAsia="Arial" w:hAnsi="Arial"/>
                <w:sz w:val="12"/>
                <w:szCs w:val="12"/>
                <w:color w:val="auto"/>
              </w:rPr>
              <w:t>—</w:t>
            </w:r>
          </w:p>
        </w:tc>
        <w:tc>
          <w:tcPr>
            <w:tcW w:w="740" w:type="dxa"/>
            <w:vAlign w:val="bottom"/>
          </w:tcPr>
          <w:p>
            <w:pPr>
              <w:ind w:left="620"/>
              <w:spacing w:after="0"/>
              <w:rPr>
                <w:sz w:val="20"/>
                <w:szCs w:val="20"/>
                <w:color w:val="auto"/>
              </w:rPr>
            </w:pPr>
            <w:r>
              <w:rPr>
                <w:rFonts w:ascii="Arial" w:cs="Arial" w:eastAsia="Arial" w:hAnsi="Arial"/>
                <w:sz w:val="12"/>
                <w:szCs w:val="12"/>
                <w:color w:val="auto"/>
                <w:w w:val="82"/>
              </w:rPr>
              <w:t>—</w:t>
            </w: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2,517</w:t>
            </w:r>
          </w:p>
        </w:tc>
        <w:tc>
          <w:tcPr>
            <w:tcW w:w="860" w:type="dxa"/>
            <w:vAlign w:val="bottom"/>
          </w:tcPr>
          <w:p>
            <w:pPr>
              <w:ind w:left="640"/>
              <w:spacing w:after="0"/>
              <w:rPr>
                <w:sz w:val="20"/>
                <w:szCs w:val="20"/>
                <w:color w:val="auto"/>
              </w:rPr>
            </w:pPr>
            <w:r>
              <w:rPr>
                <w:rFonts w:ascii="Arial" w:cs="Arial" w:eastAsia="Arial" w:hAnsi="Arial"/>
                <w:sz w:val="12"/>
                <w:szCs w:val="12"/>
                <w:color w:val="auto"/>
              </w:rPr>
              <w:t>—</w:t>
            </w:r>
          </w:p>
        </w:tc>
        <w:tc>
          <w:tcPr>
            <w:tcW w:w="760" w:type="dxa"/>
            <w:vAlign w:val="bottom"/>
          </w:tcPr>
          <w:p>
            <w:pPr>
              <w:ind w:left="5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224,265</w:t>
            </w:r>
          </w:p>
        </w:tc>
      </w:tr>
      <w:tr>
        <w:trPr>
          <w:trHeight w:val="157"/>
        </w:trPr>
        <w:tc>
          <w:tcPr>
            <w:tcW w:w="1560" w:type="dxa"/>
            <w:vAlign w:val="bottom"/>
            <w:tcBorders>
              <w:left w:val="single" w:sz="8" w:color="auto"/>
            </w:tcBorders>
          </w:tcPr>
          <w:p>
            <w:pPr>
              <w:spacing w:after="0"/>
              <w:rPr>
                <w:sz w:val="13"/>
                <w:szCs w:val="13"/>
                <w:color w:val="auto"/>
              </w:rPr>
            </w:pPr>
          </w:p>
        </w:tc>
        <w:tc>
          <w:tcPr>
            <w:tcW w:w="380" w:type="dxa"/>
            <w:vAlign w:val="bottom"/>
          </w:tcPr>
          <w:p>
            <w:pPr>
              <w:jc w:val="right"/>
              <w:ind w:right="38"/>
              <w:spacing w:after="0"/>
              <w:rPr>
                <w:sz w:val="20"/>
                <w:szCs w:val="20"/>
                <w:color w:val="auto"/>
              </w:rPr>
            </w:pPr>
            <w:r>
              <w:rPr>
                <w:rFonts w:ascii="Arial" w:cs="Arial" w:eastAsia="Arial" w:hAnsi="Arial"/>
                <w:sz w:val="12"/>
                <w:szCs w:val="12"/>
                <w:color w:val="auto"/>
              </w:rPr>
              <w:t>(4)</w:t>
            </w:r>
          </w:p>
        </w:tc>
        <w:tc>
          <w:tcPr>
            <w:tcW w:w="600" w:type="dxa"/>
            <w:vAlign w:val="bottom"/>
          </w:tcPr>
          <w:p>
            <w:pPr>
              <w:jc w:val="center"/>
              <w:spacing w:after="0"/>
              <w:rPr>
                <w:sz w:val="20"/>
                <w:szCs w:val="20"/>
                <w:color w:val="auto"/>
              </w:rPr>
            </w:pPr>
            <w:r>
              <w:rPr>
                <w:rFonts w:ascii="Arial" w:cs="Arial" w:eastAsia="Arial" w:hAnsi="Arial"/>
                <w:sz w:val="12"/>
                <w:szCs w:val="12"/>
                <w:color w:val="auto"/>
                <w:w w:val="93"/>
              </w:rPr>
              <w:t>SRSG</w:t>
            </w: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3/26/2021</w:t>
            </w:r>
          </w:p>
        </w:tc>
        <w:tc>
          <w:tcPr>
            <w:tcW w:w="720" w:type="dxa"/>
            <w:vAlign w:val="bottom"/>
          </w:tcPr>
          <w:p>
            <w:pPr>
              <w:ind w:left="600"/>
              <w:spacing w:after="0"/>
              <w:rPr>
                <w:sz w:val="20"/>
                <w:szCs w:val="20"/>
                <w:color w:val="auto"/>
              </w:rPr>
            </w:pPr>
            <w:r>
              <w:rPr>
                <w:rFonts w:ascii="Arial" w:cs="Arial" w:eastAsia="Arial" w:hAnsi="Arial"/>
                <w:sz w:val="12"/>
                <w:szCs w:val="12"/>
                <w:color w:val="auto"/>
                <w:w w:val="82"/>
              </w:rPr>
              <w:t>—</w:t>
            </w:r>
          </w:p>
        </w:tc>
        <w:tc>
          <w:tcPr>
            <w:tcW w:w="104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780" w:type="dxa"/>
            <w:vAlign w:val="bottom"/>
          </w:tcPr>
          <w:p>
            <w:pPr>
              <w:ind w:left="540"/>
              <w:spacing w:after="0"/>
              <w:rPr>
                <w:sz w:val="20"/>
                <w:szCs w:val="20"/>
                <w:color w:val="auto"/>
              </w:rPr>
            </w:pPr>
            <w:r>
              <w:rPr>
                <w:rFonts w:ascii="Arial" w:cs="Arial" w:eastAsia="Arial" w:hAnsi="Arial"/>
                <w:sz w:val="12"/>
                <w:szCs w:val="12"/>
                <w:color w:val="auto"/>
              </w:rPr>
              <w:t>—</w:t>
            </w:r>
          </w:p>
        </w:tc>
        <w:tc>
          <w:tcPr>
            <w:tcW w:w="740" w:type="dxa"/>
            <w:vAlign w:val="bottom"/>
          </w:tcPr>
          <w:p>
            <w:pPr>
              <w:ind w:left="620"/>
              <w:spacing w:after="0"/>
              <w:rPr>
                <w:sz w:val="20"/>
                <w:szCs w:val="20"/>
                <w:color w:val="auto"/>
              </w:rPr>
            </w:pPr>
            <w:r>
              <w:rPr>
                <w:rFonts w:ascii="Arial" w:cs="Arial" w:eastAsia="Arial" w:hAnsi="Arial"/>
                <w:sz w:val="12"/>
                <w:szCs w:val="12"/>
                <w:color w:val="auto"/>
                <w:w w:val="82"/>
              </w:rPr>
              <w:t>—</w:t>
            </w: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10,737</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10,737</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860" w:type="dxa"/>
            <w:vAlign w:val="bottom"/>
          </w:tcPr>
          <w:p>
            <w:pPr>
              <w:ind w:left="640"/>
              <w:spacing w:after="0"/>
              <w:rPr>
                <w:sz w:val="20"/>
                <w:szCs w:val="20"/>
                <w:color w:val="auto"/>
              </w:rPr>
            </w:pPr>
            <w:r>
              <w:rPr>
                <w:rFonts w:ascii="Arial" w:cs="Arial" w:eastAsia="Arial" w:hAnsi="Arial"/>
                <w:sz w:val="12"/>
                <w:szCs w:val="12"/>
                <w:color w:val="auto"/>
              </w:rPr>
              <w:t>—</w:t>
            </w:r>
          </w:p>
        </w:tc>
        <w:tc>
          <w:tcPr>
            <w:tcW w:w="760" w:type="dxa"/>
            <w:vAlign w:val="bottom"/>
          </w:tcPr>
          <w:p>
            <w:pPr>
              <w:ind w:left="5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1,000,044</w:t>
            </w:r>
          </w:p>
        </w:tc>
      </w:tr>
      <w:tr>
        <w:trPr>
          <w:trHeight w:val="284"/>
        </w:trPr>
        <w:tc>
          <w:tcPr>
            <w:tcW w:w="156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James C. Polk</w:t>
            </w:r>
          </w:p>
        </w:tc>
        <w:tc>
          <w:tcPr>
            <w:tcW w:w="380" w:type="dxa"/>
            <w:vAlign w:val="bottom"/>
          </w:tcPr>
          <w:p>
            <w:pPr>
              <w:jc w:val="right"/>
              <w:ind w:right="38"/>
              <w:spacing w:after="0"/>
              <w:rPr>
                <w:sz w:val="20"/>
                <w:szCs w:val="20"/>
                <w:color w:val="auto"/>
              </w:rPr>
            </w:pPr>
            <w:r>
              <w:rPr>
                <w:rFonts w:ascii="Arial" w:cs="Arial" w:eastAsia="Arial" w:hAnsi="Arial"/>
                <w:sz w:val="12"/>
                <w:szCs w:val="12"/>
                <w:color w:val="auto"/>
              </w:rPr>
              <w:t>(2)</w:t>
            </w:r>
          </w:p>
        </w:tc>
        <w:tc>
          <w:tcPr>
            <w:tcW w:w="600" w:type="dxa"/>
            <w:vAlign w:val="bottom"/>
          </w:tcPr>
          <w:p>
            <w:pPr>
              <w:jc w:val="center"/>
              <w:spacing w:after="0"/>
              <w:rPr>
                <w:sz w:val="20"/>
                <w:szCs w:val="20"/>
                <w:color w:val="auto"/>
              </w:rPr>
            </w:pPr>
            <w:r>
              <w:rPr>
                <w:rFonts w:ascii="Arial" w:cs="Arial" w:eastAsia="Arial" w:hAnsi="Arial"/>
                <w:sz w:val="12"/>
                <w:szCs w:val="12"/>
                <w:color w:val="auto"/>
                <w:w w:val="92"/>
              </w:rPr>
              <w:t>RSG</w:t>
            </w: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2/19/2021</w:t>
            </w:r>
          </w:p>
        </w:tc>
        <w:tc>
          <w:tcPr>
            <w:tcW w:w="720" w:type="dxa"/>
            <w:vAlign w:val="bottom"/>
          </w:tcPr>
          <w:p>
            <w:pPr>
              <w:ind w:left="600"/>
              <w:spacing w:after="0"/>
              <w:rPr>
                <w:sz w:val="20"/>
                <w:szCs w:val="20"/>
                <w:color w:val="auto"/>
              </w:rPr>
            </w:pPr>
            <w:r>
              <w:rPr>
                <w:rFonts w:ascii="Arial" w:cs="Arial" w:eastAsia="Arial" w:hAnsi="Arial"/>
                <w:sz w:val="12"/>
                <w:szCs w:val="12"/>
                <w:color w:val="auto"/>
                <w:w w:val="82"/>
              </w:rPr>
              <w:t>—</w:t>
            </w:r>
          </w:p>
        </w:tc>
        <w:tc>
          <w:tcPr>
            <w:tcW w:w="104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780" w:type="dxa"/>
            <w:vAlign w:val="bottom"/>
          </w:tcPr>
          <w:p>
            <w:pPr>
              <w:ind w:left="540"/>
              <w:spacing w:after="0"/>
              <w:rPr>
                <w:sz w:val="20"/>
                <w:szCs w:val="20"/>
                <w:color w:val="auto"/>
              </w:rPr>
            </w:pPr>
            <w:r>
              <w:rPr>
                <w:rFonts w:ascii="Arial" w:cs="Arial" w:eastAsia="Arial" w:hAnsi="Arial"/>
                <w:sz w:val="12"/>
                <w:szCs w:val="12"/>
                <w:color w:val="auto"/>
              </w:rPr>
              <w:t>—</w:t>
            </w:r>
          </w:p>
        </w:tc>
        <w:tc>
          <w:tcPr>
            <w:tcW w:w="740" w:type="dxa"/>
            <w:vAlign w:val="bottom"/>
          </w:tcPr>
          <w:p>
            <w:pPr>
              <w:ind w:left="620"/>
              <w:spacing w:after="0"/>
              <w:rPr>
                <w:sz w:val="20"/>
                <w:szCs w:val="20"/>
                <w:color w:val="auto"/>
              </w:rPr>
            </w:pPr>
            <w:r>
              <w:rPr>
                <w:rFonts w:ascii="Arial" w:cs="Arial" w:eastAsia="Arial" w:hAnsi="Arial"/>
                <w:sz w:val="12"/>
                <w:szCs w:val="12"/>
                <w:color w:val="auto"/>
                <w:w w:val="82"/>
              </w:rPr>
              <w:t>—</w:t>
            </w: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7,857</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7,857</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860" w:type="dxa"/>
            <w:vAlign w:val="bottom"/>
          </w:tcPr>
          <w:p>
            <w:pPr>
              <w:ind w:left="640"/>
              <w:spacing w:after="0"/>
              <w:rPr>
                <w:sz w:val="20"/>
                <w:szCs w:val="20"/>
                <w:color w:val="auto"/>
              </w:rPr>
            </w:pPr>
            <w:r>
              <w:rPr>
                <w:rFonts w:ascii="Arial" w:cs="Arial" w:eastAsia="Arial" w:hAnsi="Arial"/>
                <w:sz w:val="12"/>
                <w:szCs w:val="12"/>
                <w:color w:val="auto"/>
              </w:rPr>
              <w:t>—</w:t>
            </w:r>
          </w:p>
        </w:tc>
        <w:tc>
          <w:tcPr>
            <w:tcW w:w="760" w:type="dxa"/>
            <w:vAlign w:val="bottom"/>
          </w:tcPr>
          <w:p>
            <w:pPr>
              <w:ind w:left="5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700,059</w:t>
            </w:r>
          </w:p>
        </w:tc>
      </w:tr>
      <w:tr>
        <w:trPr>
          <w:trHeight w:val="147"/>
        </w:trPr>
        <w:tc>
          <w:tcPr>
            <w:tcW w:w="1560" w:type="dxa"/>
            <w:vAlign w:val="bottom"/>
            <w:tcBorders>
              <w:left w:val="single" w:sz="8" w:color="auto"/>
            </w:tcBorders>
          </w:tcPr>
          <w:p>
            <w:pPr>
              <w:spacing w:after="0"/>
              <w:rPr>
                <w:sz w:val="12"/>
                <w:szCs w:val="12"/>
                <w:color w:val="auto"/>
              </w:rPr>
            </w:pPr>
          </w:p>
        </w:tc>
        <w:tc>
          <w:tcPr>
            <w:tcW w:w="380" w:type="dxa"/>
            <w:vAlign w:val="bottom"/>
          </w:tcPr>
          <w:p>
            <w:pPr>
              <w:jc w:val="right"/>
              <w:ind w:right="38"/>
              <w:spacing w:after="0"/>
              <w:rPr>
                <w:sz w:val="20"/>
                <w:szCs w:val="20"/>
                <w:color w:val="auto"/>
              </w:rPr>
            </w:pPr>
            <w:r>
              <w:rPr>
                <w:rFonts w:ascii="Arial" w:cs="Arial" w:eastAsia="Arial" w:hAnsi="Arial"/>
                <w:sz w:val="12"/>
                <w:szCs w:val="12"/>
                <w:color w:val="auto"/>
              </w:rPr>
              <w:t>(3)</w:t>
            </w:r>
          </w:p>
        </w:tc>
        <w:tc>
          <w:tcPr>
            <w:tcW w:w="600" w:type="dxa"/>
            <w:vAlign w:val="bottom"/>
          </w:tcPr>
          <w:p>
            <w:pPr>
              <w:jc w:val="center"/>
              <w:spacing w:after="0"/>
              <w:rPr>
                <w:sz w:val="20"/>
                <w:szCs w:val="20"/>
                <w:color w:val="auto"/>
              </w:rPr>
            </w:pPr>
            <w:r>
              <w:rPr>
                <w:rFonts w:ascii="Arial" w:cs="Arial" w:eastAsia="Arial" w:hAnsi="Arial"/>
                <w:sz w:val="12"/>
                <w:szCs w:val="12"/>
                <w:color w:val="auto"/>
                <w:w w:val="92"/>
              </w:rPr>
              <w:t>RSG</w:t>
            </w: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2/19/2021</w:t>
            </w:r>
          </w:p>
        </w:tc>
        <w:tc>
          <w:tcPr>
            <w:tcW w:w="720" w:type="dxa"/>
            <w:vAlign w:val="bottom"/>
          </w:tcPr>
          <w:p>
            <w:pPr>
              <w:ind w:left="600"/>
              <w:spacing w:after="0"/>
              <w:rPr>
                <w:sz w:val="20"/>
                <w:szCs w:val="20"/>
                <w:color w:val="auto"/>
              </w:rPr>
            </w:pPr>
            <w:r>
              <w:rPr>
                <w:rFonts w:ascii="Arial" w:cs="Arial" w:eastAsia="Arial" w:hAnsi="Arial"/>
                <w:sz w:val="12"/>
                <w:szCs w:val="12"/>
                <w:color w:val="auto"/>
                <w:w w:val="82"/>
              </w:rPr>
              <w:t>—</w:t>
            </w:r>
          </w:p>
        </w:tc>
        <w:tc>
          <w:tcPr>
            <w:tcW w:w="104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780" w:type="dxa"/>
            <w:vAlign w:val="bottom"/>
          </w:tcPr>
          <w:p>
            <w:pPr>
              <w:ind w:left="540"/>
              <w:spacing w:after="0"/>
              <w:rPr>
                <w:sz w:val="20"/>
                <w:szCs w:val="20"/>
                <w:color w:val="auto"/>
              </w:rPr>
            </w:pPr>
            <w:r>
              <w:rPr>
                <w:rFonts w:ascii="Arial" w:cs="Arial" w:eastAsia="Arial" w:hAnsi="Arial"/>
                <w:sz w:val="12"/>
                <w:szCs w:val="12"/>
                <w:color w:val="auto"/>
              </w:rPr>
              <w:t>—</w:t>
            </w:r>
          </w:p>
        </w:tc>
        <w:tc>
          <w:tcPr>
            <w:tcW w:w="740" w:type="dxa"/>
            <w:vAlign w:val="bottom"/>
          </w:tcPr>
          <w:p>
            <w:pPr>
              <w:ind w:left="620"/>
              <w:spacing w:after="0"/>
              <w:rPr>
                <w:sz w:val="20"/>
                <w:szCs w:val="20"/>
                <w:color w:val="auto"/>
              </w:rPr>
            </w:pPr>
            <w:r>
              <w:rPr>
                <w:rFonts w:ascii="Arial" w:cs="Arial" w:eastAsia="Arial" w:hAnsi="Arial"/>
                <w:sz w:val="12"/>
                <w:szCs w:val="12"/>
                <w:color w:val="auto"/>
                <w:w w:val="82"/>
              </w:rPr>
              <w:t>—</w:t>
            </w: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2,324</w:t>
            </w:r>
          </w:p>
        </w:tc>
        <w:tc>
          <w:tcPr>
            <w:tcW w:w="860" w:type="dxa"/>
            <w:vAlign w:val="bottom"/>
          </w:tcPr>
          <w:p>
            <w:pPr>
              <w:ind w:left="640"/>
              <w:spacing w:after="0"/>
              <w:rPr>
                <w:sz w:val="20"/>
                <w:szCs w:val="20"/>
                <w:color w:val="auto"/>
              </w:rPr>
            </w:pPr>
            <w:r>
              <w:rPr>
                <w:rFonts w:ascii="Arial" w:cs="Arial" w:eastAsia="Arial" w:hAnsi="Arial"/>
                <w:sz w:val="12"/>
                <w:szCs w:val="12"/>
                <w:color w:val="auto"/>
              </w:rPr>
              <w:t>—</w:t>
            </w:r>
          </w:p>
        </w:tc>
        <w:tc>
          <w:tcPr>
            <w:tcW w:w="760" w:type="dxa"/>
            <w:vAlign w:val="bottom"/>
          </w:tcPr>
          <w:p>
            <w:pPr>
              <w:ind w:left="5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207,068</w:t>
            </w:r>
          </w:p>
        </w:tc>
      </w:tr>
      <w:tr>
        <w:trPr>
          <w:trHeight w:val="157"/>
        </w:trPr>
        <w:tc>
          <w:tcPr>
            <w:tcW w:w="1560" w:type="dxa"/>
            <w:vAlign w:val="bottom"/>
            <w:tcBorders>
              <w:left w:val="single" w:sz="8" w:color="auto"/>
            </w:tcBorders>
          </w:tcPr>
          <w:p>
            <w:pPr>
              <w:spacing w:after="0"/>
              <w:rPr>
                <w:sz w:val="13"/>
                <w:szCs w:val="13"/>
                <w:color w:val="auto"/>
              </w:rPr>
            </w:pPr>
          </w:p>
        </w:tc>
        <w:tc>
          <w:tcPr>
            <w:tcW w:w="380" w:type="dxa"/>
            <w:vAlign w:val="bottom"/>
          </w:tcPr>
          <w:p>
            <w:pPr>
              <w:jc w:val="right"/>
              <w:ind w:right="38"/>
              <w:spacing w:after="0"/>
              <w:rPr>
                <w:sz w:val="20"/>
                <w:szCs w:val="20"/>
                <w:color w:val="auto"/>
              </w:rPr>
            </w:pPr>
            <w:r>
              <w:rPr>
                <w:rFonts w:ascii="Arial" w:cs="Arial" w:eastAsia="Arial" w:hAnsi="Arial"/>
                <w:sz w:val="12"/>
                <w:szCs w:val="12"/>
                <w:color w:val="auto"/>
              </w:rPr>
              <w:t>(4)</w:t>
            </w:r>
          </w:p>
        </w:tc>
        <w:tc>
          <w:tcPr>
            <w:tcW w:w="600" w:type="dxa"/>
            <w:vAlign w:val="bottom"/>
          </w:tcPr>
          <w:p>
            <w:pPr>
              <w:jc w:val="center"/>
              <w:spacing w:after="0"/>
              <w:rPr>
                <w:sz w:val="20"/>
                <w:szCs w:val="20"/>
                <w:color w:val="auto"/>
              </w:rPr>
            </w:pPr>
            <w:r>
              <w:rPr>
                <w:rFonts w:ascii="Arial" w:cs="Arial" w:eastAsia="Arial" w:hAnsi="Arial"/>
                <w:sz w:val="12"/>
                <w:szCs w:val="12"/>
                <w:color w:val="auto"/>
                <w:w w:val="93"/>
              </w:rPr>
              <w:t>SRSG</w:t>
            </w: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3/26/2021</w:t>
            </w:r>
          </w:p>
        </w:tc>
        <w:tc>
          <w:tcPr>
            <w:tcW w:w="720" w:type="dxa"/>
            <w:vAlign w:val="bottom"/>
          </w:tcPr>
          <w:p>
            <w:pPr>
              <w:ind w:left="600"/>
              <w:spacing w:after="0"/>
              <w:rPr>
                <w:sz w:val="20"/>
                <w:szCs w:val="20"/>
                <w:color w:val="auto"/>
              </w:rPr>
            </w:pPr>
            <w:r>
              <w:rPr>
                <w:rFonts w:ascii="Arial" w:cs="Arial" w:eastAsia="Arial" w:hAnsi="Arial"/>
                <w:sz w:val="12"/>
                <w:szCs w:val="12"/>
                <w:color w:val="auto"/>
                <w:w w:val="82"/>
              </w:rPr>
              <w:t>—</w:t>
            </w:r>
          </w:p>
        </w:tc>
        <w:tc>
          <w:tcPr>
            <w:tcW w:w="104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780" w:type="dxa"/>
            <w:vAlign w:val="bottom"/>
          </w:tcPr>
          <w:p>
            <w:pPr>
              <w:ind w:left="540"/>
              <w:spacing w:after="0"/>
              <w:rPr>
                <w:sz w:val="20"/>
                <w:szCs w:val="20"/>
                <w:color w:val="auto"/>
              </w:rPr>
            </w:pPr>
            <w:r>
              <w:rPr>
                <w:rFonts w:ascii="Arial" w:cs="Arial" w:eastAsia="Arial" w:hAnsi="Arial"/>
                <w:sz w:val="12"/>
                <w:szCs w:val="12"/>
                <w:color w:val="auto"/>
              </w:rPr>
              <w:t>—</w:t>
            </w:r>
          </w:p>
        </w:tc>
        <w:tc>
          <w:tcPr>
            <w:tcW w:w="740" w:type="dxa"/>
            <w:vAlign w:val="bottom"/>
          </w:tcPr>
          <w:p>
            <w:pPr>
              <w:ind w:left="620"/>
              <w:spacing w:after="0"/>
              <w:rPr>
                <w:sz w:val="20"/>
                <w:szCs w:val="20"/>
                <w:color w:val="auto"/>
              </w:rPr>
            </w:pPr>
            <w:r>
              <w:rPr>
                <w:rFonts w:ascii="Arial" w:cs="Arial" w:eastAsia="Arial" w:hAnsi="Arial"/>
                <w:sz w:val="12"/>
                <w:szCs w:val="12"/>
                <w:color w:val="auto"/>
                <w:w w:val="82"/>
              </w:rPr>
              <w:t>—</w:t>
            </w: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10,737</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10,737</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860" w:type="dxa"/>
            <w:vAlign w:val="bottom"/>
          </w:tcPr>
          <w:p>
            <w:pPr>
              <w:ind w:left="640"/>
              <w:spacing w:after="0"/>
              <w:rPr>
                <w:sz w:val="20"/>
                <w:szCs w:val="20"/>
                <w:color w:val="auto"/>
              </w:rPr>
            </w:pPr>
            <w:r>
              <w:rPr>
                <w:rFonts w:ascii="Arial" w:cs="Arial" w:eastAsia="Arial" w:hAnsi="Arial"/>
                <w:sz w:val="12"/>
                <w:szCs w:val="12"/>
                <w:color w:val="auto"/>
              </w:rPr>
              <w:t>—</w:t>
            </w:r>
          </w:p>
        </w:tc>
        <w:tc>
          <w:tcPr>
            <w:tcW w:w="760" w:type="dxa"/>
            <w:vAlign w:val="bottom"/>
          </w:tcPr>
          <w:p>
            <w:pPr>
              <w:ind w:left="5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1,000,044</w:t>
            </w:r>
          </w:p>
        </w:tc>
      </w:tr>
      <w:tr>
        <w:trPr>
          <w:trHeight w:val="284"/>
        </w:trPr>
        <w:tc>
          <w:tcPr>
            <w:tcW w:w="156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Sharon M. Crofts</w:t>
            </w:r>
          </w:p>
        </w:tc>
        <w:tc>
          <w:tcPr>
            <w:tcW w:w="380" w:type="dxa"/>
            <w:vAlign w:val="bottom"/>
          </w:tcPr>
          <w:p>
            <w:pPr>
              <w:jc w:val="right"/>
              <w:ind w:right="38"/>
              <w:spacing w:after="0"/>
              <w:rPr>
                <w:sz w:val="20"/>
                <w:szCs w:val="20"/>
                <w:color w:val="auto"/>
              </w:rPr>
            </w:pPr>
            <w:r>
              <w:rPr>
                <w:rFonts w:ascii="Arial" w:cs="Arial" w:eastAsia="Arial" w:hAnsi="Arial"/>
                <w:sz w:val="12"/>
                <w:szCs w:val="12"/>
                <w:color w:val="auto"/>
              </w:rPr>
              <w:t>(2)</w:t>
            </w:r>
          </w:p>
        </w:tc>
        <w:tc>
          <w:tcPr>
            <w:tcW w:w="600" w:type="dxa"/>
            <w:vAlign w:val="bottom"/>
          </w:tcPr>
          <w:p>
            <w:pPr>
              <w:jc w:val="center"/>
              <w:spacing w:after="0"/>
              <w:rPr>
                <w:sz w:val="20"/>
                <w:szCs w:val="20"/>
                <w:color w:val="auto"/>
              </w:rPr>
            </w:pPr>
            <w:r>
              <w:rPr>
                <w:rFonts w:ascii="Arial" w:cs="Arial" w:eastAsia="Arial" w:hAnsi="Arial"/>
                <w:sz w:val="12"/>
                <w:szCs w:val="12"/>
                <w:color w:val="auto"/>
                <w:w w:val="92"/>
              </w:rPr>
              <w:t>RSG</w:t>
            </w: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2/19/2021</w:t>
            </w:r>
          </w:p>
        </w:tc>
        <w:tc>
          <w:tcPr>
            <w:tcW w:w="720" w:type="dxa"/>
            <w:vAlign w:val="bottom"/>
          </w:tcPr>
          <w:p>
            <w:pPr>
              <w:ind w:left="600"/>
              <w:spacing w:after="0"/>
              <w:rPr>
                <w:sz w:val="20"/>
                <w:szCs w:val="20"/>
                <w:color w:val="auto"/>
              </w:rPr>
            </w:pPr>
            <w:r>
              <w:rPr>
                <w:rFonts w:ascii="Arial" w:cs="Arial" w:eastAsia="Arial" w:hAnsi="Arial"/>
                <w:sz w:val="12"/>
                <w:szCs w:val="12"/>
                <w:color w:val="auto"/>
                <w:w w:val="82"/>
              </w:rPr>
              <w:t>—</w:t>
            </w:r>
          </w:p>
        </w:tc>
        <w:tc>
          <w:tcPr>
            <w:tcW w:w="104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780" w:type="dxa"/>
            <w:vAlign w:val="bottom"/>
          </w:tcPr>
          <w:p>
            <w:pPr>
              <w:ind w:left="540"/>
              <w:spacing w:after="0"/>
              <w:rPr>
                <w:sz w:val="20"/>
                <w:szCs w:val="20"/>
                <w:color w:val="auto"/>
              </w:rPr>
            </w:pPr>
            <w:r>
              <w:rPr>
                <w:rFonts w:ascii="Arial" w:cs="Arial" w:eastAsia="Arial" w:hAnsi="Arial"/>
                <w:sz w:val="12"/>
                <w:szCs w:val="12"/>
                <w:color w:val="auto"/>
              </w:rPr>
              <w:t>—</w:t>
            </w:r>
          </w:p>
        </w:tc>
        <w:tc>
          <w:tcPr>
            <w:tcW w:w="740" w:type="dxa"/>
            <w:vAlign w:val="bottom"/>
          </w:tcPr>
          <w:p>
            <w:pPr>
              <w:ind w:left="620"/>
              <w:spacing w:after="0"/>
              <w:rPr>
                <w:sz w:val="20"/>
                <w:szCs w:val="20"/>
                <w:color w:val="auto"/>
              </w:rPr>
            </w:pPr>
            <w:r>
              <w:rPr>
                <w:rFonts w:ascii="Arial" w:cs="Arial" w:eastAsia="Arial" w:hAnsi="Arial"/>
                <w:sz w:val="12"/>
                <w:szCs w:val="12"/>
                <w:color w:val="auto"/>
                <w:w w:val="82"/>
              </w:rPr>
              <w:t>—</w:t>
            </w: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2,324</w:t>
            </w:r>
          </w:p>
        </w:tc>
        <w:tc>
          <w:tcPr>
            <w:tcW w:w="860" w:type="dxa"/>
            <w:vAlign w:val="bottom"/>
          </w:tcPr>
          <w:p>
            <w:pPr>
              <w:ind w:left="640"/>
              <w:spacing w:after="0"/>
              <w:rPr>
                <w:sz w:val="20"/>
                <w:szCs w:val="20"/>
                <w:color w:val="auto"/>
              </w:rPr>
            </w:pPr>
            <w:r>
              <w:rPr>
                <w:rFonts w:ascii="Arial" w:cs="Arial" w:eastAsia="Arial" w:hAnsi="Arial"/>
                <w:sz w:val="12"/>
                <w:szCs w:val="12"/>
                <w:color w:val="auto"/>
              </w:rPr>
              <w:t>—</w:t>
            </w:r>
          </w:p>
        </w:tc>
        <w:tc>
          <w:tcPr>
            <w:tcW w:w="760" w:type="dxa"/>
            <w:vAlign w:val="bottom"/>
          </w:tcPr>
          <w:p>
            <w:pPr>
              <w:ind w:left="5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207,068</w:t>
            </w:r>
          </w:p>
        </w:tc>
      </w:tr>
      <w:tr>
        <w:trPr>
          <w:trHeight w:val="157"/>
        </w:trPr>
        <w:tc>
          <w:tcPr>
            <w:tcW w:w="1560" w:type="dxa"/>
            <w:vAlign w:val="bottom"/>
            <w:tcBorders>
              <w:left w:val="single" w:sz="8" w:color="auto"/>
            </w:tcBorders>
          </w:tcPr>
          <w:p>
            <w:pPr>
              <w:spacing w:after="0"/>
              <w:rPr>
                <w:sz w:val="13"/>
                <w:szCs w:val="13"/>
                <w:color w:val="auto"/>
              </w:rPr>
            </w:pPr>
          </w:p>
        </w:tc>
        <w:tc>
          <w:tcPr>
            <w:tcW w:w="380" w:type="dxa"/>
            <w:vAlign w:val="bottom"/>
          </w:tcPr>
          <w:p>
            <w:pPr>
              <w:jc w:val="right"/>
              <w:ind w:right="38"/>
              <w:spacing w:after="0"/>
              <w:rPr>
                <w:sz w:val="20"/>
                <w:szCs w:val="20"/>
                <w:color w:val="auto"/>
              </w:rPr>
            </w:pPr>
            <w:r>
              <w:rPr>
                <w:rFonts w:ascii="Arial" w:cs="Arial" w:eastAsia="Arial" w:hAnsi="Arial"/>
                <w:sz w:val="12"/>
                <w:szCs w:val="12"/>
                <w:color w:val="auto"/>
              </w:rPr>
              <w:t>(5)</w:t>
            </w:r>
          </w:p>
        </w:tc>
        <w:tc>
          <w:tcPr>
            <w:tcW w:w="600" w:type="dxa"/>
            <w:vAlign w:val="bottom"/>
          </w:tcPr>
          <w:p>
            <w:pPr>
              <w:jc w:val="center"/>
              <w:spacing w:after="0"/>
              <w:rPr>
                <w:sz w:val="20"/>
                <w:szCs w:val="20"/>
                <w:color w:val="auto"/>
              </w:rPr>
            </w:pPr>
            <w:r>
              <w:rPr>
                <w:rFonts w:ascii="Arial" w:cs="Arial" w:eastAsia="Arial" w:hAnsi="Arial"/>
                <w:sz w:val="12"/>
                <w:szCs w:val="12"/>
                <w:color w:val="auto"/>
                <w:w w:val="95"/>
              </w:rPr>
              <w:t>SRIG</w:t>
            </w: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3/26/2021</w:t>
            </w:r>
          </w:p>
        </w:tc>
        <w:tc>
          <w:tcPr>
            <w:tcW w:w="720" w:type="dxa"/>
            <w:vAlign w:val="bottom"/>
          </w:tcPr>
          <w:p>
            <w:pPr>
              <w:ind w:left="600"/>
              <w:spacing w:after="0"/>
              <w:rPr>
                <w:sz w:val="20"/>
                <w:szCs w:val="20"/>
                <w:color w:val="auto"/>
              </w:rPr>
            </w:pPr>
            <w:r>
              <w:rPr>
                <w:rFonts w:ascii="Arial" w:cs="Arial" w:eastAsia="Arial" w:hAnsi="Arial"/>
                <w:sz w:val="12"/>
                <w:szCs w:val="12"/>
                <w:color w:val="auto"/>
                <w:w w:val="82"/>
              </w:rPr>
              <w:t>—</w:t>
            </w:r>
          </w:p>
        </w:tc>
        <w:tc>
          <w:tcPr>
            <w:tcW w:w="1040" w:type="dxa"/>
            <w:vAlign w:val="bottom"/>
          </w:tcPr>
          <w:p>
            <w:pPr>
              <w:jc w:val="right"/>
              <w:ind w:right="138"/>
              <w:spacing w:after="0"/>
              <w:rPr>
                <w:sz w:val="20"/>
                <w:szCs w:val="20"/>
                <w:color w:val="auto"/>
              </w:rPr>
            </w:pPr>
            <w:r>
              <w:rPr>
                <w:rFonts w:ascii="Arial" w:cs="Arial" w:eastAsia="Arial" w:hAnsi="Arial"/>
                <w:sz w:val="12"/>
                <w:szCs w:val="12"/>
                <w:color w:val="auto"/>
              </w:rPr>
              <w:t>1,500,000</w:t>
            </w:r>
          </w:p>
        </w:tc>
        <w:tc>
          <w:tcPr>
            <w:tcW w:w="780" w:type="dxa"/>
            <w:vAlign w:val="bottom"/>
          </w:tcPr>
          <w:p>
            <w:pPr>
              <w:ind w:left="540"/>
              <w:spacing w:after="0"/>
              <w:rPr>
                <w:sz w:val="20"/>
                <w:szCs w:val="20"/>
                <w:color w:val="auto"/>
              </w:rPr>
            </w:pPr>
            <w:r>
              <w:rPr>
                <w:rFonts w:ascii="Arial" w:cs="Arial" w:eastAsia="Arial" w:hAnsi="Arial"/>
                <w:sz w:val="12"/>
                <w:szCs w:val="12"/>
                <w:color w:val="auto"/>
              </w:rPr>
              <w:t>—</w:t>
            </w:r>
          </w:p>
        </w:tc>
        <w:tc>
          <w:tcPr>
            <w:tcW w:w="740" w:type="dxa"/>
            <w:vAlign w:val="bottom"/>
          </w:tcPr>
          <w:p>
            <w:pPr>
              <w:ind w:left="620"/>
              <w:spacing w:after="0"/>
              <w:rPr>
                <w:sz w:val="20"/>
                <w:szCs w:val="20"/>
                <w:color w:val="auto"/>
              </w:rPr>
            </w:pPr>
            <w:r>
              <w:rPr>
                <w:rFonts w:ascii="Arial" w:cs="Arial" w:eastAsia="Arial" w:hAnsi="Arial"/>
                <w:sz w:val="12"/>
                <w:szCs w:val="12"/>
                <w:color w:val="auto"/>
                <w:w w:val="82"/>
              </w:rPr>
              <w:t>—</w:t>
            </w: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16,105</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16,105</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860" w:type="dxa"/>
            <w:vAlign w:val="bottom"/>
          </w:tcPr>
          <w:p>
            <w:pPr>
              <w:ind w:left="640"/>
              <w:spacing w:after="0"/>
              <w:rPr>
                <w:sz w:val="20"/>
                <w:szCs w:val="20"/>
                <w:color w:val="auto"/>
              </w:rPr>
            </w:pPr>
            <w:r>
              <w:rPr>
                <w:rFonts w:ascii="Arial" w:cs="Arial" w:eastAsia="Arial" w:hAnsi="Arial"/>
                <w:sz w:val="12"/>
                <w:szCs w:val="12"/>
                <w:color w:val="auto"/>
              </w:rPr>
              <w:t>—</w:t>
            </w:r>
          </w:p>
        </w:tc>
        <w:tc>
          <w:tcPr>
            <w:tcW w:w="760" w:type="dxa"/>
            <w:vAlign w:val="bottom"/>
          </w:tcPr>
          <w:p>
            <w:pPr>
              <w:ind w:left="5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1,500,020</w:t>
            </w:r>
          </w:p>
        </w:tc>
      </w:tr>
      <w:tr>
        <w:trPr>
          <w:trHeight w:val="284"/>
        </w:trPr>
        <w:tc>
          <w:tcPr>
            <w:tcW w:w="156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Mary E. Sellers</w:t>
            </w:r>
          </w:p>
        </w:tc>
        <w:tc>
          <w:tcPr>
            <w:tcW w:w="380" w:type="dxa"/>
            <w:vAlign w:val="bottom"/>
          </w:tcPr>
          <w:p>
            <w:pPr>
              <w:jc w:val="right"/>
              <w:ind w:right="38"/>
              <w:spacing w:after="0"/>
              <w:rPr>
                <w:sz w:val="20"/>
                <w:szCs w:val="20"/>
                <w:color w:val="auto"/>
              </w:rPr>
            </w:pPr>
            <w:r>
              <w:rPr>
                <w:rFonts w:ascii="Arial" w:cs="Arial" w:eastAsia="Arial" w:hAnsi="Arial"/>
                <w:sz w:val="12"/>
                <w:szCs w:val="12"/>
                <w:color w:val="auto"/>
              </w:rPr>
              <w:t>(2)</w:t>
            </w:r>
          </w:p>
        </w:tc>
        <w:tc>
          <w:tcPr>
            <w:tcW w:w="600" w:type="dxa"/>
            <w:vAlign w:val="bottom"/>
          </w:tcPr>
          <w:p>
            <w:pPr>
              <w:jc w:val="center"/>
              <w:spacing w:after="0"/>
              <w:rPr>
                <w:sz w:val="20"/>
                <w:szCs w:val="20"/>
                <w:color w:val="auto"/>
              </w:rPr>
            </w:pPr>
            <w:r>
              <w:rPr>
                <w:rFonts w:ascii="Arial" w:cs="Arial" w:eastAsia="Arial" w:hAnsi="Arial"/>
                <w:sz w:val="12"/>
                <w:szCs w:val="12"/>
                <w:color w:val="auto"/>
                <w:w w:val="92"/>
              </w:rPr>
              <w:t>RSG</w:t>
            </w:r>
          </w:p>
        </w:tc>
        <w:tc>
          <w:tcPr>
            <w:tcW w:w="740" w:type="dxa"/>
            <w:vAlign w:val="bottom"/>
          </w:tcPr>
          <w:p>
            <w:pPr>
              <w:jc w:val="center"/>
              <w:spacing w:after="0"/>
              <w:rPr>
                <w:sz w:val="20"/>
                <w:szCs w:val="20"/>
                <w:color w:val="auto"/>
              </w:rPr>
            </w:pPr>
            <w:r>
              <w:rPr>
                <w:rFonts w:ascii="Arial" w:cs="Arial" w:eastAsia="Arial" w:hAnsi="Arial"/>
                <w:sz w:val="12"/>
                <w:szCs w:val="12"/>
                <w:color w:val="auto"/>
                <w:w w:val="93"/>
              </w:rPr>
              <w:t>2/19/2021</w:t>
            </w:r>
          </w:p>
        </w:tc>
        <w:tc>
          <w:tcPr>
            <w:tcW w:w="720" w:type="dxa"/>
            <w:vAlign w:val="bottom"/>
          </w:tcPr>
          <w:p>
            <w:pPr>
              <w:ind w:left="600"/>
              <w:spacing w:after="0"/>
              <w:rPr>
                <w:sz w:val="20"/>
                <w:szCs w:val="20"/>
                <w:color w:val="auto"/>
              </w:rPr>
            </w:pPr>
            <w:r>
              <w:rPr>
                <w:rFonts w:ascii="Arial" w:cs="Arial" w:eastAsia="Arial" w:hAnsi="Arial"/>
                <w:sz w:val="12"/>
                <w:szCs w:val="12"/>
                <w:color w:val="auto"/>
                <w:w w:val="82"/>
              </w:rPr>
              <w:t>—</w:t>
            </w:r>
          </w:p>
        </w:tc>
        <w:tc>
          <w:tcPr>
            <w:tcW w:w="1040" w:type="dxa"/>
            <w:vAlign w:val="bottom"/>
          </w:tcPr>
          <w:p>
            <w:pPr>
              <w:jc w:val="right"/>
              <w:ind w:right="138"/>
              <w:spacing w:after="0"/>
              <w:rPr>
                <w:sz w:val="20"/>
                <w:szCs w:val="20"/>
                <w:color w:val="auto"/>
              </w:rPr>
            </w:pPr>
            <w:r>
              <w:rPr>
                <w:rFonts w:ascii="Arial" w:cs="Arial" w:eastAsia="Arial" w:hAnsi="Arial"/>
                <w:sz w:val="12"/>
                <w:szCs w:val="12"/>
                <w:color w:val="auto"/>
              </w:rPr>
              <w:t>—</w:t>
            </w:r>
          </w:p>
        </w:tc>
        <w:tc>
          <w:tcPr>
            <w:tcW w:w="780" w:type="dxa"/>
            <w:vAlign w:val="bottom"/>
          </w:tcPr>
          <w:p>
            <w:pPr>
              <w:ind w:left="540"/>
              <w:spacing w:after="0"/>
              <w:rPr>
                <w:sz w:val="20"/>
                <w:szCs w:val="20"/>
                <w:color w:val="auto"/>
              </w:rPr>
            </w:pPr>
            <w:r>
              <w:rPr>
                <w:rFonts w:ascii="Arial" w:cs="Arial" w:eastAsia="Arial" w:hAnsi="Arial"/>
                <w:sz w:val="12"/>
                <w:szCs w:val="12"/>
                <w:color w:val="auto"/>
              </w:rPr>
              <w:t>—</w:t>
            </w:r>
          </w:p>
        </w:tc>
        <w:tc>
          <w:tcPr>
            <w:tcW w:w="740" w:type="dxa"/>
            <w:vAlign w:val="bottom"/>
          </w:tcPr>
          <w:p>
            <w:pPr>
              <w:ind w:left="620"/>
              <w:spacing w:after="0"/>
              <w:rPr>
                <w:sz w:val="20"/>
                <w:szCs w:val="20"/>
                <w:color w:val="auto"/>
              </w:rPr>
            </w:pPr>
            <w:r>
              <w:rPr>
                <w:rFonts w:ascii="Arial" w:cs="Arial" w:eastAsia="Arial" w:hAnsi="Arial"/>
                <w:sz w:val="12"/>
                <w:szCs w:val="12"/>
                <w:color w:val="auto"/>
                <w:w w:val="82"/>
              </w:rPr>
              <w:t>—</w:t>
            </w: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2,517</w:t>
            </w:r>
          </w:p>
        </w:tc>
        <w:tc>
          <w:tcPr>
            <w:tcW w:w="860" w:type="dxa"/>
            <w:vAlign w:val="bottom"/>
          </w:tcPr>
          <w:p>
            <w:pPr>
              <w:ind w:left="640"/>
              <w:spacing w:after="0"/>
              <w:rPr>
                <w:sz w:val="20"/>
                <w:szCs w:val="20"/>
                <w:color w:val="auto"/>
              </w:rPr>
            </w:pPr>
            <w:r>
              <w:rPr>
                <w:rFonts w:ascii="Arial" w:cs="Arial" w:eastAsia="Arial" w:hAnsi="Arial"/>
                <w:sz w:val="12"/>
                <w:szCs w:val="12"/>
                <w:color w:val="auto"/>
              </w:rPr>
              <w:t>—</w:t>
            </w:r>
          </w:p>
        </w:tc>
        <w:tc>
          <w:tcPr>
            <w:tcW w:w="760" w:type="dxa"/>
            <w:vAlign w:val="bottom"/>
          </w:tcPr>
          <w:p>
            <w:pPr>
              <w:ind w:left="5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224,265</w:t>
            </w:r>
          </w:p>
        </w:tc>
      </w:tr>
      <w:tr>
        <w:trPr>
          <w:trHeight w:val="148"/>
        </w:trPr>
        <w:tc>
          <w:tcPr>
            <w:tcW w:w="1560" w:type="dxa"/>
            <w:vAlign w:val="bottom"/>
            <w:tcBorders>
              <w:left w:val="single" w:sz="8" w:color="auto"/>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(5)</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SRIG</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3/26/2021</w:t>
            </w:r>
          </w:p>
        </w:tc>
        <w:tc>
          <w:tcPr>
            <w:tcW w:w="720" w:type="dxa"/>
            <w:vAlign w:val="bottom"/>
            <w:tcBorders>
              <w:bottom w:val="single" w:sz="8" w:color="auto"/>
            </w:tcBorders>
          </w:tcPr>
          <w:p>
            <w:pPr>
              <w:ind w:left="600"/>
              <w:spacing w:after="0"/>
              <w:rPr>
                <w:sz w:val="20"/>
                <w:szCs w:val="20"/>
                <w:color w:val="auto"/>
              </w:rPr>
            </w:pPr>
            <w:r>
              <w:rPr>
                <w:rFonts w:ascii="Arial" w:cs="Arial" w:eastAsia="Arial" w:hAnsi="Arial"/>
                <w:sz w:val="12"/>
                <w:szCs w:val="12"/>
                <w:color w:val="auto"/>
                <w:w w:val="82"/>
              </w:rPr>
              <w:t>—</w:t>
            </w:r>
          </w:p>
        </w:tc>
        <w:tc>
          <w:tcPr>
            <w:tcW w:w="104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2,250,000</w:t>
            </w: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w w:val="82"/>
              </w:rPr>
              <w:t>—</w:t>
            </w:r>
          </w:p>
        </w:tc>
        <w:tc>
          <w:tcPr>
            <w:tcW w:w="7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24,158</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24,158</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ind w:left="54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2,250,076</w:t>
            </w:r>
          </w:p>
        </w:tc>
      </w:tr>
    </w:tbl>
    <w:p>
      <w:pPr>
        <w:spacing w:after="0" w:line="110" w:lineRule="exact"/>
        <w:rPr>
          <w:sz w:val="20"/>
          <w:szCs w:val="20"/>
          <w:color w:val="auto"/>
        </w:rPr>
      </w:pPr>
    </w:p>
    <w:p>
      <w:pPr>
        <w:jc w:val="right"/>
        <w:ind w:left="1680" w:right="7240" w:hanging="1673"/>
        <w:spacing w:after="0" w:line="255" w:lineRule="auto"/>
        <w:tabs>
          <w:tab w:leader="none" w:pos="396" w:val="left"/>
        </w:tabs>
        <w:numPr>
          <w:ilvl w:val="0"/>
          <w:numId w:val="84"/>
        </w:numPr>
        <w:rPr>
          <w:rFonts w:ascii="Arial" w:cs="Arial" w:eastAsia="Arial" w:hAnsi="Arial"/>
          <w:sz w:val="13"/>
          <w:szCs w:val="13"/>
          <w:color w:val="auto"/>
        </w:rPr>
      </w:pPr>
      <w:r>
        <w:rPr>
          <w:rFonts w:ascii="Arial" w:cs="Arial" w:eastAsia="Arial" w:hAnsi="Arial"/>
          <w:sz w:val="12"/>
          <w:szCs w:val="12"/>
          <w:color w:val="auto"/>
        </w:rPr>
        <w:t>Types of Awards:  PSG - Performance-Based Restricted Stock Grant RSG - Service-Based Restricted Stock Grant</w:t>
      </w:r>
    </w:p>
    <w:p>
      <w:pPr>
        <w:ind w:left="1720" w:right="6040"/>
        <w:spacing w:after="0" w:line="292" w:lineRule="auto"/>
        <w:rPr>
          <w:rFonts w:ascii="Arial" w:cs="Arial" w:eastAsia="Arial" w:hAnsi="Arial"/>
          <w:sz w:val="13"/>
          <w:szCs w:val="13"/>
          <w:color w:val="auto"/>
        </w:rPr>
      </w:pPr>
      <w:r>
        <w:rPr>
          <w:rFonts w:ascii="Arial" w:cs="Arial" w:eastAsia="Arial" w:hAnsi="Arial"/>
          <w:sz w:val="12"/>
          <w:szCs w:val="12"/>
          <w:color w:val="auto"/>
        </w:rPr>
        <w:t>SRSG - Performance-Based Supplemental Restricted Stock Grant SRIG - Performance-Based Special Retention Incentive Plan Grant</w:t>
      </w:r>
    </w:p>
    <w:p>
      <w:pPr>
        <w:spacing w:after="0" w:line="53" w:lineRule="exact"/>
        <w:rPr>
          <w:rFonts w:ascii="Arial" w:cs="Arial" w:eastAsia="Arial" w:hAnsi="Arial"/>
          <w:sz w:val="13"/>
          <w:szCs w:val="13"/>
          <w:color w:val="auto"/>
        </w:rPr>
      </w:pPr>
    </w:p>
    <w:p>
      <w:pPr>
        <w:ind w:left="400" w:right="140" w:hanging="393"/>
        <w:spacing w:after="0" w:line="260" w:lineRule="auto"/>
        <w:tabs>
          <w:tab w:leader="none" w:pos="400" w:val="left"/>
        </w:tabs>
        <w:numPr>
          <w:ilvl w:val="0"/>
          <w:numId w:val="84"/>
        </w:numPr>
        <w:rPr>
          <w:rFonts w:ascii="Arial" w:cs="Arial" w:eastAsia="Arial" w:hAnsi="Arial"/>
          <w:sz w:val="13"/>
          <w:szCs w:val="13"/>
          <w:color w:val="auto"/>
        </w:rPr>
      </w:pPr>
      <w:r>
        <w:rPr>
          <w:rFonts w:ascii="Arial" w:cs="Arial" w:eastAsia="Arial" w:hAnsi="Arial"/>
          <w:sz w:val="12"/>
          <w:szCs w:val="12"/>
          <w:color w:val="auto"/>
        </w:rPr>
        <w:t>Performance-based restricted stock was granted, of which 50% are First Category Shares and 50% are Second Category Shares, which vests once the Committee has certified the Three Year Average Percentiles for each of the performance metrics, provided service and performance criteria are met. Vesting is conditioned upon the Company’s three year (for the years 2021, 2022, and 2023) average percentile ranking in the S&amp;P Supercomposite Regional Bank Index (less banks with assets greater than $50 billion) and the grantee must remain an employee of the Company through the vesting date. The S&amp;P Supercomposite Regional Bank Index was determined as of January 2 or next following business day of the calendar year. The First Category Shares will vest 100% if the three year average percentile ranking for Return-on-Common-Equity is in the top quartile of the S&amp;P Supercomposite Regional Bank Index, 75% will vest if the Company’s ranking is at least in the 62.5th and not more than 74.99th percentile, 50% will vest if the Company’s ranking is at least in the 50th percentile and not more than 62.49th percentile, shares will forfeit if the Company’s ranking is below the 50th percentile. The Second Category Shares will vest 100% if the three year average percentile ranking for Stock Price-to-Book Ratio is in the top quartile of the S&amp;P Supercomposite Regional Bank Index, 75% will vest if the Company’s ranking is at least in the 62.5th and not more than 74.99th percentile, 50% will vest if the Company’s ranking is at least in the 50th percentile and not more than 62.49th percentile, shares will forfeit if the Company’s ranking is below the 50th percentile.</w:t>
      </w:r>
    </w:p>
    <w:p>
      <w:pPr>
        <w:spacing w:after="0" w:line="73" w:lineRule="exact"/>
        <w:rPr>
          <w:rFonts w:ascii="Arial" w:cs="Arial" w:eastAsia="Arial" w:hAnsi="Arial"/>
          <w:sz w:val="13"/>
          <w:szCs w:val="13"/>
          <w:color w:val="auto"/>
        </w:rPr>
      </w:pPr>
    </w:p>
    <w:p>
      <w:pPr>
        <w:ind w:left="400" w:right="240" w:hanging="393"/>
        <w:spacing w:after="0" w:line="293" w:lineRule="auto"/>
        <w:tabs>
          <w:tab w:leader="none" w:pos="400" w:val="left"/>
        </w:tabs>
        <w:numPr>
          <w:ilvl w:val="0"/>
          <w:numId w:val="84"/>
        </w:numPr>
        <w:rPr>
          <w:rFonts w:ascii="Arial" w:cs="Arial" w:eastAsia="Arial" w:hAnsi="Arial"/>
          <w:sz w:val="13"/>
          <w:szCs w:val="13"/>
          <w:color w:val="auto"/>
        </w:rPr>
      </w:pPr>
      <w:r>
        <w:rPr>
          <w:rFonts w:ascii="Arial" w:cs="Arial" w:eastAsia="Arial" w:hAnsi="Arial"/>
          <w:sz w:val="12"/>
          <w:szCs w:val="12"/>
          <w:color w:val="auto"/>
        </w:rPr>
        <w:t>Performance-based 2020 Executive Incentive Plan payments were made half in cash and half in restricted stock equivalent granted on February 19, 2021, which will vest in thirds upon each of the first three anniversaries of the grant once the Company's Human Resources &amp; Compensation Committee has certified the grantee remained an employee of the Company through the vesting date.</w:t>
      </w:r>
    </w:p>
    <w:p>
      <w:pPr>
        <w:spacing w:after="0" w:line="50" w:lineRule="exact"/>
        <w:rPr>
          <w:rFonts w:ascii="Arial" w:cs="Arial" w:eastAsia="Arial" w:hAnsi="Arial"/>
          <w:sz w:val="13"/>
          <w:szCs w:val="13"/>
          <w:color w:val="auto"/>
        </w:rPr>
      </w:pPr>
    </w:p>
    <w:p>
      <w:pPr>
        <w:ind w:left="400" w:right="180" w:hanging="393"/>
        <w:spacing w:after="0" w:line="255" w:lineRule="auto"/>
        <w:tabs>
          <w:tab w:leader="none" w:pos="400" w:val="left"/>
        </w:tabs>
        <w:numPr>
          <w:ilvl w:val="0"/>
          <w:numId w:val="84"/>
        </w:numPr>
        <w:rPr>
          <w:rFonts w:ascii="Arial" w:cs="Arial" w:eastAsia="Arial" w:hAnsi="Arial"/>
          <w:sz w:val="13"/>
          <w:szCs w:val="13"/>
          <w:color w:val="auto"/>
        </w:rPr>
      </w:pPr>
      <w:r>
        <w:rPr>
          <w:rFonts w:ascii="Arial" w:cs="Arial" w:eastAsia="Arial" w:hAnsi="Arial"/>
          <w:sz w:val="12"/>
          <w:szCs w:val="12"/>
          <w:color w:val="auto"/>
        </w:rPr>
        <w:t>Performance-based restricted stock was granted as a Supplemental Restricted Stock Grant, of which 50% are First Category Shares and 50% are Second Category Shares, which vests once the Committee has certified the Five Year Average Percentiles for each of the performance metrics, provided employment and performance criteria are met. Vesting is conditioned upon the Company’s five year (for the years 2021, 2022, 2023, 2024 and 2025) average percentile ranking in the S&amp;P Supercomposite Regional Bank Index (less banks with assets greater than $50 billion) and the grantee must remain an employee of the Company through the vesting date. The S&amp;P Supercomposite Regional Bank Index was determined as of January 4, 2021. The First Category Shares will vest 100% if the five year average percentile ranking for Return-on-Common-Equity is in the top quartile of the S&amp;P Supercomposite Regional Bank Index, 75% will vest if the Company’s ranking is at least in the</w:t>
      </w:r>
    </w:p>
    <w:p>
      <w:pPr>
        <w:spacing w:after="0" w:line="2" w:lineRule="exact"/>
        <w:rPr>
          <w:rFonts w:ascii="Arial" w:cs="Arial" w:eastAsia="Arial" w:hAnsi="Arial"/>
          <w:sz w:val="13"/>
          <w:szCs w:val="13"/>
          <w:color w:val="auto"/>
        </w:rPr>
      </w:pPr>
    </w:p>
    <w:p>
      <w:pPr>
        <w:ind w:left="400" w:right="180"/>
        <w:spacing w:after="0" w:line="241" w:lineRule="auto"/>
        <w:rPr>
          <w:rFonts w:ascii="Arial" w:cs="Arial" w:eastAsia="Arial" w:hAnsi="Arial"/>
          <w:sz w:val="13"/>
          <w:szCs w:val="13"/>
          <w:color w:val="auto"/>
        </w:rPr>
      </w:pPr>
      <w:r>
        <w:rPr>
          <w:rFonts w:ascii="Arial" w:cs="Arial" w:eastAsia="Arial" w:hAnsi="Arial"/>
          <w:sz w:val="13"/>
          <w:szCs w:val="13"/>
          <w:color w:val="auto"/>
        </w:rPr>
        <w:t>62.5th and not more than 74.99th percentile, 50% will vest if the Company’s ranking is at least in the 50th percentile and not more than 62.49th percentile, shares will forfeit if the Company’s ranking is below the 50th percentile. The Second Category Shares will vest 100% if the five year average percentile ranking for Stock Price-to-Book Ratio is in the top quartile of the S&amp;P Supercomposite Regional Bank Index, 75% will vest if the Company’s ranking is at least in the 62.5th and not more than 74.99th percentile, 50% will vest if the Company’s ranking is at least in the 50th percentile and not more than 62.49th percentile, shares will forfeit if the Company’s ranking is below the 50th percentile.</w:t>
      </w:r>
    </w:p>
    <w:p>
      <w:pPr>
        <w:spacing w:after="0" w:line="82" w:lineRule="exact"/>
        <w:rPr>
          <w:rFonts w:ascii="Arial" w:cs="Arial" w:eastAsia="Arial" w:hAnsi="Arial"/>
          <w:sz w:val="13"/>
          <w:szCs w:val="13"/>
          <w:color w:val="auto"/>
        </w:rPr>
      </w:pPr>
    </w:p>
    <w:p>
      <w:pPr>
        <w:ind w:left="400" w:right="140" w:hanging="393"/>
        <w:spacing w:after="0" w:line="260" w:lineRule="auto"/>
        <w:tabs>
          <w:tab w:leader="none" w:pos="400" w:val="left"/>
        </w:tabs>
        <w:numPr>
          <w:ilvl w:val="0"/>
          <w:numId w:val="84"/>
        </w:numPr>
        <w:rPr>
          <w:rFonts w:ascii="Arial" w:cs="Arial" w:eastAsia="Arial" w:hAnsi="Arial"/>
          <w:sz w:val="13"/>
          <w:szCs w:val="13"/>
          <w:color w:val="auto"/>
        </w:rPr>
      </w:pPr>
      <w:r>
        <w:rPr>
          <w:rFonts w:ascii="Arial" w:cs="Arial" w:eastAsia="Arial" w:hAnsi="Arial"/>
          <w:sz w:val="12"/>
          <w:szCs w:val="12"/>
          <w:color w:val="auto"/>
        </w:rPr>
        <w:t>Performance-based award was granted under the Special Retention Incentive Plan (50% in the form of cash and 50% in the form of restricted stock) of which 50% are First Category Shares and 50% are Second Category Shares, which vests once the Committee has certified the Three Year Average Percentiles for each of the performance metrics, provided employment and performance criteria are met. Vesting is conditioned upon the Company’s three year (for the years 2021, 2022, and 2023) average percentile ranking in the S&amp;P Supercomposite Regional Bank Index (less banks with assets greater than $50 billion) and the grantee must remain an employee of the Company through the vesting date. The S&amp;P Supercomposite Regional Bank Index was determined as of January 4, 2021. The First Category Shares will vest 100% if the three year average percentile ranking for Return-on-Common-Equity is in the top quartile of the S&amp;P Supercomposite Regional Bank Index, 75% will vest if the Company’s ranking is at least in the 62.5th and not more than 74.99th percentile, 50% will vest if the Company’s ranking is at least in the 50th percentile and not more than 62.49th percentile, shares will forfeit if the Company’s ranking is below the 50th percentile. The Second Category Shares will vest 100% if the three year average percentile ranking for Stock Price-to-Book Ratio is in the top quartile of the S&amp;P Supercomposite Regional Bank Index, 75% will vest if the Company’s ranking is at least in the 62.5th and not more than 74.99th percentile, 50% will vest if the Company’s ranking is at least in the 50th percentile and not more than 62.49th percentile, shares will forfeit if the Company’s ranking is below the 50th percentile.</w:t>
      </w:r>
    </w:p>
    <w:p>
      <w:pPr>
        <w:spacing w:after="0" w:line="328"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340"/>
          </w:cols>
          <w:pgMar w:left="320" w:top="130"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OUTSTANDING EQUITY AWARDS</w:t>
      </w:r>
    </w:p>
    <w:p>
      <w:pPr>
        <w:spacing w:after="0" w:line="235" w:lineRule="exact"/>
        <w:rPr>
          <w:sz w:val="20"/>
          <w:szCs w:val="20"/>
          <w:color w:val="auto"/>
        </w:rPr>
      </w:pPr>
    </w:p>
    <w:p>
      <w:pPr>
        <w:ind w:right="420" w:firstLine="546"/>
        <w:spacing w:after="0" w:line="289" w:lineRule="auto"/>
        <w:rPr>
          <w:sz w:val="20"/>
          <w:szCs w:val="20"/>
          <w:color w:val="auto"/>
        </w:rPr>
      </w:pPr>
      <w:r>
        <w:rPr>
          <w:rFonts w:ascii="Arial" w:cs="Arial" w:eastAsia="Arial" w:hAnsi="Arial"/>
          <w:sz w:val="16"/>
          <w:szCs w:val="16"/>
          <w:color w:val="auto"/>
        </w:rPr>
        <w:t>The following table presents a summary of unexercised stock options and restricted stock and unit awards held as of December 31, 2021, by the named executive officers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123825</wp:posOffset>
            </wp:positionV>
            <wp:extent cx="7196455" cy="3329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96455" cy="3329305"/>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580" w:type="dxa"/>
            <w:vAlign w:val="bottom"/>
            <w:tcBorders>
              <w:bottom w:val="single" w:sz="8" w:color="086FB8"/>
            </w:tcBorders>
            <w:shd w:val="clear" w:color="auto" w:fill="086FB8"/>
          </w:tcPr>
          <w:p>
            <w:pPr>
              <w:spacing w:after="0"/>
              <w:rPr>
                <w:sz w:val="13"/>
                <w:szCs w:val="13"/>
                <w:color w:val="auto"/>
              </w:rPr>
            </w:pPr>
          </w:p>
        </w:tc>
        <w:tc>
          <w:tcPr>
            <w:tcW w:w="100" w:type="dxa"/>
            <w:vAlign w:val="bottom"/>
            <w:tcBorders>
              <w:bottom w:val="single" w:sz="8" w:color="086FB8"/>
            </w:tcBorders>
            <w:shd w:val="clear" w:color="auto" w:fill="086FB8"/>
          </w:tcPr>
          <w:p>
            <w:pPr>
              <w:spacing w:after="0"/>
              <w:rPr>
                <w:sz w:val="13"/>
                <w:szCs w:val="13"/>
                <w:color w:val="auto"/>
              </w:rPr>
            </w:pPr>
          </w:p>
        </w:tc>
        <w:tc>
          <w:tcPr>
            <w:tcW w:w="920" w:type="dxa"/>
            <w:vAlign w:val="bottom"/>
            <w:tcBorders>
              <w:bottom w:val="single" w:sz="8" w:color="auto"/>
            </w:tcBorders>
            <w:shd w:val="clear" w:color="auto" w:fill="086FB8"/>
          </w:tcPr>
          <w:p>
            <w:pPr>
              <w:spacing w:after="0"/>
              <w:rPr>
                <w:sz w:val="13"/>
                <w:szCs w:val="13"/>
                <w:color w:val="auto"/>
              </w:rPr>
            </w:pPr>
          </w:p>
        </w:tc>
        <w:tc>
          <w:tcPr>
            <w:tcW w:w="1020" w:type="dxa"/>
            <w:vAlign w:val="bottom"/>
            <w:tcBorders>
              <w:bottom w:val="single" w:sz="8" w:color="auto"/>
            </w:tcBorders>
            <w:shd w:val="clear" w:color="auto" w:fill="086FB8"/>
          </w:tcPr>
          <w:p>
            <w:pPr>
              <w:spacing w:after="0"/>
              <w:rPr>
                <w:sz w:val="13"/>
                <w:szCs w:val="13"/>
                <w:color w:val="auto"/>
              </w:rPr>
            </w:pPr>
          </w:p>
        </w:tc>
        <w:tc>
          <w:tcPr>
            <w:tcW w:w="1260" w:type="dxa"/>
            <w:vAlign w:val="bottom"/>
            <w:tcBorders>
              <w:bottom w:val="single" w:sz="8" w:color="auto"/>
            </w:tcBorders>
            <w:shd w:val="clear" w:color="auto" w:fill="086FB8"/>
          </w:tcPr>
          <w:p>
            <w:pPr>
              <w:ind w:left="80"/>
              <w:spacing w:after="0"/>
              <w:rPr>
                <w:sz w:val="20"/>
                <w:szCs w:val="20"/>
                <w:color w:val="auto"/>
              </w:rPr>
            </w:pPr>
            <w:r>
              <w:rPr>
                <w:rFonts w:ascii="Arial" w:cs="Arial" w:eastAsia="Arial" w:hAnsi="Arial"/>
                <w:sz w:val="12"/>
                <w:szCs w:val="12"/>
                <w:b w:val="1"/>
                <w:bCs w:val="1"/>
                <w:color w:val="FFFFFF"/>
              </w:rPr>
              <w:t>Option Awards</w:t>
            </w:r>
          </w:p>
        </w:tc>
        <w:tc>
          <w:tcPr>
            <w:tcW w:w="840" w:type="dxa"/>
            <w:vAlign w:val="bottom"/>
            <w:tcBorders>
              <w:bottom w:val="single" w:sz="8" w:color="auto"/>
            </w:tcBorders>
            <w:shd w:val="clear" w:color="auto" w:fill="086FB8"/>
          </w:tcPr>
          <w:p>
            <w:pPr>
              <w:spacing w:after="0"/>
              <w:rPr>
                <w:sz w:val="13"/>
                <w:szCs w:val="13"/>
                <w:color w:val="auto"/>
              </w:rPr>
            </w:pPr>
          </w:p>
        </w:tc>
        <w:tc>
          <w:tcPr>
            <w:tcW w:w="940" w:type="dxa"/>
            <w:vAlign w:val="bottom"/>
            <w:tcBorders>
              <w:bottom w:val="single" w:sz="8" w:color="auto"/>
            </w:tcBorders>
            <w:shd w:val="clear" w:color="auto" w:fill="086FB8"/>
          </w:tcPr>
          <w:p>
            <w:pPr>
              <w:spacing w:after="0"/>
              <w:rPr>
                <w:sz w:val="13"/>
                <w:szCs w:val="13"/>
                <w:color w:val="auto"/>
              </w:rPr>
            </w:pPr>
          </w:p>
        </w:tc>
        <w:tc>
          <w:tcPr>
            <w:tcW w:w="80" w:type="dxa"/>
            <w:vAlign w:val="bottom"/>
            <w:tcBorders>
              <w:bottom w:val="single" w:sz="8" w:color="086FB8"/>
            </w:tcBorders>
            <w:shd w:val="clear" w:color="auto" w:fill="086FB8"/>
          </w:tcPr>
          <w:p>
            <w:pPr>
              <w:spacing w:after="0"/>
              <w:rPr>
                <w:sz w:val="13"/>
                <w:szCs w:val="13"/>
                <w:color w:val="auto"/>
              </w:rPr>
            </w:pPr>
          </w:p>
        </w:tc>
        <w:tc>
          <w:tcPr>
            <w:tcW w:w="980" w:type="dxa"/>
            <w:vAlign w:val="bottom"/>
            <w:tcBorders>
              <w:bottom w:val="single" w:sz="8" w:color="auto"/>
            </w:tcBorders>
            <w:shd w:val="clear" w:color="auto" w:fill="086FB8"/>
          </w:tcPr>
          <w:p>
            <w:pPr>
              <w:spacing w:after="0"/>
              <w:rPr>
                <w:sz w:val="13"/>
                <w:szCs w:val="13"/>
                <w:color w:val="auto"/>
              </w:rPr>
            </w:pPr>
          </w:p>
        </w:tc>
        <w:tc>
          <w:tcPr>
            <w:tcW w:w="900" w:type="dxa"/>
            <w:vAlign w:val="bottom"/>
            <w:tcBorders>
              <w:bottom w:val="single" w:sz="8" w:color="auto"/>
            </w:tcBorders>
            <w:shd w:val="clear" w:color="auto" w:fill="086FB8"/>
          </w:tcPr>
          <w:p>
            <w:pPr>
              <w:spacing w:after="0"/>
              <w:rPr>
                <w:sz w:val="13"/>
                <w:szCs w:val="13"/>
                <w:color w:val="auto"/>
              </w:rPr>
            </w:pPr>
          </w:p>
        </w:tc>
        <w:tc>
          <w:tcPr>
            <w:tcW w:w="1500" w:type="dxa"/>
            <w:vAlign w:val="bottom"/>
            <w:tcBorders>
              <w:bottom w:val="single" w:sz="8" w:color="auto"/>
            </w:tcBorders>
            <w:shd w:val="clear" w:color="auto" w:fill="086FB8"/>
          </w:tcPr>
          <w:p>
            <w:pPr>
              <w:ind w:left="60"/>
              <w:spacing w:after="0"/>
              <w:rPr>
                <w:sz w:val="20"/>
                <w:szCs w:val="20"/>
                <w:color w:val="auto"/>
              </w:rPr>
            </w:pPr>
            <w:r>
              <w:rPr>
                <w:rFonts w:ascii="Arial" w:cs="Arial" w:eastAsia="Arial" w:hAnsi="Arial"/>
                <w:sz w:val="12"/>
                <w:szCs w:val="12"/>
                <w:b w:val="1"/>
                <w:bCs w:val="1"/>
                <w:color w:val="FFFFFF"/>
              </w:rPr>
              <w:t>Stock Awards</w:t>
            </w:r>
          </w:p>
        </w:tc>
        <w:tc>
          <w:tcPr>
            <w:tcW w:w="1220" w:type="dxa"/>
            <w:vAlign w:val="bottom"/>
            <w:tcBorders>
              <w:bottom w:val="single" w:sz="8" w:color="auto"/>
            </w:tcBorders>
            <w:shd w:val="clear" w:color="auto" w:fill="086FB8"/>
          </w:tcPr>
          <w:p>
            <w:pPr>
              <w:spacing w:after="0"/>
              <w:rPr>
                <w:sz w:val="13"/>
                <w:szCs w:val="13"/>
                <w:color w:val="auto"/>
              </w:rPr>
            </w:pPr>
          </w:p>
        </w:tc>
      </w:tr>
      <w:tr>
        <w:trPr>
          <w:trHeight w:val="122"/>
        </w:trPr>
        <w:tc>
          <w:tcPr>
            <w:tcW w:w="1580" w:type="dxa"/>
            <w:vAlign w:val="bottom"/>
            <w:shd w:val="clear" w:color="auto" w:fill="086FB8"/>
          </w:tcPr>
          <w:p>
            <w:pPr>
              <w:spacing w:after="0"/>
              <w:rPr>
                <w:sz w:val="10"/>
                <w:szCs w:val="10"/>
                <w:color w:val="auto"/>
              </w:rPr>
            </w:pPr>
          </w:p>
        </w:tc>
        <w:tc>
          <w:tcPr>
            <w:tcW w:w="100" w:type="dxa"/>
            <w:vAlign w:val="bottom"/>
            <w:shd w:val="clear" w:color="auto" w:fill="086FB8"/>
          </w:tcPr>
          <w:p>
            <w:pPr>
              <w:spacing w:after="0"/>
              <w:rPr>
                <w:sz w:val="10"/>
                <w:szCs w:val="10"/>
                <w:color w:val="auto"/>
              </w:rPr>
            </w:pPr>
          </w:p>
        </w:tc>
        <w:tc>
          <w:tcPr>
            <w:tcW w:w="920" w:type="dxa"/>
            <w:vAlign w:val="bottom"/>
            <w:shd w:val="clear" w:color="auto" w:fill="086FB8"/>
          </w:tcPr>
          <w:p>
            <w:pPr>
              <w:spacing w:after="0"/>
              <w:rPr>
                <w:sz w:val="10"/>
                <w:szCs w:val="10"/>
                <w:color w:val="auto"/>
              </w:rPr>
            </w:pPr>
          </w:p>
        </w:tc>
        <w:tc>
          <w:tcPr>
            <w:tcW w:w="1020" w:type="dxa"/>
            <w:vAlign w:val="bottom"/>
            <w:shd w:val="clear" w:color="auto" w:fill="086FB8"/>
          </w:tcPr>
          <w:p>
            <w:pPr>
              <w:spacing w:after="0"/>
              <w:rPr>
                <w:sz w:val="10"/>
                <w:szCs w:val="10"/>
                <w:color w:val="auto"/>
              </w:rPr>
            </w:pPr>
          </w:p>
        </w:tc>
        <w:tc>
          <w:tcPr>
            <w:tcW w:w="1260" w:type="dxa"/>
            <w:vAlign w:val="bottom"/>
            <w:shd w:val="clear" w:color="auto" w:fill="086FB8"/>
          </w:tcPr>
          <w:p>
            <w:pPr>
              <w:spacing w:after="0"/>
              <w:rPr>
                <w:sz w:val="10"/>
                <w:szCs w:val="10"/>
                <w:color w:val="auto"/>
              </w:rPr>
            </w:pPr>
          </w:p>
        </w:tc>
        <w:tc>
          <w:tcPr>
            <w:tcW w:w="840" w:type="dxa"/>
            <w:vAlign w:val="bottom"/>
            <w:shd w:val="clear" w:color="auto" w:fill="086FB8"/>
          </w:tcPr>
          <w:p>
            <w:pPr>
              <w:spacing w:after="0"/>
              <w:rPr>
                <w:sz w:val="10"/>
                <w:szCs w:val="10"/>
                <w:color w:val="auto"/>
              </w:rPr>
            </w:pPr>
          </w:p>
        </w:tc>
        <w:tc>
          <w:tcPr>
            <w:tcW w:w="940" w:type="dxa"/>
            <w:vAlign w:val="bottom"/>
            <w:shd w:val="clear" w:color="auto" w:fill="086FB8"/>
          </w:tcPr>
          <w:p>
            <w:pPr>
              <w:spacing w:after="0"/>
              <w:rPr>
                <w:sz w:val="10"/>
                <w:szCs w:val="10"/>
                <w:color w:val="auto"/>
              </w:rPr>
            </w:pPr>
          </w:p>
        </w:tc>
        <w:tc>
          <w:tcPr>
            <w:tcW w:w="80" w:type="dxa"/>
            <w:vAlign w:val="bottom"/>
            <w:shd w:val="clear" w:color="auto" w:fill="086FB8"/>
          </w:tcPr>
          <w:p>
            <w:pPr>
              <w:spacing w:after="0"/>
              <w:rPr>
                <w:sz w:val="10"/>
                <w:szCs w:val="10"/>
                <w:color w:val="auto"/>
              </w:rPr>
            </w:pPr>
          </w:p>
        </w:tc>
        <w:tc>
          <w:tcPr>
            <w:tcW w:w="980" w:type="dxa"/>
            <w:vAlign w:val="bottom"/>
            <w:shd w:val="clear" w:color="auto" w:fill="086FB8"/>
          </w:tcPr>
          <w:p>
            <w:pPr>
              <w:spacing w:after="0"/>
              <w:rPr>
                <w:sz w:val="10"/>
                <w:szCs w:val="10"/>
                <w:color w:val="auto"/>
              </w:rPr>
            </w:pPr>
          </w:p>
        </w:tc>
        <w:tc>
          <w:tcPr>
            <w:tcW w:w="900" w:type="dxa"/>
            <w:vAlign w:val="bottom"/>
            <w:shd w:val="clear" w:color="auto" w:fill="086FB8"/>
          </w:tcPr>
          <w:p>
            <w:pPr>
              <w:spacing w:after="0"/>
              <w:rPr>
                <w:sz w:val="10"/>
                <w:szCs w:val="10"/>
                <w:color w:val="auto"/>
              </w:rPr>
            </w:pPr>
          </w:p>
        </w:tc>
        <w:tc>
          <w:tcPr>
            <w:tcW w:w="1500" w:type="dxa"/>
            <w:vAlign w:val="bottom"/>
            <w:shd w:val="clear" w:color="auto" w:fill="086FB8"/>
          </w:tcPr>
          <w:p>
            <w:pPr>
              <w:spacing w:after="0"/>
              <w:rPr>
                <w:sz w:val="10"/>
                <w:szCs w:val="10"/>
                <w:color w:val="auto"/>
              </w:rPr>
            </w:pPr>
          </w:p>
        </w:tc>
        <w:tc>
          <w:tcPr>
            <w:tcW w:w="1220" w:type="dxa"/>
            <w:vAlign w:val="bottom"/>
            <w:shd w:val="clear" w:color="auto" w:fill="086FB8"/>
          </w:tcPr>
          <w:p>
            <w:pPr>
              <w:jc w:val="center"/>
              <w:ind w:left="238"/>
              <w:spacing w:after="0" w:line="122" w:lineRule="exact"/>
              <w:rPr>
                <w:sz w:val="20"/>
                <w:szCs w:val="20"/>
                <w:color w:val="auto"/>
              </w:rPr>
            </w:pPr>
            <w:r>
              <w:rPr>
                <w:rFonts w:ascii="Arial" w:cs="Arial" w:eastAsia="Arial" w:hAnsi="Arial"/>
                <w:sz w:val="12"/>
                <w:szCs w:val="12"/>
                <w:b w:val="1"/>
                <w:bCs w:val="1"/>
                <w:color w:val="FFFFFF"/>
                <w:w w:val="98"/>
              </w:rPr>
              <w:t>Equity</w:t>
            </w:r>
          </w:p>
        </w:tc>
      </w:tr>
      <w:tr>
        <w:trPr>
          <w:trHeight w:val="134"/>
        </w:trPr>
        <w:tc>
          <w:tcPr>
            <w:tcW w:w="1580" w:type="dxa"/>
            <w:vAlign w:val="bottom"/>
            <w:shd w:val="clear" w:color="auto" w:fill="086FB8"/>
          </w:tcPr>
          <w:p>
            <w:pPr>
              <w:spacing w:after="0"/>
              <w:rPr>
                <w:sz w:val="11"/>
                <w:szCs w:val="11"/>
                <w:color w:val="auto"/>
              </w:rPr>
            </w:pPr>
          </w:p>
        </w:tc>
        <w:tc>
          <w:tcPr>
            <w:tcW w:w="100" w:type="dxa"/>
            <w:vAlign w:val="bottom"/>
            <w:shd w:val="clear" w:color="auto" w:fill="086FB8"/>
          </w:tcPr>
          <w:p>
            <w:pPr>
              <w:spacing w:after="0"/>
              <w:rPr>
                <w:sz w:val="11"/>
                <w:szCs w:val="11"/>
                <w:color w:val="auto"/>
              </w:rPr>
            </w:pPr>
          </w:p>
        </w:tc>
        <w:tc>
          <w:tcPr>
            <w:tcW w:w="920" w:type="dxa"/>
            <w:vAlign w:val="bottom"/>
            <w:shd w:val="clear" w:color="auto" w:fill="086FB8"/>
          </w:tcPr>
          <w:p>
            <w:pPr>
              <w:spacing w:after="0"/>
              <w:rPr>
                <w:sz w:val="11"/>
                <w:szCs w:val="11"/>
                <w:color w:val="auto"/>
              </w:rPr>
            </w:pPr>
          </w:p>
        </w:tc>
        <w:tc>
          <w:tcPr>
            <w:tcW w:w="1020" w:type="dxa"/>
            <w:vAlign w:val="bottom"/>
            <w:shd w:val="clear" w:color="auto" w:fill="086FB8"/>
          </w:tcPr>
          <w:p>
            <w:pPr>
              <w:spacing w:after="0"/>
              <w:rPr>
                <w:sz w:val="11"/>
                <w:szCs w:val="11"/>
                <w:color w:val="auto"/>
              </w:rPr>
            </w:pPr>
          </w:p>
        </w:tc>
        <w:tc>
          <w:tcPr>
            <w:tcW w:w="1260" w:type="dxa"/>
            <w:vAlign w:val="bottom"/>
            <w:shd w:val="clear" w:color="auto" w:fill="086FB8"/>
          </w:tcPr>
          <w:p>
            <w:pPr>
              <w:spacing w:after="0"/>
              <w:rPr>
                <w:sz w:val="11"/>
                <w:szCs w:val="11"/>
                <w:color w:val="auto"/>
              </w:rPr>
            </w:pPr>
          </w:p>
        </w:tc>
        <w:tc>
          <w:tcPr>
            <w:tcW w:w="840" w:type="dxa"/>
            <w:vAlign w:val="bottom"/>
            <w:shd w:val="clear" w:color="auto" w:fill="086FB8"/>
          </w:tcPr>
          <w:p>
            <w:pPr>
              <w:spacing w:after="0"/>
              <w:rPr>
                <w:sz w:val="11"/>
                <w:szCs w:val="11"/>
                <w:color w:val="auto"/>
              </w:rPr>
            </w:pPr>
          </w:p>
        </w:tc>
        <w:tc>
          <w:tcPr>
            <w:tcW w:w="940" w:type="dxa"/>
            <w:vAlign w:val="bottom"/>
            <w:shd w:val="clear" w:color="auto" w:fill="086FB8"/>
          </w:tcPr>
          <w:p>
            <w:pPr>
              <w:spacing w:after="0"/>
              <w:rPr>
                <w:sz w:val="11"/>
                <w:szCs w:val="11"/>
                <w:color w:val="auto"/>
              </w:rPr>
            </w:pPr>
          </w:p>
        </w:tc>
        <w:tc>
          <w:tcPr>
            <w:tcW w:w="80" w:type="dxa"/>
            <w:vAlign w:val="bottom"/>
            <w:shd w:val="clear" w:color="auto" w:fill="086FB8"/>
          </w:tcPr>
          <w:p>
            <w:pPr>
              <w:spacing w:after="0"/>
              <w:rPr>
                <w:sz w:val="11"/>
                <w:szCs w:val="11"/>
                <w:color w:val="auto"/>
              </w:rPr>
            </w:pPr>
          </w:p>
        </w:tc>
        <w:tc>
          <w:tcPr>
            <w:tcW w:w="980" w:type="dxa"/>
            <w:vAlign w:val="bottom"/>
            <w:shd w:val="clear" w:color="auto" w:fill="086FB8"/>
          </w:tcPr>
          <w:p>
            <w:pPr>
              <w:spacing w:after="0"/>
              <w:rPr>
                <w:sz w:val="11"/>
                <w:szCs w:val="11"/>
                <w:color w:val="auto"/>
              </w:rPr>
            </w:pPr>
          </w:p>
        </w:tc>
        <w:tc>
          <w:tcPr>
            <w:tcW w:w="900" w:type="dxa"/>
            <w:vAlign w:val="bottom"/>
            <w:shd w:val="clear" w:color="auto" w:fill="086FB8"/>
          </w:tcPr>
          <w:p>
            <w:pPr>
              <w:spacing w:after="0"/>
              <w:rPr>
                <w:sz w:val="11"/>
                <w:szCs w:val="11"/>
                <w:color w:val="auto"/>
              </w:rPr>
            </w:pPr>
          </w:p>
        </w:tc>
        <w:tc>
          <w:tcPr>
            <w:tcW w:w="150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8"/>
              </w:rPr>
              <w:t>Equity</w:t>
            </w:r>
          </w:p>
        </w:tc>
        <w:tc>
          <w:tcPr>
            <w:tcW w:w="1220" w:type="dxa"/>
            <w:vAlign w:val="bottom"/>
            <w:shd w:val="clear" w:color="auto" w:fill="086FB8"/>
          </w:tcPr>
          <w:p>
            <w:pPr>
              <w:jc w:val="center"/>
              <w:ind w:left="218"/>
              <w:spacing w:after="0" w:line="134" w:lineRule="exact"/>
              <w:rPr>
                <w:sz w:val="20"/>
                <w:szCs w:val="20"/>
                <w:color w:val="auto"/>
              </w:rPr>
            </w:pPr>
            <w:r>
              <w:rPr>
                <w:rFonts w:ascii="Arial" w:cs="Arial" w:eastAsia="Arial" w:hAnsi="Arial"/>
                <w:sz w:val="12"/>
                <w:szCs w:val="12"/>
                <w:b w:val="1"/>
                <w:bCs w:val="1"/>
                <w:color w:val="FFFFFF"/>
                <w:w w:val="96"/>
              </w:rPr>
              <w:t>Incentive</w:t>
            </w:r>
          </w:p>
        </w:tc>
      </w:tr>
      <w:tr>
        <w:trPr>
          <w:trHeight w:val="134"/>
        </w:trPr>
        <w:tc>
          <w:tcPr>
            <w:tcW w:w="1580" w:type="dxa"/>
            <w:vAlign w:val="bottom"/>
            <w:shd w:val="clear" w:color="auto" w:fill="086FB8"/>
          </w:tcPr>
          <w:p>
            <w:pPr>
              <w:spacing w:after="0"/>
              <w:rPr>
                <w:sz w:val="11"/>
                <w:szCs w:val="11"/>
                <w:color w:val="auto"/>
              </w:rPr>
            </w:pPr>
          </w:p>
        </w:tc>
        <w:tc>
          <w:tcPr>
            <w:tcW w:w="100" w:type="dxa"/>
            <w:vAlign w:val="bottom"/>
            <w:shd w:val="clear" w:color="auto" w:fill="086FB8"/>
          </w:tcPr>
          <w:p>
            <w:pPr>
              <w:spacing w:after="0"/>
              <w:rPr>
                <w:sz w:val="11"/>
                <w:szCs w:val="11"/>
                <w:color w:val="auto"/>
              </w:rPr>
            </w:pPr>
          </w:p>
        </w:tc>
        <w:tc>
          <w:tcPr>
            <w:tcW w:w="920" w:type="dxa"/>
            <w:vAlign w:val="bottom"/>
            <w:shd w:val="clear" w:color="auto" w:fill="086FB8"/>
          </w:tcPr>
          <w:p>
            <w:pPr>
              <w:spacing w:after="0"/>
              <w:rPr>
                <w:sz w:val="11"/>
                <w:szCs w:val="11"/>
                <w:color w:val="auto"/>
              </w:rPr>
            </w:pPr>
          </w:p>
        </w:tc>
        <w:tc>
          <w:tcPr>
            <w:tcW w:w="1020" w:type="dxa"/>
            <w:vAlign w:val="bottom"/>
            <w:shd w:val="clear" w:color="auto" w:fill="086FB8"/>
          </w:tcPr>
          <w:p>
            <w:pPr>
              <w:spacing w:after="0"/>
              <w:rPr>
                <w:sz w:val="11"/>
                <w:szCs w:val="11"/>
                <w:color w:val="auto"/>
              </w:rPr>
            </w:pPr>
          </w:p>
        </w:tc>
        <w:tc>
          <w:tcPr>
            <w:tcW w:w="1260" w:type="dxa"/>
            <w:vAlign w:val="bottom"/>
            <w:shd w:val="clear" w:color="auto" w:fill="086FB8"/>
          </w:tcPr>
          <w:p>
            <w:pPr>
              <w:spacing w:after="0"/>
              <w:rPr>
                <w:sz w:val="11"/>
                <w:szCs w:val="11"/>
                <w:color w:val="auto"/>
              </w:rPr>
            </w:pPr>
          </w:p>
        </w:tc>
        <w:tc>
          <w:tcPr>
            <w:tcW w:w="840" w:type="dxa"/>
            <w:vAlign w:val="bottom"/>
            <w:shd w:val="clear" w:color="auto" w:fill="086FB8"/>
          </w:tcPr>
          <w:p>
            <w:pPr>
              <w:spacing w:after="0"/>
              <w:rPr>
                <w:sz w:val="11"/>
                <w:szCs w:val="11"/>
                <w:color w:val="auto"/>
              </w:rPr>
            </w:pPr>
          </w:p>
        </w:tc>
        <w:tc>
          <w:tcPr>
            <w:tcW w:w="940" w:type="dxa"/>
            <w:vAlign w:val="bottom"/>
            <w:shd w:val="clear" w:color="auto" w:fill="086FB8"/>
          </w:tcPr>
          <w:p>
            <w:pPr>
              <w:spacing w:after="0"/>
              <w:rPr>
                <w:sz w:val="11"/>
                <w:szCs w:val="11"/>
                <w:color w:val="auto"/>
              </w:rPr>
            </w:pPr>
          </w:p>
        </w:tc>
        <w:tc>
          <w:tcPr>
            <w:tcW w:w="80" w:type="dxa"/>
            <w:vAlign w:val="bottom"/>
            <w:shd w:val="clear" w:color="auto" w:fill="086FB8"/>
          </w:tcPr>
          <w:p>
            <w:pPr>
              <w:spacing w:after="0"/>
              <w:rPr>
                <w:sz w:val="11"/>
                <w:szCs w:val="11"/>
                <w:color w:val="auto"/>
              </w:rPr>
            </w:pPr>
          </w:p>
        </w:tc>
        <w:tc>
          <w:tcPr>
            <w:tcW w:w="980" w:type="dxa"/>
            <w:vAlign w:val="bottom"/>
            <w:shd w:val="clear" w:color="auto" w:fill="086FB8"/>
          </w:tcPr>
          <w:p>
            <w:pPr>
              <w:spacing w:after="0"/>
              <w:rPr>
                <w:sz w:val="11"/>
                <w:szCs w:val="11"/>
                <w:color w:val="auto"/>
              </w:rPr>
            </w:pPr>
          </w:p>
        </w:tc>
        <w:tc>
          <w:tcPr>
            <w:tcW w:w="900" w:type="dxa"/>
            <w:vAlign w:val="bottom"/>
            <w:shd w:val="clear" w:color="auto" w:fill="086FB8"/>
          </w:tcPr>
          <w:p>
            <w:pPr>
              <w:spacing w:after="0"/>
              <w:rPr>
                <w:sz w:val="11"/>
                <w:szCs w:val="11"/>
                <w:color w:val="auto"/>
              </w:rPr>
            </w:pPr>
          </w:p>
        </w:tc>
        <w:tc>
          <w:tcPr>
            <w:tcW w:w="150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2"/>
              </w:rPr>
              <w:t>Incentive</w:t>
            </w:r>
          </w:p>
        </w:tc>
        <w:tc>
          <w:tcPr>
            <w:tcW w:w="1220" w:type="dxa"/>
            <w:vAlign w:val="bottom"/>
            <w:shd w:val="clear" w:color="auto" w:fill="086FB8"/>
          </w:tcPr>
          <w:p>
            <w:pPr>
              <w:jc w:val="center"/>
              <w:ind w:left="238"/>
              <w:spacing w:after="0" w:line="134" w:lineRule="exact"/>
              <w:rPr>
                <w:sz w:val="20"/>
                <w:szCs w:val="20"/>
                <w:color w:val="auto"/>
              </w:rPr>
            </w:pPr>
            <w:r>
              <w:rPr>
                <w:rFonts w:ascii="Arial" w:cs="Arial" w:eastAsia="Arial" w:hAnsi="Arial"/>
                <w:sz w:val="12"/>
                <w:szCs w:val="12"/>
                <w:b w:val="1"/>
                <w:bCs w:val="1"/>
                <w:color w:val="FFFFFF"/>
                <w:w w:val="94"/>
              </w:rPr>
              <w:t>Plan Awards:</w:t>
            </w:r>
          </w:p>
        </w:tc>
      </w:tr>
      <w:tr>
        <w:trPr>
          <w:trHeight w:val="134"/>
        </w:trPr>
        <w:tc>
          <w:tcPr>
            <w:tcW w:w="1580" w:type="dxa"/>
            <w:vAlign w:val="bottom"/>
            <w:shd w:val="clear" w:color="auto" w:fill="086FB8"/>
          </w:tcPr>
          <w:p>
            <w:pPr>
              <w:spacing w:after="0"/>
              <w:rPr>
                <w:sz w:val="11"/>
                <w:szCs w:val="11"/>
                <w:color w:val="auto"/>
              </w:rPr>
            </w:pPr>
          </w:p>
        </w:tc>
        <w:tc>
          <w:tcPr>
            <w:tcW w:w="100" w:type="dxa"/>
            <w:vAlign w:val="bottom"/>
            <w:shd w:val="clear" w:color="auto" w:fill="086FB8"/>
          </w:tcPr>
          <w:p>
            <w:pPr>
              <w:spacing w:after="0"/>
              <w:rPr>
                <w:sz w:val="11"/>
                <w:szCs w:val="11"/>
                <w:color w:val="auto"/>
              </w:rPr>
            </w:pPr>
          </w:p>
        </w:tc>
        <w:tc>
          <w:tcPr>
            <w:tcW w:w="920" w:type="dxa"/>
            <w:vAlign w:val="bottom"/>
            <w:shd w:val="clear" w:color="auto" w:fill="086FB8"/>
          </w:tcPr>
          <w:p>
            <w:pPr>
              <w:spacing w:after="0"/>
              <w:rPr>
                <w:sz w:val="11"/>
                <w:szCs w:val="11"/>
                <w:color w:val="auto"/>
              </w:rPr>
            </w:pPr>
          </w:p>
        </w:tc>
        <w:tc>
          <w:tcPr>
            <w:tcW w:w="1020" w:type="dxa"/>
            <w:vAlign w:val="bottom"/>
            <w:shd w:val="clear" w:color="auto" w:fill="086FB8"/>
          </w:tcPr>
          <w:p>
            <w:pPr>
              <w:spacing w:after="0"/>
              <w:rPr>
                <w:sz w:val="11"/>
                <w:szCs w:val="11"/>
                <w:color w:val="auto"/>
              </w:rPr>
            </w:pPr>
          </w:p>
        </w:tc>
        <w:tc>
          <w:tcPr>
            <w:tcW w:w="1260" w:type="dxa"/>
            <w:vAlign w:val="bottom"/>
            <w:shd w:val="clear" w:color="auto" w:fill="086FB8"/>
          </w:tcPr>
          <w:p>
            <w:pPr>
              <w:jc w:val="center"/>
              <w:ind w:left="38"/>
              <w:spacing w:after="0" w:line="134" w:lineRule="exact"/>
              <w:rPr>
                <w:sz w:val="20"/>
                <w:szCs w:val="20"/>
                <w:color w:val="auto"/>
              </w:rPr>
            </w:pPr>
            <w:r>
              <w:rPr>
                <w:rFonts w:ascii="Arial" w:cs="Arial" w:eastAsia="Arial" w:hAnsi="Arial"/>
                <w:sz w:val="12"/>
                <w:szCs w:val="12"/>
                <w:b w:val="1"/>
                <w:bCs w:val="1"/>
                <w:color w:val="FFFFFF"/>
                <w:w w:val="98"/>
              </w:rPr>
              <w:t>Equity</w:t>
            </w:r>
          </w:p>
        </w:tc>
        <w:tc>
          <w:tcPr>
            <w:tcW w:w="840" w:type="dxa"/>
            <w:vAlign w:val="bottom"/>
            <w:shd w:val="clear" w:color="auto" w:fill="086FB8"/>
          </w:tcPr>
          <w:p>
            <w:pPr>
              <w:spacing w:after="0"/>
              <w:rPr>
                <w:sz w:val="11"/>
                <w:szCs w:val="11"/>
                <w:color w:val="auto"/>
              </w:rPr>
            </w:pPr>
          </w:p>
        </w:tc>
        <w:tc>
          <w:tcPr>
            <w:tcW w:w="940" w:type="dxa"/>
            <w:vAlign w:val="bottom"/>
            <w:shd w:val="clear" w:color="auto" w:fill="086FB8"/>
          </w:tcPr>
          <w:p>
            <w:pPr>
              <w:spacing w:after="0"/>
              <w:rPr>
                <w:sz w:val="11"/>
                <w:szCs w:val="11"/>
                <w:color w:val="auto"/>
              </w:rPr>
            </w:pPr>
          </w:p>
        </w:tc>
        <w:tc>
          <w:tcPr>
            <w:tcW w:w="80" w:type="dxa"/>
            <w:vAlign w:val="bottom"/>
            <w:shd w:val="clear" w:color="auto" w:fill="086FB8"/>
          </w:tcPr>
          <w:p>
            <w:pPr>
              <w:spacing w:after="0"/>
              <w:rPr>
                <w:sz w:val="11"/>
                <w:szCs w:val="11"/>
                <w:color w:val="auto"/>
              </w:rPr>
            </w:pPr>
          </w:p>
        </w:tc>
        <w:tc>
          <w:tcPr>
            <w:tcW w:w="980" w:type="dxa"/>
            <w:vAlign w:val="bottom"/>
            <w:shd w:val="clear" w:color="auto" w:fill="086FB8"/>
          </w:tcPr>
          <w:p>
            <w:pPr>
              <w:spacing w:after="0"/>
              <w:rPr>
                <w:sz w:val="11"/>
                <w:szCs w:val="11"/>
                <w:color w:val="auto"/>
              </w:rPr>
            </w:pPr>
          </w:p>
        </w:tc>
        <w:tc>
          <w:tcPr>
            <w:tcW w:w="900" w:type="dxa"/>
            <w:vAlign w:val="bottom"/>
            <w:shd w:val="clear" w:color="auto" w:fill="086FB8"/>
          </w:tcPr>
          <w:p>
            <w:pPr>
              <w:spacing w:after="0"/>
              <w:rPr>
                <w:sz w:val="11"/>
                <w:szCs w:val="11"/>
                <w:color w:val="auto"/>
              </w:rPr>
            </w:pPr>
          </w:p>
        </w:tc>
        <w:tc>
          <w:tcPr>
            <w:tcW w:w="150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4"/>
              </w:rPr>
              <w:t>Plan Awards:</w:t>
            </w:r>
          </w:p>
        </w:tc>
        <w:tc>
          <w:tcPr>
            <w:tcW w:w="1220" w:type="dxa"/>
            <w:vAlign w:val="bottom"/>
            <w:shd w:val="clear" w:color="auto" w:fill="086FB8"/>
          </w:tcPr>
          <w:p>
            <w:pPr>
              <w:jc w:val="center"/>
              <w:ind w:left="218"/>
              <w:spacing w:after="0" w:line="134" w:lineRule="exact"/>
              <w:rPr>
                <w:sz w:val="20"/>
                <w:szCs w:val="20"/>
                <w:color w:val="auto"/>
              </w:rPr>
            </w:pPr>
            <w:r>
              <w:rPr>
                <w:rFonts w:ascii="Arial" w:cs="Arial" w:eastAsia="Arial" w:hAnsi="Arial"/>
                <w:sz w:val="12"/>
                <w:szCs w:val="12"/>
                <w:b w:val="1"/>
                <w:bCs w:val="1"/>
                <w:color w:val="FFFFFF"/>
                <w:w w:val="99"/>
              </w:rPr>
              <w:t>Market or</w:t>
            </w:r>
          </w:p>
        </w:tc>
      </w:tr>
      <w:tr>
        <w:trPr>
          <w:trHeight w:val="134"/>
        </w:trPr>
        <w:tc>
          <w:tcPr>
            <w:tcW w:w="1580" w:type="dxa"/>
            <w:vAlign w:val="bottom"/>
            <w:shd w:val="clear" w:color="auto" w:fill="086FB8"/>
          </w:tcPr>
          <w:p>
            <w:pPr>
              <w:spacing w:after="0"/>
              <w:rPr>
                <w:sz w:val="11"/>
                <w:szCs w:val="11"/>
                <w:color w:val="auto"/>
              </w:rPr>
            </w:pPr>
          </w:p>
        </w:tc>
        <w:tc>
          <w:tcPr>
            <w:tcW w:w="100" w:type="dxa"/>
            <w:vAlign w:val="bottom"/>
            <w:shd w:val="clear" w:color="auto" w:fill="086FB8"/>
          </w:tcPr>
          <w:p>
            <w:pPr>
              <w:spacing w:after="0"/>
              <w:rPr>
                <w:sz w:val="11"/>
                <w:szCs w:val="11"/>
                <w:color w:val="auto"/>
              </w:rPr>
            </w:pPr>
          </w:p>
        </w:tc>
        <w:tc>
          <w:tcPr>
            <w:tcW w:w="920" w:type="dxa"/>
            <w:vAlign w:val="bottom"/>
            <w:shd w:val="clear" w:color="auto" w:fill="086FB8"/>
          </w:tcPr>
          <w:p>
            <w:pPr>
              <w:spacing w:after="0"/>
              <w:rPr>
                <w:sz w:val="11"/>
                <w:szCs w:val="11"/>
                <w:color w:val="auto"/>
              </w:rPr>
            </w:pPr>
          </w:p>
        </w:tc>
        <w:tc>
          <w:tcPr>
            <w:tcW w:w="1020" w:type="dxa"/>
            <w:vAlign w:val="bottom"/>
            <w:shd w:val="clear" w:color="auto" w:fill="086FB8"/>
          </w:tcPr>
          <w:p>
            <w:pPr>
              <w:spacing w:after="0"/>
              <w:rPr>
                <w:sz w:val="11"/>
                <w:szCs w:val="11"/>
                <w:color w:val="auto"/>
              </w:rPr>
            </w:pPr>
          </w:p>
        </w:tc>
        <w:tc>
          <w:tcPr>
            <w:tcW w:w="1260" w:type="dxa"/>
            <w:vAlign w:val="bottom"/>
            <w:shd w:val="clear" w:color="auto" w:fill="086FB8"/>
          </w:tcPr>
          <w:p>
            <w:pPr>
              <w:jc w:val="center"/>
              <w:ind w:left="58"/>
              <w:spacing w:after="0" w:line="134" w:lineRule="exact"/>
              <w:rPr>
                <w:sz w:val="20"/>
                <w:szCs w:val="20"/>
                <w:color w:val="auto"/>
              </w:rPr>
            </w:pPr>
            <w:r>
              <w:rPr>
                <w:rFonts w:ascii="Arial" w:cs="Arial" w:eastAsia="Arial" w:hAnsi="Arial"/>
                <w:sz w:val="12"/>
                <w:szCs w:val="12"/>
                <w:b w:val="1"/>
                <w:bCs w:val="1"/>
                <w:color w:val="FFFFFF"/>
                <w:w w:val="96"/>
              </w:rPr>
              <w:t>Incentive</w:t>
            </w:r>
          </w:p>
        </w:tc>
        <w:tc>
          <w:tcPr>
            <w:tcW w:w="840" w:type="dxa"/>
            <w:vAlign w:val="bottom"/>
            <w:shd w:val="clear" w:color="auto" w:fill="086FB8"/>
          </w:tcPr>
          <w:p>
            <w:pPr>
              <w:spacing w:after="0"/>
              <w:rPr>
                <w:sz w:val="11"/>
                <w:szCs w:val="11"/>
                <w:color w:val="auto"/>
              </w:rPr>
            </w:pPr>
          </w:p>
        </w:tc>
        <w:tc>
          <w:tcPr>
            <w:tcW w:w="940" w:type="dxa"/>
            <w:vAlign w:val="bottom"/>
            <w:shd w:val="clear" w:color="auto" w:fill="086FB8"/>
          </w:tcPr>
          <w:p>
            <w:pPr>
              <w:spacing w:after="0"/>
              <w:rPr>
                <w:sz w:val="11"/>
                <w:szCs w:val="11"/>
                <w:color w:val="auto"/>
              </w:rPr>
            </w:pPr>
          </w:p>
        </w:tc>
        <w:tc>
          <w:tcPr>
            <w:tcW w:w="80" w:type="dxa"/>
            <w:vAlign w:val="bottom"/>
            <w:shd w:val="clear" w:color="auto" w:fill="086FB8"/>
          </w:tcPr>
          <w:p>
            <w:pPr>
              <w:spacing w:after="0"/>
              <w:rPr>
                <w:sz w:val="11"/>
                <w:szCs w:val="11"/>
                <w:color w:val="auto"/>
              </w:rPr>
            </w:pPr>
          </w:p>
        </w:tc>
        <w:tc>
          <w:tcPr>
            <w:tcW w:w="980" w:type="dxa"/>
            <w:vAlign w:val="bottom"/>
            <w:shd w:val="clear" w:color="auto" w:fill="086FB8"/>
          </w:tcPr>
          <w:p>
            <w:pPr>
              <w:spacing w:after="0"/>
              <w:rPr>
                <w:sz w:val="11"/>
                <w:szCs w:val="11"/>
                <w:color w:val="auto"/>
              </w:rPr>
            </w:pPr>
          </w:p>
        </w:tc>
        <w:tc>
          <w:tcPr>
            <w:tcW w:w="900" w:type="dxa"/>
            <w:vAlign w:val="bottom"/>
            <w:shd w:val="clear" w:color="auto" w:fill="086FB8"/>
          </w:tcPr>
          <w:p>
            <w:pPr>
              <w:spacing w:after="0"/>
              <w:rPr>
                <w:sz w:val="11"/>
                <w:szCs w:val="11"/>
                <w:color w:val="auto"/>
              </w:rPr>
            </w:pPr>
          </w:p>
        </w:tc>
        <w:tc>
          <w:tcPr>
            <w:tcW w:w="150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6"/>
              </w:rPr>
              <w:t>Number of</w:t>
            </w:r>
          </w:p>
        </w:tc>
        <w:tc>
          <w:tcPr>
            <w:tcW w:w="1220" w:type="dxa"/>
            <w:vAlign w:val="bottom"/>
            <w:shd w:val="clear" w:color="auto" w:fill="086FB8"/>
          </w:tcPr>
          <w:p>
            <w:pPr>
              <w:jc w:val="center"/>
              <w:ind w:left="218"/>
              <w:spacing w:after="0" w:line="134" w:lineRule="exact"/>
              <w:rPr>
                <w:sz w:val="20"/>
                <w:szCs w:val="20"/>
                <w:color w:val="auto"/>
              </w:rPr>
            </w:pPr>
            <w:r>
              <w:rPr>
                <w:rFonts w:ascii="Arial" w:cs="Arial" w:eastAsia="Arial" w:hAnsi="Arial"/>
                <w:sz w:val="12"/>
                <w:szCs w:val="12"/>
                <w:b w:val="1"/>
                <w:bCs w:val="1"/>
                <w:color w:val="FFFFFF"/>
                <w:w w:val="92"/>
              </w:rPr>
              <w:t>Payout Value</w:t>
            </w:r>
          </w:p>
        </w:tc>
      </w:tr>
      <w:tr>
        <w:trPr>
          <w:trHeight w:val="134"/>
        </w:trPr>
        <w:tc>
          <w:tcPr>
            <w:tcW w:w="1580" w:type="dxa"/>
            <w:vAlign w:val="bottom"/>
            <w:shd w:val="clear" w:color="auto" w:fill="086FB8"/>
          </w:tcPr>
          <w:p>
            <w:pPr>
              <w:spacing w:after="0"/>
              <w:rPr>
                <w:sz w:val="11"/>
                <w:szCs w:val="11"/>
                <w:color w:val="auto"/>
              </w:rPr>
            </w:pPr>
          </w:p>
        </w:tc>
        <w:tc>
          <w:tcPr>
            <w:tcW w:w="100" w:type="dxa"/>
            <w:vAlign w:val="bottom"/>
            <w:shd w:val="clear" w:color="auto" w:fill="086FB8"/>
          </w:tcPr>
          <w:p>
            <w:pPr>
              <w:spacing w:after="0"/>
              <w:rPr>
                <w:sz w:val="11"/>
                <w:szCs w:val="11"/>
                <w:color w:val="auto"/>
              </w:rPr>
            </w:pPr>
          </w:p>
        </w:tc>
        <w:tc>
          <w:tcPr>
            <w:tcW w:w="920" w:type="dxa"/>
            <w:vAlign w:val="bottom"/>
            <w:shd w:val="clear" w:color="auto" w:fill="086FB8"/>
          </w:tcPr>
          <w:p>
            <w:pPr>
              <w:spacing w:after="0"/>
              <w:rPr>
                <w:sz w:val="11"/>
                <w:szCs w:val="11"/>
                <w:color w:val="auto"/>
              </w:rPr>
            </w:pPr>
          </w:p>
        </w:tc>
        <w:tc>
          <w:tcPr>
            <w:tcW w:w="1020" w:type="dxa"/>
            <w:vAlign w:val="bottom"/>
            <w:shd w:val="clear" w:color="auto" w:fill="086FB8"/>
          </w:tcPr>
          <w:p>
            <w:pPr>
              <w:spacing w:after="0"/>
              <w:rPr>
                <w:sz w:val="11"/>
                <w:szCs w:val="11"/>
                <w:color w:val="auto"/>
              </w:rPr>
            </w:pPr>
          </w:p>
        </w:tc>
        <w:tc>
          <w:tcPr>
            <w:tcW w:w="1260" w:type="dxa"/>
            <w:vAlign w:val="bottom"/>
            <w:shd w:val="clear" w:color="auto" w:fill="086FB8"/>
          </w:tcPr>
          <w:p>
            <w:pPr>
              <w:jc w:val="center"/>
              <w:ind w:left="38"/>
              <w:spacing w:after="0" w:line="134" w:lineRule="exact"/>
              <w:rPr>
                <w:sz w:val="20"/>
                <w:szCs w:val="20"/>
                <w:color w:val="auto"/>
              </w:rPr>
            </w:pPr>
            <w:r>
              <w:rPr>
                <w:rFonts w:ascii="Arial" w:cs="Arial" w:eastAsia="Arial" w:hAnsi="Arial"/>
                <w:sz w:val="12"/>
                <w:szCs w:val="12"/>
                <w:b w:val="1"/>
                <w:bCs w:val="1"/>
                <w:color w:val="FFFFFF"/>
                <w:w w:val="94"/>
              </w:rPr>
              <w:t>Plan Awards:</w:t>
            </w:r>
          </w:p>
        </w:tc>
        <w:tc>
          <w:tcPr>
            <w:tcW w:w="840" w:type="dxa"/>
            <w:vAlign w:val="bottom"/>
            <w:shd w:val="clear" w:color="auto" w:fill="086FB8"/>
          </w:tcPr>
          <w:p>
            <w:pPr>
              <w:spacing w:after="0"/>
              <w:rPr>
                <w:sz w:val="11"/>
                <w:szCs w:val="11"/>
                <w:color w:val="auto"/>
              </w:rPr>
            </w:pPr>
          </w:p>
        </w:tc>
        <w:tc>
          <w:tcPr>
            <w:tcW w:w="940" w:type="dxa"/>
            <w:vAlign w:val="bottom"/>
            <w:shd w:val="clear" w:color="auto" w:fill="086FB8"/>
          </w:tcPr>
          <w:p>
            <w:pPr>
              <w:spacing w:after="0"/>
              <w:rPr>
                <w:sz w:val="11"/>
                <w:szCs w:val="11"/>
                <w:color w:val="auto"/>
              </w:rPr>
            </w:pPr>
          </w:p>
        </w:tc>
        <w:tc>
          <w:tcPr>
            <w:tcW w:w="80" w:type="dxa"/>
            <w:vAlign w:val="bottom"/>
            <w:shd w:val="clear" w:color="auto" w:fill="086FB8"/>
          </w:tcPr>
          <w:p>
            <w:pPr>
              <w:spacing w:after="0"/>
              <w:rPr>
                <w:sz w:val="11"/>
                <w:szCs w:val="11"/>
                <w:color w:val="auto"/>
              </w:rPr>
            </w:pPr>
          </w:p>
        </w:tc>
        <w:tc>
          <w:tcPr>
            <w:tcW w:w="980" w:type="dxa"/>
            <w:vAlign w:val="bottom"/>
            <w:shd w:val="clear" w:color="auto" w:fill="086FB8"/>
          </w:tcPr>
          <w:p>
            <w:pPr>
              <w:spacing w:after="0"/>
              <w:rPr>
                <w:sz w:val="11"/>
                <w:szCs w:val="11"/>
                <w:color w:val="auto"/>
              </w:rPr>
            </w:pPr>
          </w:p>
        </w:tc>
        <w:tc>
          <w:tcPr>
            <w:tcW w:w="900" w:type="dxa"/>
            <w:vAlign w:val="bottom"/>
            <w:shd w:val="clear" w:color="auto" w:fill="086FB8"/>
          </w:tcPr>
          <w:p>
            <w:pPr>
              <w:jc w:val="center"/>
              <w:ind w:left="118"/>
              <w:spacing w:after="0" w:line="134" w:lineRule="exact"/>
              <w:rPr>
                <w:sz w:val="20"/>
                <w:szCs w:val="20"/>
                <w:color w:val="auto"/>
              </w:rPr>
            </w:pPr>
            <w:r>
              <w:rPr>
                <w:rFonts w:ascii="Arial" w:cs="Arial" w:eastAsia="Arial" w:hAnsi="Arial"/>
                <w:sz w:val="12"/>
                <w:szCs w:val="12"/>
                <w:b w:val="1"/>
                <w:bCs w:val="1"/>
                <w:color w:val="FFFFFF"/>
              </w:rPr>
              <w:t>Market</w:t>
            </w:r>
          </w:p>
        </w:tc>
        <w:tc>
          <w:tcPr>
            <w:tcW w:w="150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3"/>
              </w:rPr>
              <w:t>Unearned</w:t>
            </w:r>
          </w:p>
        </w:tc>
        <w:tc>
          <w:tcPr>
            <w:tcW w:w="1220" w:type="dxa"/>
            <w:vAlign w:val="bottom"/>
            <w:shd w:val="clear" w:color="auto" w:fill="086FB8"/>
          </w:tcPr>
          <w:p>
            <w:pPr>
              <w:jc w:val="center"/>
              <w:ind w:left="218"/>
              <w:spacing w:after="0" w:line="134" w:lineRule="exact"/>
              <w:rPr>
                <w:sz w:val="20"/>
                <w:szCs w:val="20"/>
                <w:color w:val="auto"/>
              </w:rPr>
            </w:pPr>
            <w:r>
              <w:rPr>
                <w:rFonts w:ascii="Arial" w:cs="Arial" w:eastAsia="Arial" w:hAnsi="Arial"/>
                <w:sz w:val="12"/>
                <w:szCs w:val="12"/>
                <w:b w:val="1"/>
                <w:bCs w:val="1"/>
                <w:color w:val="FFFFFF"/>
                <w:w w:val="94"/>
              </w:rPr>
              <w:t>of Unearned</w:t>
            </w:r>
          </w:p>
        </w:tc>
      </w:tr>
      <w:tr>
        <w:trPr>
          <w:trHeight w:val="134"/>
        </w:trPr>
        <w:tc>
          <w:tcPr>
            <w:tcW w:w="1580" w:type="dxa"/>
            <w:vAlign w:val="bottom"/>
            <w:shd w:val="clear" w:color="auto" w:fill="086FB8"/>
          </w:tcPr>
          <w:p>
            <w:pPr>
              <w:spacing w:after="0"/>
              <w:rPr>
                <w:sz w:val="11"/>
                <w:szCs w:val="11"/>
                <w:color w:val="auto"/>
              </w:rPr>
            </w:pPr>
          </w:p>
        </w:tc>
        <w:tc>
          <w:tcPr>
            <w:tcW w:w="100" w:type="dxa"/>
            <w:vAlign w:val="bottom"/>
            <w:shd w:val="clear" w:color="auto" w:fill="086FB8"/>
          </w:tcPr>
          <w:p>
            <w:pPr>
              <w:spacing w:after="0"/>
              <w:rPr>
                <w:sz w:val="11"/>
                <w:szCs w:val="11"/>
                <w:color w:val="auto"/>
              </w:rPr>
            </w:pPr>
          </w:p>
        </w:tc>
        <w:tc>
          <w:tcPr>
            <w:tcW w:w="920" w:type="dxa"/>
            <w:vAlign w:val="bottom"/>
            <w:shd w:val="clear" w:color="auto" w:fill="086FB8"/>
          </w:tcPr>
          <w:p>
            <w:pPr>
              <w:jc w:val="center"/>
              <w:ind w:right="38"/>
              <w:spacing w:after="0" w:line="134" w:lineRule="exact"/>
              <w:rPr>
                <w:sz w:val="20"/>
                <w:szCs w:val="20"/>
                <w:color w:val="auto"/>
              </w:rPr>
            </w:pPr>
            <w:r>
              <w:rPr>
                <w:rFonts w:ascii="Arial" w:cs="Arial" w:eastAsia="Arial" w:hAnsi="Arial"/>
                <w:sz w:val="12"/>
                <w:szCs w:val="12"/>
                <w:b w:val="1"/>
                <w:bCs w:val="1"/>
                <w:color w:val="FFFFFF"/>
                <w:w w:val="96"/>
              </w:rPr>
              <w:t>Number of</w:t>
            </w:r>
          </w:p>
        </w:tc>
        <w:tc>
          <w:tcPr>
            <w:tcW w:w="1020" w:type="dxa"/>
            <w:vAlign w:val="bottom"/>
            <w:shd w:val="clear" w:color="auto" w:fill="086FB8"/>
          </w:tcPr>
          <w:p>
            <w:pPr>
              <w:jc w:val="center"/>
              <w:ind w:left="18"/>
              <w:spacing w:after="0" w:line="134" w:lineRule="exact"/>
              <w:rPr>
                <w:sz w:val="20"/>
                <w:szCs w:val="20"/>
                <w:color w:val="auto"/>
              </w:rPr>
            </w:pPr>
            <w:r>
              <w:rPr>
                <w:rFonts w:ascii="Arial" w:cs="Arial" w:eastAsia="Arial" w:hAnsi="Arial"/>
                <w:sz w:val="12"/>
                <w:szCs w:val="12"/>
                <w:b w:val="1"/>
                <w:bCs w:val="1"/>
                <w:color w:val="FFFFFF"/>
                <w:w w:val="96"/>
              </w:rPr>
              <w:t>Number of</w:t>
            </w:r>
          </w:p>
        </w:tc>
        <w:tc>
          <w:tcPr>
            <w:tcW w:w="1260" w:type="dxa"/>
            <w:vAlign w:val="bottom"/>
            <w:shd w:val="clear" w:color="auto" w:fill="086FB8"/>
          </w:tcPr>
          <w:p>
            <w:pPr>
              <w:jc w:val="center"/>
              <w:ind w:left="58"/>
              <w:spacing w:after="0" w:line="134" w:lineRule="exact"/>
              <w:rPr>
                <w:sz w:val="20"/>
                <w:szCs w:val="20"/>
                <w:color w:val="auto"/>
              </w:rPr>
            </w:pPr>
            <w:r>
              <w:rPr>
                <w:rFonts w:ascii="Arial" w:cs="Arial" w:eastAsia="Arial" w:hAnsi="Arial"/>
                <w:sz w:val="12"/>
                <w:szCs w:val="12"/>
                <w:b w:val="1"/>
                <w:bCs w:val="1"/>
                <w:color w:val="FFFFFF"/>
                <w:w w:val="96"/>
              </w:rPr>
              <w:t>Number of</w:t>
            </w:r>
          </w:p>
        </w:tc>
        <w:tc>
          <w:tcPr>
            <w:tcW w:w="840" w:type="dxa"/>
            <w:vAlign w:val="bottom"/>
            <w:shd w:val="clear" w:color="auto" w:fill="086FB8"/>
          </w:tcPr>
          <w:p>
            <w:pPr>
              <w:spacing w:after="0"/>
              <w:rPr>
                <w:sz w:val="11"/>
                <w:szCs w:val="11"/>
                <w:color w:val="auto"/>
              </w:rPr>
            </w:pPr>
          </w:p>
        </w:tc>
        <w:tc>
          <w:tcPr>
            <w:tcW w:w="940" w:type="dxa"/>
            <w:vAlign w:val="bottom"/>
            <w:shd w:val="clear" w:color="auto" w:fill="086FB8"/>
          </w:tcPr>
          <w:p>
            <w:pPr>
              <w:spacing w:after="0"/>
              <w:rPr>
                <w:sz w:val="11"/>
                <w:szCs w:val="11"/>
                <w:color w:val="auto"/>
              </w:rPr>
            </w:pPr>
          </w:p>
        </w:tc>
        <w:tc>
          <w:tcPr>
            <w:tcW w:w="80" w:type="dxa"/>
            <w:vAlign w:val="bottom"/>
            <w:shd w:val="clear" w:color="auto" w:fill="086FB8"/>
          </w:tcPr>
          <w:p>
            <w:pPr>
              <w:spacing w:after="0"/>
              <w:rPr>
                <w:sz w:val="11"/>
                <w:szCs w:val="11"/>
                <w:color w:val="auto"/>
              </w:rPr>
            </w:pPr>
          </w:p>
        </w:tc>
        <w:tc>
          <w:tcPr>
            <w:tcW w:w="980" w:type="dxa"/>
            <w:vAlign w:val="bottom"/>
            <w:shd w:val="clear" w:color="auto" w:fill="086FB8"/>
          </w:tcPr>
          <w:p>
            <w:pPr>
              <w:jc w:val="center"/>
              <w:ind w:right="98"/>
              <w:spacing w:after="0" w:line="134" w:lineRule="exact"/>
              <w:rPr>
                <w:sz w:val="20"/>
                <w:szCs w:val="20"/>
                <w:color w:val="auto"/>
              </w:rPr>
            </w:pPr>
            <w:r>
              <w:rPr>
                <w:rFonts w:ascii="Arial" w:cs="Arial" w:eastAsia="Arial" w:hAnsi="Arial"/>
                <w:sz w:val="12"/>
                <w:szCs w:val="12"/>
                <w:b w:val="1"/>
                <w:bCs w:val="1"/>
                <w:color w:val="FFFFFF"/>
                <w:w w:val="96"/>
              </w:rPr>
              <w:t>Number of</w:t>
            </w:r>
          </w:p>
        </w:tc>
        <w:tc>
          <w:tcPr>
            <w:tcW w:w="900" w:type="dxa"/>
            <w:vAlign w:val="bottom"/>
            <w:shd w:val="clear" w:color="auto" w:fill="086FB8"/>
          </w:tcPr>
          <w:p>
            <w:pPr>
              <w:jc w:val="center"/>
              <w:ind w:left="118"/>
              <w:spacing w:after="0" w:line="134" w:lineRule="exact"/>
              <w:rPr>
                <w:sz w:val="20"/>
                <w:szCs w:val="20"/>
                <w:color w:val="auto"/>
              </w:rPr>
            </w:pPr>
            <w:r>
              <w:rPr>
                <w:rFonts w:ascii="Arial" w:cs="Arial" w:eastAsia="Arial" w:hAnsi="Arial"/>
                <w:sz w:val="12"/>
                <w:szCs w:val="12"/>
                <w:b w:val="1"/>
                <w:bCs w:val="1"/>
                <w:color w:val="FFFFFF"/>
                <w:w w:val="94"/>
              </w:rPr>
              <w:t>Value of</w:t>
            </w:r>
          </w:p>
        </w:tc>
        <w:tc>
          <w:tcPr>
            <w:tcW w:w="150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2"/>
              </w:rPr>
              <w:t>Shares,</w:t>
            </w:r>
          </w:p>
        </w:tc>
        <w:tc>
          <w:tcPr>
            <w:tcW w:w="1220" w:type="dxa"/>
            <w:vAlign w:val="bottom"/>
            <w:shd w:val="clear" w:color="auto" w:fill="086FB8"/>
          </w:tcPr>
          <w:p>
            <w:pPr>
              <w:jc w:val="center"/>
              <w:ind w:left="218"/>
              <w:spacing w:after="0" w:line="134" w:lineRule="exact"/>
              <w:rPr>
                <w:sz w:val="20"/>
                <w:szCs w:val="20"/>
                <w:color w:val="auto"/>
              </w:rPr>
            </w:pPr>
            <w:r>
              <w:rPr>
                <w:rFonts w:ascii="Arial" w:cs="Arial" w:eastAsia="Arial" w:hAnsi="Arial"/>
                <w:sz w:val="12"/>
                <w:szCs w:val="12"/>
                <w:b w:val="1"/>
                <w:bCs w:val="1"/>
                <w:color w:val="FFFFFF"/>
                <w:w w:val="87"/>
              </w:rPr>
              <w:t>Shares,</w:t>
            </w:r>
          </w:p>
        </w:tc>
      </w:tr>
      <w:tr>
        <w:trPr>
          <w:trHeight w:val="134"/>
        </w:trPr>
        <w:tc>
          <w:tcPr>
            <w:tcW w:w="1580" w:type="dxa"/>
            <w:vAlign w:val="bottom"/>
            <w:shd w:val="clear" w:color="auto" w:fill="086FB8"/>
          </w:tcPr>
          <w:p>
            <w:pPr>
              <w:spacing w:after="0"/>
              <w:rPr>
                <w:sz w:val="11"/>
                <w:szCs w:val="11"/>
                <w:color w:val="auto"/>
              </w:rPr>
            </w:pPr>
          </w:p>
        </w:tc>
        <w:tc>
          <w:tcPr>
            <w:tcW w:w="100" w:type="dxa"/>
            <w:vAlign w:val="bottom"/>
            <w:shd w:val="clear" w:color="auto" w:fill="086FB8"/>
          </w:tcPr>
          <w:p>
            <w:pPr>
              <w:spacing w:after="0"/>
              <w:rPr>
                <w:sz w:val="11"/>
                <w:szCs w:val="11"/>
                <w:color w:val="auto"/>
              </w:rPr>
            </w:pPr>
          </w:p>
        </w:tc>
        <w:tc>
          <w:tcPr>
            <w:tcW w:w="920" w:type="dxa"/>
            <w:vAlign w:val="bottom"/>
            <w:shd w:val="clear" w:color="auto" w:fill="086FB8"/>
          </w:tcPr>
          <w:p>
            <w:pPr>
              <w:jc w:val="center"/>
              <w:ind w:right="58"/>
              <w:spacing w:after="0" w:line="134" w:lineRule="exact"/>
              <w:rPr>
                <w:sz w:val="20"/>
                <w:szCs w:val="20"/>
                <w:color w:val="auto"/>
              </w:rPr>
            </w:pPr>
            <w:r>
              <w:rPr>
                <w:rFonts w:ascii="Arial" w:cs="Arial" w:eastAsia="Arial" w:hAnsi="Arial"/>
                <w:sz w:val="12"/>
                <w:szCs w:val="12"/>
                <w:b w:val="1"/>
                <w:bCs w:val="1"/>
                <w:color w:val="FFFFFF"/>
                <w:w w:val="90"/>
              </w:rPr>
              <w:t>Securities</w:t>
            </w:r>
          </w:p>
        </w:tc>
        <w:tc>
          <w:tcPr>
            <w:tcW w:w="102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0"/>
              </w:rPr>
              <w:t>Securities</w:t>
            </w:r>
          </w:p>
        </w:tc>
        <w:tc>
          <w:tcPr>
            <w:tcW w:w="1260" w:type="dxa"/>
            <w:vAlign w:val="bottom"/>
            <w:shd w:val="clear" w:color="auto" w:fill="086FB8"/>
          </w:tcPr>
          <w:p>
            <w:pPr>
              <w:jc w:val="center"/>
              <w:ind w:left="38"/>
              <w:spacing w:after="0" w:line="134" w:lineRule="exact"/>
              <w:rPr>
                <w:sz w:val="20"/>
                <w:szCs w:val="20"/>
                <w:color w:val="auto"/>
              </w:rPr>
            </w:pPr>
            <w:r>
              <w:rPr>
                <w:rFonts w:ascii="Arial" w:cs="Arial" w:eastAsia="Arial" w:hAnsi="Arial"/>
                <w:sz w:val="12"/>
                <w:szCs w:val="12"/>
                <w:b w:val="1"/>
                <w:bCs w:val="1"/>
                <w:color w:val="FFFFFF"/>
                <w:w w:val="90"/>
              </w:rPr>
              <w:t>Securities</w:t>
            </w:r>
          </w:p>
        </w:tc>
        <w:tc>
          <w:tcPr>
            <w:tcW w:w="840" w:type="dxa"/>
            <w:vAlign w:val="bottom"/>
            <w:shd w:val="clear" w:color="auto" w:fill="086FB8"/>
          </w:tcPr>
          <w:p>
            <w:pPr>
              <w:spacing w:after="0"/>
              <w:rPr>
                <w:sz w:val="11"/>
                <w:szCs w:val="11"/>
                <w:color w:val="auto"/>
              </w:rPr>
            </w:pPr>
          </w:p>
        </w:tc>
        <w:tc>
          <w:tcPr>
            <w:tcW w:w="940" w:type="dxa"/>
            <w:vAlign w:val="bottom"/>
            <w:shd w:val="clear" w:color="auto" w:fill="086FB8"/>
          </w:tcPr>
          <w:p>
            <w:pPr>
              <w:spacing w:after="0"/>
              <w:rPr>
                <w:sz w:val="11"/>
                <w:szCs w:val="11"/>
                <w:color w:val="auto"/>
              </w:rPr>
            </w:pPr>
          </w:p>
        </w:tc>
        <w:tc>
          <w:tcPr>
            <w:tcW w:w="80" w:type="dxa"/>
            <w:vAlign w:val="bottom"/>
            <w:shd w:val="clear" w:color="auto" w:fill="086FB8"/>
          </w:tcPr>
          <w:p>
            <w:pPr>
              <w:spacing w:after="0"/>
              <w:rPr>
                <w:sz w:val="11"/>
                <w:szCs w:val="11"/>
                <w:color w:val="auto"/>
              </w:rPr>
            </w:pPr>
          </w:p>
        </w:tc>
        <w:tc>
          <w:tcPr>
            <w:tcW w:w="980" w:type="dxa"/>
            <w:vAlign w:val="bottom"/>
            <w:shd w:val="clear" w:color="auto" w:fill="086FB8"/>
          </w:tcPr>
          <w:p>
            <w:pPr>
              <w:jc w:val="center"/>
              <w:ind w:right="98"/>
              <w:spacing w:after="0" w:line="134" w:lineRule="exact"/>
              <w:rPr>
                <w:sz w:val="20"/>
                <w:szCs w:val="20"/>
                <w:color w:val="auto"/>
              </w:rPr>
            </w:pPr>
            <w:r>
              <w:rPr>
                <w:rFonts w:ascii="Arial" w:cs="Arial" w:eastAsia="Arial" w:hAnsi="Arial"/>
                <w:sz w:val="12"/>
                <w:szCs w:val="12"/>
                <w:b w:val="1"/>
                <w:bCs w:val="1"/>
                <w:color w:val="FFFFFF"/>
                <w:w w:val="90"/>
              </w:rPr>
              <w:t>Shares or</w:t>
            </w:r>
          </w:p>
        </w:tc>
        <w:tc>
          <w:tcPr>
            <w:tcW w:w="900" w:type="dxa"/>
            <w:vAlign w:val="bottom"/>
            <w:shd w:val="clear" w:color="auto" w:fill="086FB8"/>
          </w:tcPr>
          <w:p>
            <w:pPr>
              <w:jc w:val="center"/>
              <w:ind w:left="138"/>
              <w:spacing w:after="0" w:line="134" w:lineRule="exact"/>
              <w:rPr>
                <w:sz w:val="20"/>
                <w:szCs w:val="20"/>
                <w:color w:val="auto"/>
              </w:rPr>
            </w:pPr>
            <w:r>
              <w:rPr>
                <w:rFonts w:ascii="Arial" w:cs="Arial" w:eastAsia="Arial" w:hAnsi="Arial"/>
                <w:sz w:val="12"/>
                <w:szCs w:val="12"/>
                <w:b w:val="1"/>
                <w:bCs w:val="1"/>
                <w:color w:val="FFFFFF"/>
                <w:w w:val="90"/>
              </w:rPr>
              <w:t>Shares or</w:t>
            </w:r>
          </w:p>
        </w:tc>
        <w:tc>
          <w:tcPr>
            <w:tcW w:w="150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6"/>
              </w:rPr>
              <w:t>Units or</w:t>
            </w:r>
          </w:p>
        </w:tc>
        <w:tc>
          <w:tcPr>
            <w:tcW w:w="1220" w:type="dxa"/>
            <w:vAlign w:val="bottom"/>
            <w:shd w:val="clear" w:color="auto" w:fill="086FB8"/>
          </w:tcPr>
          <w:p>
            <w:pPr>
              <w:jc w:val="center"/>
              <w:ind w:left="238"/>
              <w:spacing w:after="0" w:line="134" w:lineRule="exact"/>
              <w:rPr>
                <w:sz w:val="20"/>
                <w:szCs w:val="20"/>
                <w:color w:val="auto"/>
              </w:rPr>
            </w:pPr>
            <w:r>
              <w:rPr>
                <w:rFonts w:ascii="Arial" w:cs="Arial" w:eastAsia="Arial" w:hAnsi="Arial"/>
                <w:sz w:val="12"/>
                <w:szCs w:val="12"/>
                <w:b w:val="1"/>
                <w:bCs w:val="1"/>
                <w:color w:val="FFFFFF"/>
                <w:w w:val="96"/>
              </w:rPr>
              <w:t>Units or</w:t>
            </w:r>
          </w:p>
        </w:tc>
      </w:tr>
      <w:tr>
        <w:trPr>
          <w:trHeight w:val="134"/>
        </w:trPr>
        <w:tc>
          <w:tcPr>
            <w:tcW w:w="1580" w:type="dxa"/>
            <w:vAlign w:val="bottom"/>
            <w:shd w:val="clear" w:color="auto" w:fill="086FB8"/>
          </w:tcPr>
          <w:p>
            <w:pPr>
              <w:spacing w:after="0"/>
              <w:rPr>
                <w:sz w:val="11"/>
                <w:szCs w:val="11"/>
                <w:color w:val="auto"/>
              </w:rPr>
            </w:pPr>
          </w:p>
        </w:tc>
        <w:tc>
          <w:tcPr>
            <w:tcW w:w="100" w:type="dxa"/>
            <w:vAlign w:val="bottom"/>
            <w:shd w:val="clear" w:color="auto" w:fill="086FB8"/>
          </w:tcPr>
          <w:p>
            <w:pPr>
              <w:spacing w:after="0"/>
              <w:rPr>
                <w:sz w:val="11"/>
                <w:szCs w:val="11"/>
                <w:color w:val="auto"/>
              </w:rPr>
            </w:pPr>
          </w:p>
        </w:tc>
        <w:tc>
          <w:tcPr>
            <w:tcW w:w="920" w:type="dxa"/>
            <w:vAlign w:val="bottom"/>
            <w:shd w:val="clear" w:color="auto" w:fill="086FB8"/>
          </w:tcPr>
          <w:p>
            <w:pPr>
              <w:jc w:val="center"/>
              <w:ind w:right="58"/>
              <w:spacing w:after="0" w:line="134" w:lineRule="exact"/>
              <w:rPr>
                <w:sz w:val="20"/>
                <w:szCs w:val="20"/>
                <w:color w:val="auto"/>
              </w:rPr>
            </w:pPr>
            <w:r>
              <w:rPr>
                <w:rFonts w:ascii="Arial" w:cs="Arial" w:eastAsia="Arial" w:hAnsi="Arial"/>
                <w:sz w:val="12"/>
                <w:szCs w:val="12"/>
                <w:b w:val="1"/>
                <w:bCs w:val="1"/>
                <w:color w:val="FFFFFF"/>
                <w:w w:val="95"/>
              </w:rPr>
              <w:t>Underlying</w:t>
            </w:r>
          </w:p>
        </w:tc>
        <w:tc>
          <w:tcPr>
            <w:tcW w:w="102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5"/>
              </w:rPr>
              <w:t>Underlying</w:t>
            </w:r>
          </w:p>
        </w:tc>
        <w:tc>
          <w:tcPr>
            <w:tcW w:w="1260" w:type="dxa"/>
            <w:vAlign w:val="bottom"/>
            <w:shd w:val="clear" w:color="auto" w:fill="086FB8"/>
          </w:tcPr>
          <w:p>
            <w:pPr>
              <w:jc w:val="center"/>
              <w:ind w:left="38"/>
              <w:spacing w:after="0" w:line="134" w:lineRule="exact"/>
              <w:rPr>
                <w:sz w:val="20"/>
                <w:szCs w:val="20"/>
                <w:color w:val="auto"/>
              </w:rPr>
            </w:pPr>
            <w:r>
              <w:rPr>
                <w:rFonts w:ascii="Arial" w:cs="Arial" w:eastAsia="Arial" w:hAnsi="Arial"/>
                <w:sz w:val="12"/>
                <w:szCs w:val="12"/>
                <w:b w:val="1"/>
                <w:bCs w:val="1"/>
                <w:color w:val="FFFFFF"/>
                <w:w w:val="95"/>
              </w:rPr>
              <w:t>Underlying</w:t>
            </w:r>
          </w:p>
        </w:tc>
        <w:tc>
          <w:tcPr>
            <w:tcW w:w="840" w:type="dxa"/>
            <w:vAlign w:val="bottom"/>
            <w:shd w:val="clear" w:color="auto" w:fill="086FB8"/>
          </w:tcPr>
          <w:p>
            <w:pPr>
              <w:spacing w:after="0"/>
              <w:rPr>
                <w:sz w:val="11"/>
                <w:szCs w:val="11"/>
                <w:color w:val="auto"/>
              </w:rPr>
            </w:pPr>
          </w:p>
        </w:tc>
        <w:tc>
          <w:tcPr>
            <w:tcW w:w="940" w:type="dxa"/>
            <w:vAlign w:val="bottom"/>
            <w:shd w:val="clear" w:color="auto" w:fill="086FB8"/>
          </w:tcPr>
          <w:p>
            <w:pPr>
              <w:spacing w:after="0"/>
              <w:rPr>
                <w:sz w:val="11"/>
                <w:szCs w:val="11"/>
                <w:color w:val="auto"/>
              </w:rPr>
            </w:pPr>
          </w:p>
        </w:tc>
        <w:tc>
          <w:tcPr>
            <w:tcW w:w="80" w:type="dxa"/>
            <w:vAlign w:val="bottom"/>
            <w:shd w:val="clear" w:color="auto" w:fill="086FB8"/>
          </w:tcPr>
          <w:p>
            <w:pPr>
              <w:spacing w:after="0"/>
              <w:rPr>
                <w:sz w:val="11"/>
                <w:szCs w:val="11"/>
                <w:color w:val="auto"/>
              </w:rPr>
            </w:pPr>
          </w:p>
        </w:tc>
        <w:tc>
          <w:tcPr>
            <w:tcW w:w="980" w:type="dxa"/>
            <w:vAlign w:val="bottom"/>
            <w:shd w:val="clear" w:color="auto" w:fill="086FB8"/>
          </w:tcPr>
          <w:p>
            <w:pPr>
              <w:jc w:val="center"/>
              <w:ind w:right="98"/>
              <w:spacing w:after="0" w:line="134" w:lineRule="exact"/>
              <w:rPr>
                <w:sz w:val="20"/>
                <w:szCs w:val="20"/>
                <w:color w:val="auto"/>
              </w:rPr>
            </w:pPr>
            <w:r>
              <w:rPr>
                <w:rFonts w:ascii="Arial" w:cs="Arial" w:eastAsia="Arial" w:hAnsi="Arial"/>
                <w:sz w:val="12"/>
                <w:szCs w:val="12"/>
                <w:b w:val="1"/>
                <w:bCs w:val="1"/>
                <w:color w:val="FFFFFF"/>
                <w:w w:val="93"/>
              </w:rPr>
              <w:t>Units of</w:t>
            </w:r>
          </w:p>
        </w:tc>
        <w:tc>
          <w:tcPr>
            <w:tcW w:w="900" w:type="dxa"/>
            <w:vAlign w:val="bottom"/>
            <w:shd w:val="clear" w:color="auto" w:fill="086FB8"/>
          </w:tcPr>
          <w:p>
            <w:pPr>
              <w:jc w:val="center"/>
              <w:ind w:left="138"/>
              <w:spacing w:after="0" w:line="134" w:lineRule="exact"/>
              <w:rPr>
                <w:sz w:val="20"/>
                <w:szCs w:val="20"/>
                <w:color w:val="auto"/>
              </w:rPr>
            </w:pPr>
            <w:r>
              <w:rPr>
                <w:rFonts w:ascii="Arial" w:cs="Arial" w:eastAsia="Arial" w:hAnsi="Arial"/>
                <w:sz w:val="12"/>
                <w:szCs w:val="12"/>
                <w:b w:val="1"/>
                <w:bCs w:val="1"/>
                <w:color w:val="FFFFFF"/>
                <w:w w:val="93"/>
              </w:rPr>
              <w:t>Units of</w:t>
            </w:r>
          </w:p>
        </w:tc>
        <w:tc>
          <w:tcPr>
            <w:tcW w:w="150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6"/>
              </w:rPr>
              <w:t>Other Rights</w:t>
            </w:r>
          </w:p>
        </w:tc>
        <w:tc>
          <w:tcPr>
            <w:tcW w:w="1220" w:type="dxa"/>
            <w:vAlign w:val="bottom"/>
            <w:shd w:val="clear" w:color="auto" w:fill="086FB8"/>
          </w:tcPr>
          <w:p>
            <w:pPr>
              <w:jc w:val="center"/>
              <w:ind w:left="218"/>
              <w:spacing w:after="0" w:line="134" w:lineRule="exact"/>
              <w:rPr>
                <w:sz w:val="20"/>
                <w:szCs w:val="20"/>
                <w:color w:val="auto"/>
              </w:rPr>
            </w:pPr>
            <w:r>
              <w:rPr>
                <w:rFonts w:ascii="Arial" w:cs="Arial" w:eastAsia="Arial" w:hAnsi="Arial"/>
                <w:sz w:val="12"/>
                <w:szCs w:val="12"/>
                <w:b w:val="1"/>
                <w:bCs w:val="1"/>
                <w:color w:val="FFFFFF"/>
                <w:w w:val="96"/>
              </w:rPr>
              <w:t>Other Rights</w:t>
            </w:r>
          </w:p>
        </w:tc>
      </w:tr>
      <w:tr>
        <w:trPr>
          <w:trHeight w:val="134"/>
        </w:trPr>
        <w:tc>
          <w:tcPr>
            <w:tcW w:w="1580" w:type="dxa"/>
            <w:vAlign w:val="bottom"/>
            <w:shd w:val="clear" w:color="auto" w:fill="086FB8"/>
          </w:tcPr>
          <w:p>
            <w:pPr>
              <w:spacing w:after="0"/>
              <w:rPr>
                <w:sz w:val="11"/>
                <w:szCs w:val="11"/>
                <w:color w:val="auto"/>
              </w:rPr>
            </w:pPr>
          </w:p>
        </w:tc>
        <w:tc>
          <w:tcPr>
            <w:tcW w:w="100" w:type="dxa"/>
            <w:vAlign w:val="bottom"/>
            <w:shd w:val="clear" w:color="auto" w:fill="086FB8"/>
          </w:tcPr>
          <w:p>
            <w:pPr>
              <w:spacing w:after="0"/>
              <w:rPr>
                <w:sz w:val="11"/>
                <w:szCs w:val="11"/>
                <w:color w:val="auto"/>
              </w:rPr>
            </w:pPr>
          </w:p>
        </w:tc>
        <w:tc>
          <w:tcPr>
            <w:tcW w:w="920" w:type="dxa"/>
            <w:vAlign w:val="bottom"/>
            <w:shd w:val="clear" w:color="auto" w:fill="086FB8"/>
          </w:tcPr>
          <w:p>
            <w:pPr>
              <w:jc w:val="center"/>
              <w:ind w:right="38"/>
              <w:spacing w:after="0" w:line="134" w:lineRule="exact"/>
              <w:rPr>
                <w:sz w:val="20"/>
                <w:szCs w:val="20"/>
                <w:color w:val="auto"/>
              </w:rPr>
            </w:pPr>
            <w:r>
              <w:rPr>
                <w:rFonts w:ascii="Arial" w:cs="Arial" w:eastAsia="Arial" w:hAnsi="Arial"/>
                <w:sz w:val="12"/>
                <w:szCs w:val="12"/>
                <w:b w:val="1"/>
                <w:bCs w:val="1"/>
                <w:color w:val="FFFFFF"/>
                <w:w w:val="92"/>
              </w:rPr>
              <w:t>Unexercised</w:t>
            </w:r>
          </w:p>
        </w:tc>
        <w:tc>
          <w:tcPr>
            <w:tcW w:w="102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89"/>
              </w:rPr>
              <w:t>Unexercised</w:t>
            </w:r>
          </w:p>
        </w:tc>
        <w:tc>
          <w:tcPr>
            <w:tcW w:w="1260" w:type="dxa"/>
            <w:vAlign w:val="bottom"/>
            <w:shd w:val="clear" w:color="auto" w:fill="086FB8"/>
          </w:tcPr>
          <w:p>
            <w:pPr>
              <w:jc w:val="center"/>
              <w:ind w:left="58"/>
              <w:spacing w:after="0" w:line="134" w:lineRule="exact"/>
              <w:rPr>
                <w:sz w:val="20"/>
                <w:szCs w:val="20"/>
                <w:color w:val="auto"/>
              </w:rPr>
            </w:pPr>
            <w:r>
              <w:rPr>
                <w:rFonts w:ascii="Arial" w:cs="Arial" w:eastAsia="Arial" w:hAnsi="Arial"/>
                <w:sz w:val="12"/>
                <w:szCs w:val="12"/>
                <w:b w:val="1"/>
                <w:bCs w:val="1"/>
                <w:color w:val="FFFFFF"/>
                <w:w w:val="92"/>
              </w:rPr>
              <w:t>Unexercised</w:t>
            </w:r>
          </w:p>
        </w:tc>
        <w:tc>
          <w:tcPr>
            <w:tcW w:w="84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8"/>
              </w:rPr>
              <w:t>Option</w:t>
            </w:r>
          </w:p>
        </w:tc>
        <w:tc>
          <w:tcPr>
            <w:tcW w:w="940" w:type="dxa"/>
            <w:vAlign w:val="bottom"/>
            <w:shd w:val="clear" w:color="auto" w:fill="086FB8"/>
          </w:tcPr>
          <w:p>
            <w:pPr>
              <w:spacing w:after="0"/>
              <w:rPr>
                <w:sz w:val="11"/>
                <w:szCs w:val="11"/>
                <w:color w:val="auto"/>
              </w:rPr>
            </w:pPr>
          </w:p>
        </w:tc>
        <w:tc>
          <w:tcPr>
            <w:tcW w:w="80" w:type="dxa"/>
            <w:vAlign w:val="bottom"/>
            <w:shd w:val="clear" w:color="auto" w:fill="086FB8"/>
          </w:tcPr>
          <w:p>
            <w:pPr>
              <w:spacing w:after="0"/>
              <w:rPr>
                <w:sz w:val="11"/>
                <w:szCs w:val="11"/>
                <w:color w:val="auto"/>
              </w:rPr>
            </w:pPr>
          </w:p>
        </w:tc>
        <w:tc>
          <w:tcPr>
            <w:tcW w:w="980" w:type="dxa"/>
            <w:vAlign w:val="bottom"/>
            <w:shd w:val="clear" w:color="auto" w:fill="086FB8"/>
          </w:tcPr>
          <w:p>
            <w:pPr>
              <w:jc w:val="center"/>
              <w:ind w:right="98"/>
              <w:spacing w:after="0" w:line="134" w:lineRule="exact"/>
              <w:rPr>
                <w:sz w:val="20"/>
                <w:szCs w:val="20"/>
                <w:color w:val="auto"/>
              </w:rPr>
            </w:pPr>
            <w:r>
              <w:rPr>
                <w:rFonts w:ascii="Arial" w:cs="Arial" w:eastAsia="Arial" w:hAnsi="Arial"/>
                <w:sz w:val="12"/>
                <w:szCs w:val="12"/>
                <w:b w:val="1"/>
                <w:bCs w:val="1"/>
                <w:color w:val="FFFFFF"/>
                <w:w w:val="94"/>
              </w:rPr>
              <w:t>Stock That</w:t>
            </w:r>
          </w:p>
        </w:tc>
        <w:tc>
          <w:tcPr>
            <w:tcW w:w="900" w:type="dxa"/>
            <w:vAlign w:val="bottom"/>
            <w:shd w:val="clear" w:color="auto" w:fill="086FB8"/>
          </w:tcPr>
          <w:p>
            <w:pPr>
              <w:jc w:val="center"/>
              <w:ind w:left="138"/>
              <w:spacing w:after="0" w:line="134" w:lineRule="exact"/>
              <w:rPr>
                <w:sz w:val="20"/>
                <w:szCs w:val="20"/>
                <w:color w:val="auto"/>
              </w:rPr>
            </w:pPr>
            <w:r>
              <w:rPr>
                <w:rFonts w:ascii="Arial" w:cs="Arial" w:eastAsia="Arial" w:hAnsi="Arial"/>
                <w:sz w:val="12"/>
                <w:szCs w:val="12"/>
                <w:b w:val="1"/>
                <w:bCs w:val="1"/>
                <w:color w:val="FFFFFF"/>
                <w:w w:val="94"/>
              </w:rPr>
              <w:t>Stock That</w:t>
            </w:r>
          </w:p>
        </w:tc>
        <w:tc>
          <w:tcPr>
            <w:tcW w:w="150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7"/>
              </w:rPr>
              <w:t>That Have</w:t>
            </w:r>
          </w:p>
        </w:tc>
        <w:tc>
          <w:tcPr>
            <w:tcW w:w="1220" w:type="dxa"/>
            <w:vAlign w:val="bottom"/>
            <w:shd w:val="clear" w:color="auto" w:fill="086FB8"/>
          </w:tcPr>
          <w:p>
            <w:pPr>
              <w:jc w:val="center"/>
              <w:ind w:left="238"/>
              <w:spacing w:after="0" w:line="134" w:lineRule="exact"/>
              <w:rPr>
                <w:sz w:val="20"/>
                <w:szCs w:val="20"/>
                <w:color w:val="auto"/>
              </w:rPr>
            </w:pPr>
            <w:r>
              <w:rPr>
                <w:rFonts w:ascii="Arial" w:cs="Arial" w:eastAsia="Arial" w:hAnsi="Arial"/>
                <w:sz w:val="12"/>
                <w:szCs w:val="12"/>
                <w:b w:val="1"/>
                <w:bCs w:val="1"/>
                <w:color w:val="FFFFFF"/>
                <w:w w:val="97"/>
              </w:rPr>
              <w:t>That Have</w:t>
            </w:r>
          </w:p>
        </w:tc>
      </w:tr>
      <w:tr>
        <w:trPr>
          <w:trHeight w:val="134"/>
        </w:trPr>
        <w:tc>
          <w:tcPr>
            <w:tcW w:w="1580" w:type="dxa"/>
            <w:vAlign w:val="bottom"/>
            <w:shd w:val="clear" w:color="auto" w:fill="086FB8"/>
          </w:tcPr>
          <w:p>
            <w:pPr>
              <w:spacing w:after="0"/>
              <w:rPr>
                <w:sz w:val="11"/>
                <w:szCs w:val="11"/>
                <w:color w:val="auto"/>
              </w:rPr>
            </w:pPr>
          </w:p>
        </w:tc>
        <w:tc>
          <w:tcPr>
            <w:tcW w:w="100" w:type="dxa"/>
            <w:vAlign w:val="bottom"/>
            <w:shd w:val="clear" w:color="auto" w:fill="086FB8"/>
          </w:tcPr>
          <w:p>
            <w:pPr>
              <w:spacing w:after="0"/>
              <w:rPr>
                <w:sz w:val="11"/>
                <w:szCs w:val="11"/>
                <w:color w:val="auto"/>
              </w:rPr>
            </w:pPr>
          </w:p>
        </w:tc>
        <w:tc>
          <w:tcPr>
            <w:tcW w:w="920" w:type="dxa"/>
            <w:vAlign w:val="bottom"/>
            <w:shd w:val="clear" w:color="auto" w:fill="086FB8"/>
          </w:tcPr>
          <w:p>
            <w:pPr>
              <w:jc w:val="center"/>
              <w:ind w:right="38"/>
              <w:spacing w:after="0" w:line="134" w:lineRule="exact"/>
              <w:rPr>
                <w:sz w:val="20"/>
                <w:szCs w:val="20"/>
                <w:color w:val="auto"/>
              </w:rPr>
            </w:pPr>
            <w:r>
              <w:rPr>
                <w:rFonts w:ascii="Arial" w:cs="Arial" w:eastAsia="Arial" w:hAnsi="Arial"/>
                <w:sz w:val="12"/>
                <w:szCs w:val="12"/>
                <w:b w:val="1"/>
                <w:bCs w:val="1"/>
                <w:color w:val="FFFFFF"/>
                <w:w w:val="92"/>
              </w:rPr>
              <w:t>Options</w:t>
            </w:r>
          </w:p>
        </w:tc>
        <w:tc>
          <w:tcPr>
            <w:tcW w:w="1020" w:type="dxa"/>
            <w:vAlign w:val="bottom"/>
            <w:shd w:val="clear" w:color="auto" w:fill="086FB8"/>
          </w:tcPr>
          <w:p>
            <w:pPr>
              <w:jc w:val="center"/>
              <w:ind w:left="18"/>
              <w:spacing w:after="0" w:line="134" w:lineRule="exact"/>
              <w:rPr>
                <w:sz w:val="20"/>
                <w:szCs w:val="20"/>
                <w:color w:val="auto"/>
              </w:rPr>
            </w:pPr>
            <w:r>
              <w:rPr>
                <w:rFonts w:ascii="Arial" w:cs="Arial" w:eastAsia="Arial" w:hAnsi="Arial"/>
                <w:sz w:val="12"/>
                <w:szCs w:val="12"/>
                <w:b w:val="1"/>
                <w:bCs w:val="1"/>
                <w:color w:val="FFFFFF"/>
                <w:w w:val="92"/>
              </w:rPr>
              <w:t>Options</w:t>
            </w:r>
          </w:p>
        </w:tc>
        <w:tc>
          <w:tcPr>
            <w:tcW w:w="1260" w:type="dxa"/>
            <w:vAlign w:val="bottom"/>
            <w:shd w:val="clear" w:color="auto" w:fill="086FB8"/>
          </w:tcPr>
          <w:p>
            <w:pPr>
              <w:jc w:val="center"/>
              <w:ind w:left="58"/>
              <w:spacing w:after="0" w:line="134" w:lineRule="exact"/>
              <w:rPr>
                <w:sz w:val="20"/>
                <w:szCs w:val="20"/>
                <w:color w:val="auto"/>
              </w:rPr>
            </w:pPr>
            <w:r>
              <w:rPr>
                <w:rFonts w:ascii="Arial" w:cs="Arial" w:eastAsia="Arial" w:hAnsi="Arial"/>
                <w:sz w:val="12"/>
                <w:szCs w:val="12"/>
                <w:b w:val="1"/>
                <w:bCs w:val="1"/>
                <w:color w:val="FFFFFF"/>
                <w:w w:val="97"/>
              </w:rPr>
              <w:t>Unearned</w:t>
            </w:r>
          </w:p>
        </w:tc>
        <w:tc>
          <w:tcPr>
            <w:tcW w:w="84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89"/>
              </w:rPr>
              <w:t>Exercise</w:t>
            </w:r>
          </w:p>
        </w:tc>
        <w:tc>
          <w:tcPr>
            <w:tcW w:w="1020" w:type="dxa"/>
            <w:vAlign w:val="bottom"/>
            <w:gridSpan w:val="2"/>
            <w:shd w:val="clear" w:color="auto" w:fill="086FB8"/>
          </w:tcPr>
          <w:p>
            <w:pPr>
              <w:jc w:val="center"/>
              <w:ind w:right="80"/>
              <w:spacing w:after="0" w:line="134" w:lineRule="exact"/>
              <w:rPr>
                <w:sz w:val="20"/>
                <w:szCs w:val="20"/>
                <w:color w:val="auto"/>
              </w:rPr>
            </w:pPr>
            <w:r>
              <w:rPr>
                <w:rFonts w:ascii="Arial" w:cs="Arial" w:eastAsia="Arial" w:hAnsi="Arial"/>
                <w:sz w:val="12"/>
                <w:szCs w:val="12"/>
                <w:b w:val="1"/>
                <w:bCs w:val="1"/>
                <w:color w:val="FFFFFF"/>
                <w:w w:val="98"/>
              </w:rPr>
              <w:t>Option</w:t>
            </w:r>
          </w:p>
        </w:tc>
        <w:tc>
          <w:tcPr>
            <w:tcW w:w="980" w:type="dxa"/>
            <w:vAlign w:val="bottom"/>
            <w:shd w:val="clear" w:color="auto" w:fill="086FB8"/>
          </w:tcPr>
          <w:p>
            <w:pPr>
              <w:jc w:val="center"/>
              <w:ind w:right="98"/>
              <w:spacing w:after="0" w:line="134" w:lineRule="exact"/>
              <w:rPr>
                <w:sz w:val="20"/>
                <w:szCs w:val="20"/>
                <w:color w:val="auto"/>
              </w:rPr>
            </w:pPr>
            <w:r>
              <w:rPr>
                <w:rFonts w:ascii="Arial" w:cs="Arial" w:eastAsia="Arial" w:hAnsi="Arial"/>
                <w:sz w:val="12"/>
                <w:szCs w:val="12"/>
                <w:b w:val="1"/>
                <w:bCs w:val="1"/>
                <w:color w:val="FFFFFF"/>
                <w:w w:val="96"/>
              </w:rPr>
              <w:t>Have Not</w:t>
            </w:r>
          </w:p>
        </w:tc>
        <w:tc>
          <w:tcPr>
            <w:tcW w:w="900" w:type="dxa"/>
            <w:vAlign w:val="bottom"/>
            <w:shd w:val="clear" w:color="auto" w:fill="086FB8"/>
          </w:tcPr>
          <w:p>
            <w:pPr>
              <w:jc w:val="center"/>
              <w:ind w:left="138"/>
              <w:spacing w:after="0" w:line="134" w:lineRule="exact"/>
              <w:rPr>
                <w:sz w:val="20"/>
                <w:szCs w:val="20"/>
                <w:color w:val="auto"/>
              </w:rPr>
            </w:pPr>
            <w:r>
              <w:rPr>
                <w:rFonts w:ascii="Arial" w:cs="Arial" w:eastAsia="Arial" w:hAnsi="Arial"/>
                <w:sz w:val="12"/>
                <w:szCs w:val="12"/>
                <w:b w:val="1"/>
                <w:bCs w:val="1"/>
                <w:color w:val="FFFFFF"/>
                <w:w w:val="96"/>
              </w:rPr>
              <w:t>Have Not</w:t>
            </w:r>
          </w:p>
        </w:tc>
        <w:tc>
          <w:tcPr>
            <w:tcW w:w="150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9"/>
              </w:rPr>
              <w:t>Not</w:t>
            </w:r>
          </w:p>
        </w:tc>
        <w:tc>
          <w:tcPr>
            <w:tcW w:w="1220" w:type="dxa"/>
            <w:vAlign w:val="bottom"/>
            <w:shd w:val="clear" w:color="auto" w:fill="086FB8"/>
          </w:tcPr>
          <w:p>
            <w:pPr>
              <w:jc w:val="center"/>
              <w:ind w:left="238"/>
              <w:spacing w:after="0" w:line="134" w:lineRule="exact"/>
              <w:rPr>
                <w:sz w:val="20"/>
                <w:szCs w:val="20"/>
                <w:color w:val="auto"/>
              </w:rPr>
            </w:pPr>
            <w:r>
              <w:rPr>
                <w:rFonts w:ascii="Arial" w:cs="Arial" w:eastAsia="Arial" w:hAnsi="Arial"/>
                <w:sz w:val="12"/>
                <w:szCs w:val="12"/>
                <w:b w:val="1"/>
                <w:bCs w:val="1"/>
                <w:color w:val="FFFFFF"/>
                <w:w w:val="99"/>
              </w:rPr>
              <w:t>Not</w:t>
            </w:r>
          </w:p>
        </w:tc>
      </w:tr>
      <w:tr>
        <w:trPr>
          <w:trHeight w:val="134"/>
        </w:trPr>
        <w:tc>
          <w:tcPr>
            <w:tcW w:w="1580" w:type="dxa"/>
            <w:vAlign w:val="bottom"/>
            <w:shd w:val="clear" w:color="auto" w:fill="086FB8"/>
          </w:tcPr>
          <w:p>
            <w:pPr>
              <w:spacing w:after="0"/>
              <w:rPr>
                <w:sz w:val="11"/>
                <w:szCs w:val="11"/>
                <w:color w:val="auto"/>
              </w:rPr>
            </w:pPr>
          </w:p>
        </w:tc>
        <w:tc>
          <w:tcPr>
            <w:tcW w:w="100" w:type="dxa"/>
            <w:vAlign w:val="bottom"/>
            <w:shd w:val="clear" w:color="auto" w:fill="086FB8"/>
          </w:tcPr>
          <w:p>
            <w:pPr>
              <w:spacing w:after="0"/>
              <w:rPr>
                <w:sz w:val="11"/>
                <w:szCs w:val="11"/>
                <w:color w:val="auto"/>
              </w:rPr>
            </w:pPr>
          </w:p>
        </w:tc>
        <w:tc>
          <w:tcPr>
            <w:tcW w:w="920" w:type="dxa"/>
            <w:vAlign w:val="bottom"/>
            <w:shd w:val="clear" w:color="auto" w:fill="086FB8"/>
          </w:tcPr>
          <w:p>
            <w:pPr>
              <w:jc w:val="center"/>
              <w:ind w:right="38"/>
              <w:spacing w:after="0" w:line="134" w:lineRule="exact"/>
              <w:rPr>
                <w:sz w:val="20"/>
                <w:szCs w:val="20"/>
                <w:color w:val="auto"/>
              </w:rPr>
            </w:pPr>
            <w:r>
              <w:rPr>
                <w:rFonts w:ascii="Arial" w:cs="Arial" w:eastAsia="Arial" w:hAnsi="Arial"/>
                <w:sz w:val="12"/>
                <w:szCs w:val="12"/>
                <w:b w:val="1"/>
                <w:bCs w:val="1"/>
                <w:color w:val="FFFFFF"/>
                <w:w w:val="92"/>
              </w:rPr>
              <w:t>Exercisable</w:t>
            </w:r>
          </w:p>
        </w:tc>
        <w:tc>
          <w:tcPr>
            <w:tcW w:w="1020" w:type="dxa"/>
            <w:vAlign w:val="bottom"/>
            <w:shd w:val="clear" w:color="auto" w:fill="086FB8"/>
          </w:tcPr>
          <w:p>
            <w:pPr>
              <w:jc w:val="center"/>
              <w:ind w:left="18"/>
              <w:spacing w:after="0" w:line="134" w:lineRule="exact"/>
              <w:rPr>
                <w:sz w:val="20"/>
                <w:szCs w:val="20"/>
                <w:color w:val="auto"/>
              </w:rPr>
            </w:pPr>
            <w:r>
              <w:rPr>
                <w:rFonts w:ascii="Arial" w:cs="Arial" w:eastAsia="Arial" w:hAnsi="Arial"/>
                <w:sz w:val="12"/>
                <w:szCs w:val="12"/>
                <w:b w:val="1"/>
                <w:bCs w:val="1"/>
                <w:color w:val="FFFFFF"/>
                <w:w w:val="90"/>
              </w:rPr>
              <w:t>Unexercisable</w:t>
            </w:r>
          </w:p>
        </w:tc>
        <w:tc>
          <w:tcPr>
            <w:tcW w:w="1260" w:type="dxa"/>
            <w:vAlign w:val="bottom"/>
            <w:shd w:val="clear" w:color="auto" w:fill="086FB8"/>
          </w:tcPr>
          <w:p>
            <w:pPr>
              <w:jc w:val="center"/>
              <w:ind w:left="58"/>
              <w:spacing w:after="0" w:line="134" w:lineRule="exact"/>
              <w:rPr>
                <w:sz w:val="20"/>
                <w:szCs w:val="20"/>
                <w:color w:val="auto"/>
              </w:rPr>
            </w:pPr>
            <w:r>
              <w:rPr>
                <w:rFonts w:ascii="Arial" w:cs="Arial" w:eastAsia="Arial" w:hAnsi="Arial"/>
                <w:sz w:val="12"/>
                <w:szCs w:val="12"/>
                <w:b w:val="1"/>
                <w:bCs w:val="1"/>
                <w:color w:val="FFFFFF"/>
                <w:w w:val="92"/>
              </w:rPr>
              <w:t>Options</w:t>
            </w:r>
          </w:p>
        </w:tc>
        <w:tc>
          <w:tcPr>
            <w:tcW w:w="84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5"/>
              </w:rPr>
              <w:t>Price</w:t>
            </w:r>
          </w:p>
        </w:tc>
        <w:tc>
          <w:tcPr>
            <w:tcW w:w="1020" w:type="dxa"/>
            <w:vAlign w:val="bottom"/>
            <w:gridSpan w:val="2"/>
            <w:shd w:val="clear" w:color="auto" w:fill="086FB8"/>
          </w:tcPr>
          <w:p>
            <w:pPr>
              <w:jc w:val="center"/>
              <w:ind w:right="80"/>
              <w:spacing w:after="0" w:line="134" w:lineRule="exact"/>
              <w:rPr>
                <w:sz w:val="20"/>
                <w:szCs w:val="20"/>
                <w:color w:val="auto"/>
              </w:rPr>
            </w:pPr>
            <w:r>
              <w:rPr>
                <w:rFonts w:ascii="Arial" w:cs="Arial" w:eastAsia="Arial" w:hAnsi="Arial"/>
                <w:sz w:val="12"/>
                <w:szCs w:val="12"/>
                <w:b w:val="1"/>
                <w:bCs w:val="1"/>
                <w:color w:val="FFFFFF"/>
                <w:w w:val="98"/>
              </w:rPr>
              <w:t>Expiration</w:t>
            </w:r>
          </w:p>
        </w:tc>
        <w:tc>
          <w:tcPr>
            <w:tcW w:w="980" w:type="dxa"/>
            <w:vAlign w:val="bottom"/>
            <w:shd w:val="clear" w:color="auto" w:fill="086FB8"/>
          </w:tcPr>
          <w:p>
            <w:pPr>
              <w:jc w:val="center"/>
              <w:ind w:right="98"/>
              <w:spacing w:after="0" w:line="134" w:lineRule="exact"/>
              <w:rPr>
                <w:sz w:val="20"/>
                <w:szCs w:val="20"/>
                <w:color w:val="auto"/>
              </w:rPr>
            </w:pPr>
            <w:r>
              <w:rPr>
                <w:rFonts w:ascii="Arial" w:cs="Arial" w:eastAsia="Arial" w:hAnsi="Arial"/>
                <w:sz w:val="12"/>
                <w:szCs w:val="12"/>
                <w:b w:val="1"/>
                <w:bCs w:val="1"/>
                <w:color w:val="FFFFFF"/>
                <w:w w:val="86"/>
              </w:rPr>
              <w:t>Vested</w:t>
            </w:r>
          </w:p>
        </w:tc>
        <w:tc>
          <w:tcPr>
            <w:tcW w:w="900" w:type="dxa"/>
            <w:vAlign w:val="bottom"/>
            <w:shd w:val="clear" w:color="auto" w:fill="086FB8"/>
          </w:tcPr>
          <w:p>
            <w:pPr>
              <w:jc w:val="center"/>
              <w:ind w:left="138"/>
              <w:spacing w:after="0" w:line="134" w:lineRule="exact"/>
              <w:rPr>
                <w:sz w:val="20"/>
                <w:szCs w:val="20"/>
                <w:color w:val="auto"/>
              </w:rPr>
            </w:pPr>
            <w:r>
              <w:rPr>
                <w:rFonts w:ascii="Arial" w:cs="Arial" w:eastAsia="Arial" w:hAnsi="Arial"/>
                <w:sz w:val="12"/>
                <w:szCs w:val="12"/>
                <w:b w:val="1"/>
                <w:bCs w:val="1"/>
                <w:color w:val="FFFFFF"/>
                <w:w w:val="86"/>
              </w:rPr>
              <w:t>Vested</w:t>
            </w:r>
          </w:p>
        </w:tc>
        <w:tc>
          <w:tcPr>
            <w:tcW w:w="1500" w:type="dxa"/>
            <w:vAlign w:val="bottom"/>
            <w:shd w:val="clear" w:color="auto" w:fill="086FB8"/>
          </w:tcPr>
          <w:p>
            <w:pPr>
              <w:jc w:val="center"/>
              <w:spacing w:after="0" w:line="134" w:lineRule="exact"/>
              <w:rPr>
                <w:sz w:val="20"/>
                <w:szCs w:val="20"/>
                <w:color w:val="auto"/>
              </w:rPr>
            </w:pPr>
            <w:r>
              <w:rPr>
                <w:rFonts w:ascii="Arial" w:cs="Arial" w:eastAsia="Arial" w:hAnsi="Arial"/>
                <w:sz w:val="12"/>
                <w:szCs w:val="12"/>
                <w:b w:val="1"/>
                <w:bCs w:val="1"/>
                <w:color w:val="FFFFFF"/>
                <w:w w:val="91"/>
              </w:rPr>
              <w:t>Vested</w:t>
            </w:r>
          </w:p>
        </w:tc>
        <w:tc>
          <w:tcPr>
            <w:tcW w:w="1220" w:type="dxa"/>
            <w:vAlign w:val="bottom"/>
            <w:shd w:val="clear" w:color="auto" w:fill="086FB8"/>
          </w:tcPr>
          <w:p>
            <w:pPr>
              <w:jc w:val="center"/>
              <w:ind w:left="218"/>
              <w:spacing w:after="0" w:line="134" w:lineRule="exact"/>
              <w:rPr>
                <w:sz w:val="20"/>
                <w:szCs w:val="20"/>
                <w:color w:val="auto"/>
              </w:rPr>
            </w:pPr>
            <w:r>
              <w:rPr>
                <w:rFonts w:ascii="Arial" w:cs="Arial" w:eastAsia="Arial" w:hAnsi="Arial"/>
                <w:sz w:val="12"/>
                <w:szCs w:val="12"/>
                <w:b w:val="1"/>
                <w:bCs w:val="1"/>
                <w:color w:val="FFFFFF"/>
                <w:w w:val="86"/>
              </w:rPr>
              <w:t>Vested</w:t>
            </w:r>
          </w:p>
        </w:tc>
      </w:tr>
      <w:tr>
        <w:trPr>
          <w:trHeight w:val="152"/>
        </w:trPr>
        <w:tc>
          <w:tcPr>
            <w:tcW w:w="1580" w:type="dxa"/>
            <w:vAlign w:val="bottom"/>
            <w:shd w:val="clear" w:color="auto" w:fill="086FB8"/>
          </w:tcPr>
          <w:p>
            <w:pPr>
              <w:ind w:left="140"/>
              <w:spacing w:after="0"/>
              <w:rPr>
                <w:sz w:val="20"/>
                <w:szCs w:val="20"/>
                <w:color w:val="auto"/>
              </w:rPr>
            </w:pPr>
            <w:r>
              <w:rPr>
                <w:rFonts w:ascii="Arial" w:cs="Arial" w:eastAsia="Arial" w:hAnsi="Arial"/>
                <w:sz w:val="12"/>
                <w:szCs w:val="12"/>
                <w:b w:val="1"/>
                <w:bCs w:val="1"/>
                <w:color w:val="FFFFFF"/>
              </w:rPr>
              <w:t>Name</w:t>
            </w:r>
          </w:p>
        </w:tc>
        <w:tc>
          <w:tcPr>
            <w:tcW w:w="1020" w:type="dxa"/>
            <w:vAlign w:val="bottom"/>
            <w:gridSpan w:val="2"/>
            <w:shd w:val="clear" w:color="auto" w:fill="086FB8"/>
          </w:tcPr>
          <w:p>
            <w:pPr>
              <w:jc w:val="center"/>
              <w:spacing w:after="0"/>
              <w:rPr>
                <w:sz w:val="20"/>
                <w:szCs w:val="20"/>
                <w:color w:val="auto"/>
              </w:rPr>
            </w:pPr>
            <w:r>
              <w:rPr>
                <w:rFonts w:ascii="Arial" w:cs="Arial" w:eastAsia="Arial" w:hAnsi="Arial"/>
                <w:sz w:val="12"/>
                <w:szCs w:val="12"/>
                <w:b w:val="1"/>
                <w:bCs w:val="1"/>
                <w:color w:val="FFFFFF"/>
                <w:w w:val="95"/>
              </w:rPr>
              <w:t>(#)</w:t>
            </w:r>
          </w:p>
        </w:tc>
        <w:tc>
          <w:tcPr>
            <w:tcW w:w="1020" w:type="dxa"/>
            <w:vAlign w:val="bottom"/>
            <w:shd w:val="clear" w:color="auto" w:fill="086FB8"/>
          </w:tcPr>
          <w:p>
            <w:pPr>
              <w:jc w:val="center"/>
              <w:ind w:left="18"/>
              <w:spacing w:after="0"/>
              <w:rPr>
                <w:sz w:val="20"/>
                <w:szCs w:val="20"/>
                <w:color w:val="auto"/>
              </w:rPr>
            </w:pPr>
            <w:r>
              <w:rPr>
                <w:rFonts w:ascii="Arial" w:cs="Arial" w:eastAsia="Arial" w:hAnsi="Arial"/>
                <w:sz w:val="12"/>
                <w:szCs w:val="12"/>
                <w:b w:val="1"/>
                <w:bCs w:val="1"/>
                <w:color w:val="FFFFFF"/>
                <w:w w:val="95"/>
              </w:rPr>
              <w:t>(#)</w:t>
            </w:r>
          </w:p>
        </w:tc>
        <w:tc>
          <w:tcPr>
            <w:tcW w:w="1260" w:type="dxa"/>
            <w:vAlign w:val="bottom"/>
            <w:shd w:val="clear" w:color="auto" w:fill="086FB8"/>
          </w:tcPr>
          <w:p>
            <w:pPr>
              <w:jc w:val="center"/>
              <w:ind w:left="58"/>
              <w:spacing w:after="0"/>
              <w:rPr>
                <w:sz w:val="20"/>
                <w:szCs w:val="20"/>
                <w:color w:val="auto"/>
              </w:rPr>
            </w:pPr>
            <w:r>
              <w:rPr>
                <w:rFonts w:ascii="Arial" w:cs="Arial" w:eastAsia="Arial" w:hAnsi="Arial"/>
                <w:sz w:val="12"/>
                <w:szCs w:val="12"/>
                <w:b w:val="1"/>
                <w:bCs w:val="1"/>
                <w:color w:val="FFFFFF"/>
                <w:w w:val="95"/>
              </w:rPr>
              <w:t>(#)</w:t>
            </w:r>
          </w:p>
        </w:tc>
        <w:tc>
          <w:tcPr>
            <w:tcW w:w="840" w:type="dxa"/>
            <w:vAlign w:val="bottom"/>
            <w:shd w:val="clear" w:color="auto" w:fill="086FB8"/>
          </w:tcPr>
          <w:p>
            <w:pPr>
              <w:jc w:val="center"/>
              <w:spacing w:after="0"/>
              <w:rPr>
                <w:sz w:val="20"/>
                <w:szCs w:val="20"/>
                <w:color w:val="auto"/>
              </w:rPr>
            </w:pPr>
            <w:r>
              <w:rPr>
                <w:rFonts w:ascii="Arial" w:cs="Arial" w:eastAsia="Arial" w:hAnsi="Arial"/>
                <w:sz w:val="12"/>
                <w:szCs w:val="12"/>
                <w:b w:val="1"/>
                <w:bCs w:val="1"/>
                <w:color w:val="FFFFFF"/>
                <w:w w:val="95"/>
              </w:rPr>
              <w:t>($)</w:t>
            </w:r>
          </w:p>
        </w:tc>
        <w:tc>
          <w:tcPr>
            <w:tcW w:w="1020" w:type="dxa"/>
            <w:vAlign w:val="bottom"/>
            <w:gridSpan w:val="2"/>
            <w:shd w:val="clear" w:color="auto" w:fill="086FB8"/>
          </w:tcPr>
          <w:p>
            <w:pPr>
              <w:jc w:val="center"/>
              <w:ind w:right="80"/>
              <w:spacing w:after="0"/>
              <w:rPr>
                <w:sz w:val="20"/>
                <w:szCs w:val="20"/>
                <w:color w:val="auto"/>
              </w:rPr>
            </w:pPr>
            <w:r>
              <w:rPr>
                <w:rFonts w:ascii="Arial" w:cs="Arial" w:eastAsia="Arial" w:hAnsi="Arial"/>
                <w:sz w:val="12"/>
                <w:szCs w:val="12"/>
                <w:b w:val="1"/>
                <w:bCs w:val="1"/>
                <w:color w:val="FFFFFF"/>
                <w:w w:val="99"/>
              </w:rPr>
              <w:t>Date</w:t>
            </w:r>
          </w:p>
        </w:tc>
        <w:tc>
          <w:tcPr>
            <w:tcW w:w="980" w:type="dxa"/>
            <w:vAlign w:val="bottom"/>
            <w:shd w:val="clear" w:color="auto" w:fill="086FB8"/>
          </w:tcPr>
          <w:p>
            <w:pPr>
              <w:jc w:val="center"/>
              <w:ind w:right="98"/>
              <w:spacing w:after="0"/>
              <w:rPr>
                <w:sz w:val="20"/>
                <w:szCs w:val="20"/>
                <w:color w:val="auto"/>
              </w:rPr>
            </w:pPr>
            <w:r>
              <w:rPr>
                <w:rFonts w:ascii="Arial" w:cs="Arial" w:eastAsia="Arial" w:hAnsi="Arial"/>
                <w:sz w:val="12"/>
                <w:szCs w:val="12"/>
                <w:b w:val="1"/>
                <w:bCs w:val="1"/>
                <w:color w:val="FFFFFF"/>
                <w:w w:val="95"/>
              </w:rPr>
              <w:t>(#)</w:t>
            </w:r>
          </w:p>
        </w:tc>
        <w:tc>
          <w:tcPr>
            <w:tcW w:w="900" w:type="dxa"/>
            <w:vAlign w:val="bottom"/>
            <w:shd w:val="clear" w:color="auto" w:fill="086FB8"/>
          </w:tcPr>
          <w:p>
            <w:pPr>
              <w:jc w:val="center"/>
              <w:ind w:left="138"/>
              <w:spacing w:after="0"/>
              <w:rPr>
                <w:sz w:val="20"/>
                <w:szCs w:val="20"/>
                <w:color w:val="auto"/>
              </w:rPr>
            </w:pPr>
            <w:r>
              <w:rPr>
                <w:rFonts w:ascii="Arial" w:cs="Arial" w:eastAsia="Arial" w:hAnsi="Arial"/>
                <w:sz w:val="12"/>
                <w:szCs w:val="12"/>
                <w:b w:val="1"/>
                <w:bCs w:val="1"/>
                <w:color w:val="FFFFFF"/>
                <w:w w:val="95"/>
              </w:rPr>
              <w:t>($)</w:t>
            </w:r>
          </w:p>
        </w:tc>
        <w:tc>
          <w:tcPr>
            <w:tcW w:w="1500" w:type="dxa"/>
            <w:vAlign w:val="bottom"/>
            <w:shd w:val="clear" w:color="auto" w:fill="086FB8"/>
          </w:tcPr>
          <w:p>
            <w:pPr>
              <w:jc w:val="center"/>
              <w:spacing w:after="0"/>
              <w:rPr>
                <w:sz w:val="20"/>
                <w:szCs w:val="20"/>
                <w:color w:val="auto"/>
              </w:rPr>
            </w:pPr>
            <w:r>
              <w:rPr>
                <w:rFonts w:ascii="Arial" w:cs="Arial" w:eastAsia="Arial" w:hAnsi="Arial"/>
                <w:sz w:val="12"/>
                <w:szCs w:val="12"/>
                <w:b w:val="1"/>
                <w:bCs w:val="1"/>
                <w:color w:val="FFFFFF"/>
              </w:rPr>
              <w:t>(#)</w:t>
            </w:r>
          </w:p>
        </w:tc>
        <w:tc>
          <w:tcPr>
            <w:tcW w:w="1220" w:type="dxa"/>
            <w:vAlign w:val="bottom"/>
            <w:shd w:val="clear" w:color="auto" w:fill="086FB8"/>
          </w:tcPr>
          <w:p>
            <w:pPr>
              <w:jc w:val="center"/>
              <w:ind w:left="218"/>
              <w:spacing w:after="0"/>
              <w:rPr>
                <w:sz w:val="20"/>
                <w:szCs w:val="20"/>
                <w:color w:val="auto"/>
              </w:rPr>
            </w:pPr>
            <w:r>
              <w:rPr>
                <w:rFonts w:ascii="Arial" w:cs="Arial" w:eastAsia="Arial" w:hAnsi="Arial"/>
                <w:sz w:val="12"/>
                <w:szCs w:val="12"/>
                <w:b w:val="1"/>
                <w:bCs w:val="1"/>
                <w:color w:val="FFFFFF"/>
              </w:rPr>
              <w:t>($)(4)</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740" w:type="dxa"/>
            <w:vAlign w:val="bottom"/>
          </w:tcPr>
          <w:p>
            <w:pPr>
              <w:ind w:left="140"/>
              <w:spacing w:after="0"/>
              <w:rPr>
                <w:sz w:val="20"/>
                <w:szCs w:val="20"/>
                <w:color w:val="auto"/>
              </w:rPr>
            </w:pPr>
            <w:r>
              <w:rPr>
                <w:rFonts w:ascii="Arial" w:cs="Arial" w:eastAsia="Arial" w:hAnsi="Arial"/>
                <w:sz w:val="12"/>
                <w:szCs w:val="12"/>
                <w:color w:val="auto"/>
              </w:rPr>
              <w:t>Peter S. Ho</w:t>
            </w:r>
          </w:p>
        </w:tc>
        <w:tc>
          <w:tcPr>
            <w:tcW w:w="1240" w:type="dxa"/>
            <w:vAlign w:val="bottom"/>
          </w:tcPr>
          <w:p>
            <w:pPr>
              <w:ind w:left="620"/>
              <w:spacing w:after="0"/>
              <w:rPr>
                <w:sz w:val="20"/>
                <w:szCs w:val="20"/>
                <w:color w:val="auto"/>
              </w:rPr>
            </w:pPr>
            <w:r>
              <w:rPr>
                <w:rFonts w:ascii="Arial" w:cs="Arial" w:eastAsia="Arial" w:hAnsi="Arial"/>
                <w:sz w:val="12"/>
                <w:szCs w:val="12"/>
                <w:color w:val="auto"/>
              </w:rPr>
              <w:t>—</w:t>
            </w:r>
          </w:p>
        </w:tc>
        <w:tc>
          <w:tcPr>
            <w:tcW w:w="1160" w:type="dxa"/>
            <w:vAlign w:val="bottom"/>
          </w:tcPr>
          <w:p>
            <w:pPr>
              <w:ind w:left="500"/>
              <w:spacing w:after="0"/>
              <w:rPr>
                <w:sz w:val="20"/>
                <w:szCs w:val="20"/>
                <w:color w:val="auto"/>
              </w:rPr>
            </w:pPr>
            <w:r>
              <w:rPr>
                <w:rFonts w:ascii="Arial" w:cs="Arial" w:eastAsia="Arial" w:hAnsi="Arial"/>
                <w:sz w:val="12"/>
                <w:szCs w:val="12"/>
                <w:color w:val="auto"/>
              </w:rPr>
              <w:t>—</w:t>
            </w:r>
          </w:p>
        </w:tc>
        <w:tc>
          <w:tcPr>
            <w:tcW w:w="1020" w:type="dxa"/>
            <w:vAlign w:val="bottom"/>
          </w:tcPr>
          <w:p>
            <w:pPr>
              <w:ind w:left="540"/>
              <w:spacing w:after="0"/>
              <w:rPr>
                <w:sz w:val="20"/>
                <w:szCs w:val="20"/>
                <w:color w:val="auto"/>
              </w:rPr>
            </w:pPr>
            <w:r>
              <w:rPr>
                <w:rFonts w:ascii="Arial" w:cs="Arial" w:eastAsia="Arial" w:hAnsi="Arial"/>
                <w:sz w:val="12"/>
                <w:szCs w:val="12"/>
                <w:color w:val="auto"/>
              </w:rPr>
              <w:t>—</w:t>
            </w:r>
          </w:p>
        </w:tc>
        <w:tc>
          <w:tcPr>
            <w:tcW w:w="86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ind w:left="4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08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26,542</w:t>
            </w:r>
          </w:p>
        </w:tc>
        <w:tc>
          <w:tcPr>
            <w:tcW w:w="540" w:type="dxa"/>
            <w:vAlign w:val="bottom"/>
          </w:tcPr>
          <w:p>
            <w:pPr>
              <w:jc w:val="right"/>
              <w:ind w:right="238"/>
              <w:spacing w:after="0"/>
              <w:rPr>
                <w:sz w:val="20"/>
                <w:szCs w:val="20"/>
                <w:color w:val="auto"/>
              </w:rPr>
            </w:pPr>
            <w:r>
              <w:rPr>
                <w:rFonts w:ascii="Arial" w:cs="Arial" w:eastAsia="Arial" w:hAnsi="Arial"/>
                <w:sz w:val="12"/>
                <w:szCs w:val="12"/>
                <w:color w:val="auto"/>
              </w:rPr>
              <w:t>(1)</w:t>
            </w:r>
          </w:p>
        </w:tc>
        <w:tc>
          <w:tcPr>
            <w:tcW w:w="800" w:type="dxa"/>
            <w:vAlign w:val="bottom"/>
          </w:tcPr>
          <w:p>
            <w:pPr>
              <w:jc w:val="right"/>
              <w:spacing w:after="0"/>
              <w:rPr>
                <w:sz w:val="20"/>
                <w:szCs w:val="20"/>
                <w:color w:val="auto"/>
              </w:rPr>
            </w:pPr>
            <w:r>
              <w:rPr>
                <w:rFonts w:ascii="Arial" w:cs="Arial" w:eastAsia="Arial" w:hAnsi="Arial"/>
                <w:sz w:val="12"/>
                <w:szCs w:val="12"/>
                <w:color w:val="auto"/>
              </w:rPr>
              <w:t>2,223,158</w:t>
            </w:r>
          </w:p>
        </w:tc>
      </w:tr>
      <w:tr>
        <w:trPr>
          <w:trHeight w:val="147"/>
        </w:trPr>
        <w:tc>
          <w:tcPr>
            <w:tcW w:w="1740" w:type="dxa"/>
            <w:vAlign w:val="bottom"/>
          </w:tcPr>
          <w:p>
            <w:pPr>
              <w:spacing w:after="0"/>
              <w:rPr>
                <w:sz w:val="12"/>
                <w:szCs w:val="12"/>
                <w:color w:val="auto"/>
              </w:rPr>
            </w:pPr>
          </w:p>
        </w:tc>
        <w:tc>
          <w:tcPr>
            <w:tcW w:w="1240" w:type="dxa"/>
            <w:vAlign w:val="bottom"/>
          </w:tcPr>
          <w:p>
            <w:pPr>
              <w:ind w:left="620"/>
              <w:spacing w:after="0"/>
              <w:rPr>
                <w:sz w:val="20"/>
                <w:szCs w:val="20"/>
                <w:color w:val="auto"/>
              </w:rPr>
            </w:pPr>
            <w:r>
              <w:rPr>
                <w:rFonts w:ascii="Arial" w:cs="Arial" w:eastAsia="Arial" w:hAnsi="Arial"/>
                <w:sz w:val="12"/>
                <w:szCs w:val="12"/>
                <w:color w:val="auto"/>
              </w:rPr>
              <w:t>—</w:t>
            </w:r>
          </w:p>
        </w:tc>
        <w:tc>
          <w:tcPr>
            <w:tcW w:w="1160" w:type="dxa"/>
            <w:vAlign w:val="bottom"/>
          </w:tcPr>
          <w:p>
            <w:pPr>
              <w:ind w:left="500"/>
              <w:spacing w:after="0"/>
              <w:rPr>
                <w:sz w:val="20"/>
                <w:szCs w:val="20"/>
                <w:color w:val="auto"/>
              </w:rPr>
            </w:pPr>
            <w:r>
              <w:rPr>
                <w:rFonts w:ascii="Arial" w:cs="Arial" w:eastAsia="Arial" w:hAnsi="Arial"/>
                <w:sz w:val="12"/>
                <w:szCs w:val="12"/>
                <w:color w:val="auto"/>
              </w:rPr>
              <w:t>—</w:t>
            </w:r>
          </w:p>
        </w:tc>
        <w:tc>
          <w:tcPr>
            <w:tcW w:w="1020" w:type="dxa"/>
            <w:vAlign w:val="bottom"/>
          </w:tcPr>
          <w:p>
            <w:pPr>
              <w:ind w:left="540"/>
              <w:spacing w:after="0"/>
              <w:rPr>
                <w:sz w:val="20"/>
                <w:szCs w:val="20"/>
                <w:color w:val="auto"/>
              </w:rPr>
            </w:pPr>
            <w:r>
              <w:rPr>
                <w:rFonts w:ascii="Arial" w:cs="Arial" w:eastAsia="Arial" w:hAnsi="Arial"/>
                <w:sz w:val="12"/>
                <w:szCs w:val="12"/>
                <w:color w:val="auto"/>
              </w:rPr>
              <w:t>—</w:t>
            </w:r>
          </w:p>
        </w:tc>
        <w:tc>
          <w:tcPr>
            <w:tcW w:w="86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ind w:left="4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08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27,943</w:t>
            </w:r>
          </w:p>
        </w:tc>
        <w:tc>
          <w:tcPr>
            <w:tcW w:w="540" w:type="dxa"/>
            <w:vAlign w:val="bottom"/>
          </w:tcPr>
          <w:p>
            <w:pPr>
              <w:jc w:val="right"/>
              <w:ind w:right="238"/>
              <w:spacing w:after="0"/>
              <w:rPr>
                <w:sz w:val="20"/>
                <w:szCs w:val="20"/>
                <w:color w:val="auto"/>
              </w:rPr>
            </w:pPr>
            <w:r>
              <w:rPr>
                <w:rFonts w:ascii="Arial" w:cs="Arial" w:eastAsia="Arial" w:hAnsi="Arial"/>
                <w:sz w:val="12"/>
                <w:szCs w:val="12"/>
                <w:color w:val="auto"/>
              </w:rPr>
              <w:t>(2)</w:t>
            </w:r>
          </w:p>
        </w:tc>
        <w:tc>
          <w:tcPr>
            <w:tcW w:w="800" w:type="dxa"/>
            <w:vAlign w:val="bottom"/>
          </w:tcPr>
          <w:p>
            <w:pPr>
              <w:jc w:val="right"/>
              <w:spacing w:after="0"/>
              <w:rPr>
                <w:sz w:val="20"/>
                <w:szCs w:val="20"/>
                <w:color w:val="auto"/>
              </w:rPr>
            </w:pPr>
            <w:r>
              <w:rPr>
                <w:rFonts w:ascii="Arial" w:cs="Arial" w:eastAsia="Arial" w:hAnsi="Arial"/>
                <w:sz w:val="12"/>
                <w:szCs w:val="12"/>
                <w:color w:val="auto"/>
              </w:rPr>
              <w:t>2,340,506</w:t>
            </w:r>
          </w:p>
        </w:tc>
      </w:tr>
      <w:tr>
        <w:trPr>
          <w:trHeight w:val="147"/>
        </w:trPr>
        <w:tc>
          <w:tcPr>
            <w:tcW w:w="1740" w:type="dxa"/>
            <w:vAlign w:val="bottom"/>
          </w:tcPr>
          <w:p>
            <w:pPr>
              <w:spacing w:after="0"/>
              <w:rPr>
                <w:sz w:val="12"/>
                <w:szCs w:val="12"/>
                <w:color w:val="auto"/>
              </w:rPr>
            </w:pPr>
          </w:p>
        </w:tc>
        <w:tc>
          <w:tcPr>
            <w:tcW w:w="1240" w:type="dxa"/>
            <w:vAlign w:val="bottom"/>
          </w:tcPr>
          <w:p>
            <w:pPr>
              <w:ind w:left="620"/>
              <w:spacing w:after="0"/>
              <w:rPr>
                <w:sz w:val="20"/>
                <w:szCs w:val="20"/>
                <w:color w:val="auto"/>
              </w:rPr>
            </w:pPr>
            <w:r>
              <w:rPr>
                <w:rFonts w:ascii="Arial" w:cs="Arial" w:eastAsia="Arial" w:hAnsi="Arial"/>
                <w:sz w:val="12"/>
                <w:szCs w:val="12"/>
                <w:color w:val="auto"/>
              </w:rPr>
              <w:t>—</w:t>
            </w:r>
          </w:p>
        </w:tc>
        <w:tc>
          <w:tcPr>
            <w:tcW w:w="1160" w:type="dxa"/>
            <w:vAlign w:val="bottom"/>
          </w:tcPr>
          <w:p>
            <w:pPr>
              <w:ind w:left="500"/>
              <w:spacing w:after="0"/>
              <w:rPr>
                <w:sz w:val="20"/>
                <w:szCs w:val="20"/>
                <w:color w:val="auto"/>
              </w:rPr>
            </w:pPr>
            <w:r>
              <w:rPr>
                <w:rFonts w:ascii="Arial" w:cs="Arial" w:eastAsia="Arial" w:hAnsi="Arial"/>
                <w:sz w:val="12"/>
                <w:szCs w:val="12"/>
                <w:color w:val="auto"/>
              </w:rPr>
              <w:t>—</w:t>
            </w:r>
          </w:p>
        </w:tc>
        <w:tc>
          <w:tcPr>
            <w:tcW w:w="1020" w:type="dxa"/>
            <w:vAlign w:val="bottom"/>
          </w:tcPr>
          <w:p>
            <w:pPr>
              <w:ind w:left="540"/>
              <w:spacing w:after="0"/>
              <w:rPr>
                <w:sz w:val="20"/>
                <w:szCs w:val="20"/>
                <w:color w:val="auto"/>
              </w:rPr>
            </w:pPr>
            <w:r>
              <w:rPr>
                <w:rFonts w:ascii="Arial" w:cs="Arial" w:eastAsia="Arial" w:hAnsi="Arial"/>
                <w:sz w:val="12"/>
                <w:szCs w:val="12"/>
                <w:color w:val="auto"/>
              </w:rPr>
              <w:t>—</w:t>
            </w:r>
          </w:p>
        </w:tc>
        <w:tc>
          <w:tcPr>
            <w:tcW w:w="86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ind w:left="4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08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39,282</w:t>
            </w:r>
          </w:p>
        </w:tc>
        <w:tc>
          <w:tcPr>
            <w:tcW w:w="540" w:type="dxa"/>
            <w:vAlign w:val="bottom"/>
          </w:tcPr>
          <w:p>
            <w:pPr>
              <w:jc w:val="right"/>
              <w:ind w:right="238"/>
              <w:spacing w:after="0"/>
              <w:rPr>
                <w:sz w:val="20"/>
                <w:szCs w:val="20"/>
                <w:color w:val="auto"/>
              </w:rPr>
            </w:pPr>
            <w:r>
              <w:rPr>
                <w:rFonts w:ascii="Arial" w:cs="Arial" w:eastAsia="Arial" w:hAnsi="Arial"/>
                <w:sz w:val="12"/>
                <w:szCs w:val="12"/>
                <w:color w:val="auto"/>
              </w:rPr>
              <w:t>(3)</w:t>
            </w:r>
          </w:p>
        </w:tc>
        <w:tc>
          <w:tcPr>
            <w:tcW w:w="800" w:type="dxa"/>
            <w:vAlign w:val="bottom"/>
          </w:tcPr>
          <w:p>
            <w:pPr>
              <w:jc w:val="right"/>
              <w:spacing w:after="0"/>
              <w:rPr>
                <w:sz w:val="20"/>
                <w:szCs w:val="20"/>
                <w:color w:val="auto"/>
              </w:rPr>
            </w:pPr>
            <w:r>
              <w:rPr>
                <w:rFonts w:ascii="Arial" w:cs="Arial" w:eastAsia="Arial" w:hAnsi="Arial"/>
                <w:sz w:val="12"/>
                <w:szCs w:val="12"/>
                <w:color w:val="auto"/>
              </w:rPr>
              <w:t>3,290,260</w:t>
            </w:r>
          </w:p>
        </w:tc>
      </w:tr>
      <w:tr>
        <w:trPr>
          <w:trHeight w:val="148"/>
        </w:trPr>
        <w:tc>
          <w:tcPr>
            <w:tcW w:w="17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tcPr>
          <w:p>
            <w:pPr>
              <w:ind w:left="50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ind w:left="54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ind w:left="34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ind w:left="40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7,987</w:t>
            </w:r>
          </w:p>
        </w:tc>
        <w:tc>
          <w:tcPr>
            <w:tcW w:w="4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(4)</w:t>
            </w:r>
          </w:p>
        </w:tc>
        <w:tc>
          <w:tcPr>
            <w:tcW w:w="108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668,991</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0"/>
        </w:trPr>
        <w:tc>
          <w:tcPr>
            <w:tcW w:w="1740" w:type="dxa"/>
            <w:vAlign w:val="bottom"/>
          </w:tcPr>
          <w:p>
            <w:pPr>
              <w:ind w:left="140"/>
              <w:spacing w:after="0"/>
              <w:rPr>
                <w:sz w:val="20"/>
                <w:szCs w:val="20"/>
                <w:color w:val="auto"/>
              </w:rPr>
            </w:pPr>
            <w:r>
              <w:rPr>
                <w:rFonts w:ascii="Arial" w:cs="Arial" w:eastAsia="Arial" w:hAnsi="Arial"/>
                <w:sz w:val="12"/>
                <w:szCs w:val="12"/>
                <w:color w:val="auto"/>
              </w:rPr>
              <w:t>Dean Y. Shigemura</w:t>
            </w:r>
          </w:p>
        </w:tc>
        <w:tc>
          <w:tcPr>
            <w:tcW w:w="1240" w:type="dxa"/>
            <w:vAlign w:val="bottom"/>
          </w:tcPr>
          <w:p>
            <w:pPr>
              <w:ind w:left="620"/>
              <w:spacing w:after="0"/>
              <w:rPr>
                <w:sz w:val="20"/>
                <w:szCs w:val="20"/>
                <w:color w:val="auto"/>
              </w:rPr>
            </w:pPr>
            <w:r>
              <w:rPr>
                <w:rFonts w:ascii="Arial" w:cs="Arial" w:eastAsia="Arial" w:hAnsi="Arial"/>
                <w:sz w:val="12"/>
                <w:szCs w:val="12"/>
                <w:color w:val="auto"/>
              </w:rPr>
              <w:t>—</w:t>
            </w:r>
          </w:p>
        </w:tc>
        <w:tc>
          <w:tcPr>
            <w:tcW w:w="1160" w:type="dxa"/>
            <w:vAlign w:val="bottom"/>
          </w:tcPr>
          <w:p>
            <w:pPr>
              <w:ind w:left="500"/>
              <w:spacing w:after="0"/>
              <w:rPr>
                <w:sz w:val="20"/>
                <w:szCs w:val="20"/>
                <w:color w:val="auto"/>
              </w:rPr>
            </w:pPr>
            <w:r>
              <w:rPr>
                <w:rFonts w:ascii="Arial" w:cs="Arial" w:eastAsia="Arial" w:hAnsi="Arial"/>
                <w:sz w:val="12"/>
                <w:szCs w:val="12"/>
                <w:color w:val="auto"/>
              </w:rPr>
              <w:t>—</w:t>
            </w:r>
          </w:p>
        </w:tc>
        <w:tc>
          <w:tcPr>
            <w:tcW w:w="1020" w:type="dxa"/>
            <w:vAlign w:val="bottom"/>
          </w:tcPr>
          <w:p>
            <w:pPr>
              <w:ind w:left="540"/>
              <w:spacing w:after="0"/>
              <w:rPr>
                <w:sz w:val="20"/>
                <w:szCs w:val="20"/>
                <w:color w:val="auto"/>
              </w:rPr>
            </w:pPr>
            <w:r>
              <w:rPr>
                <w:rFonts w:ascii="Arial" w:cs="Arial" w:eastAsia="Arial" w:hAnsi="Arial"/>
                <w:sz w:val="12"/>
                <w:szCs w:val="12"/>
                <w:color w:val="auto"/>
              </w:rPr>
              <w:t>—</w:t>
            </w:r>
          </w:p>
        </w:tc>
        <w:tc>
          <w:tcPr>
            <w:tcW w:w="86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ind w:left="4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08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6,033</w:t>
            </w:r>
          </w:p>
        </w:tc>
        <w:tc>
          <w:tcPr>
            <w:tcW w:w="540" w:type="dxa"/>
            <w:vAlign w:val="bottom"/>
          </w:tcPr>
          <w:p>
            <w:pPr>
              <w:jc w:val="right"/>
              <w:ind w:right="238"/>
              <w:spacing w:after="0"/>
              <w:rPr>
                <w:sz w:val="20"/>
                <w:szCs w:val="20"/>
                <w:color w:val="auto"/>
              </w:rPr>
            </w:pPr>
            <w:r>
              <w:rPr>
                <w:rFonts w:ascii="Arial" w:cs="Arial" w:eastAsia="Arial" w:hAnsi="Arial"/>
                <w:sz w:val="12"/>
                <w:szCs w:val="12"/>
                <w:color w:val="auto"/>
              </w:rPr>
              <w:t>(1)</w:t>
            </w:r>
          </w:p>
        </w:tc>
        <w:tc>
          <w:tcPr>
            <w:tcW w:w="800" w:type="dxa"/>
            <w:vAlign w:val="bottom"/>
          </w:tcPr>
          <w:p>
            <w:pPr>
              <w:jc w:val="right"/>
              <w:spacing w:after="0"/>
              <w:rPr>
                <w:sz w:val="20"/>
                <w:szCs w:val="20"/>
                <w:color w:val="auto"/>
              </w:rPr>
            </w:pPr>
            <w:r>
              <w:rPr>
                <w:rFonts w:ascii="Arial" w:cs="Arial" w:eastAsia="Arial" w:hAnsi="Arial"/>
                <w:sz w:val="12"/>
                <w:szCs w:val="12"/>
                <w:color w:val="auto"/>
              </w:rPr>
              <w:t>505,324</w:t>
            </w:r>
          </w:p>
        </w:tc>
      </w:tr>
      <w:tr>
        <w:trPr>
          <w:trHeight w:val="147"/>
        </w:trPr>
        <w:tc>
          <w:tcPr>
            <w:tcW w:w="1740" w:type="dxa"/>
            <w:vAlign w:val="bottom"/>
          </w:tcPr>
          <w:p>
            <w:pPr>
              <w:spacing w:after="0"/>
              <w:rPr>
                <w:sz w:val="12"/>
                <w:szCs w:val="12"/>
                <w:color w:val="auto"/>
              </w:rPr>
            </w:pPr>
          </w:p>
        </w:tc>
        <w:tc>
          <w:tcPr>
            <w:tcW w:w="1240" w:type="dxa"/>
            <w:vAlign w:val="bottom"/>
          </w:tcPr>
          <w:p>
            <w:pPr>
              <w:ind w:left="620"/>
              <w:spacing w:after="0"/>
              <w:rPr>
                <w:sz w:val="20"/>
                <w:szCs w:val="20"/>
                <w:color w:val="auto"/>
              </w:rPr>
            </w:pPr>
            <w:r>
              <w:rPr>
                <w:rFonts w:ascii="Arial" w:cs="Arial" w:eastAsia="Arial" w:hAnsi="Arial"/>
                <w:sz w:val="12"/>
                <w:szCs w:val="12"/>
                <w:color w:val="auto"/>
              </w:rPr>
              <w:t>—</w:t>
            </w:r>
          </w:p>
        </w:tc>
        <w:tc>
          <w:tcPr>
            <w:tcW w:w="1160" w:type="dxa"/>
            <w:vAlign w:val="bottom"/>
          </w:tcPr>
          <w:p>
            <w:pPr>
              <w:ind w:left="500"/>
              <w:spacing w:after="0"/>
              <w:rPr>
                <w:sz w:val="20"/>
                <w:szCs w:val="20"/>
                <w:color w:val="auto"/>
              </w:rPr>
            </w:pPr>
            <w:r>
              <w:rPr>
                <w:rFonts w:ascii="Arial" w:cs="Arial" w:eastAsia="Arial" w:hAnsi="Arial"/>
                <w:sz w:val="12"/>
                <w:szCs w:val="12"/>
                <w:color w:val="auto"/>
              </w:rPr>
              <w:t>—</w:t>
            </w:r>
          </w:p>
        </w:tc>
        <w:tc>
          <w:tcPr>
            <w:tcW w:w="1020" w:type="dxa"/>
            <w:vAlign w:val="bottom"/>
          </w:tcPr>
          <w:p>
            <w:pPr>
              <w:ind w:left="540"/>
              <w:spacing w:after="0"/>
              <w:rPr>
                <w:sz w:val="20"/>
                <w:szCs w:val="20"/>
                <w:color w:val="auto"/>
              </w:rPr>
            </w:pPr>
            <w:r>
              <w:rPr>
                <w:rFonts w:ascii="Arial" w:cs="Arial" w:eastAsia="Arial" w:hAnsi="Arial"/>
                <w:sz w:val="12"/>
                <w:szCs w:val="12"/>
                <w:color w:val="auto"/>
              </w:rPr>
              <w:t>—</w:t>
            </w:r>
          </w:p>
        </w:tc>
        <w:tc>
          <w:tcPr>
            <w:tcW w:w="86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ind w:left="4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08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7,824</w:t>
            </w:r>
          </w:p>
        </w:tc>
        <w:tc>
          <w:tcPr>
            <w:tcW w:w="540" w:type="dxa"/>
            <w:vAlign w:val="bottom"/>
          </w:tcPr>
          <w:p>
            <w:pPr>
              <w:jc w:val="right"/>
              <w:ind w:right="238"/>
              <w:spacing w:after="0"/>
              <w:rPr>
                <w:sz w:val="20"/>
                <w:szCs w:val="20"/>
                <w:color w:val="auto"/>
              </w:rPr>
            </w:pPr>
            <w:r>
              <w:rPr>
                <w:rFonts w:ascii="Arial" w:cs="Arial" w:eastAsia="Arial" w:hAnsi="Arial"/>
                <w:sz w:val="12"/>
                <w:szCs w:val="12"/>
                <w:color w:val="auto"/>
              </w:rPr>
              <w:t>(2)</w:t>
            </w:r>
          </w:p>
        </w:tc>
        <w:tc>
          <w:tcPr>
            <w:tcW w:w="800" w:type="dxa"/>
            <w:vAlign w:val="bottom"/>
          </w:tcPr>
          <w:p>
            <w:pPr>
              <w:jc w:val="right"/>
              <w:spacing w:after="0"/>
              <w:rPr>
                <w:sz w:val="20"/>
                <w:szCs w:val="20"/>
                <w:color w:val="auto"/>
              </w:rPr>
            </w:pPr>
            <w:r>
              <w:rPr>
                <w:rFonts w:ascii="Arial" w:cs="Arial" w:eastAsia="Arial" w:hAnsi="Arial"/>
                <w:sz w:val="12"/>
                <w:szCs w:val="12"/>
                <w:color w:val="auto"/>
              </w:rPr>
              <w:t>655,338</w:t>
            </w:r>
          </w:p>
        </w:tc>
      </w:tr>
      <w:tr>
        <w:trPr>
          <w:trHeight w:val="147"/>
        </w:trPr>
        <w:tc>
          <w:tcPr>
            <w:tcW w:w="1740" w:type="dxa"/>
            <w:vAlign w:val="bottom"/>
          </w:tcPr>
          <w:p>
            <w:pPr>
              <w:spacing w:after="0"/>
              <w:rPr>
                <w:sz w:val="12"/>
                <w:szCs w:val="12"/>
                <w:color w:val="auto"/>
              </w:rPr>
            </w:pPr>
          </w:p>
        </w:tc>
        <w:tc>
          <w:tcPr>
            <w:tcW w:w="1240" w:type="dxa"/>
            <w:vAlign w:val="bottom"/>
          </w:tcPr>
          <w:p>
            <w:pPr>
              <w:ind w:left="620"/>
              <w:spacing w:after="0"/>
              <w:rPr>
                <w:sz w:val="20"/>
                <w:szCs w:val="20"/>
                <w:color w:val="auto"/>
              </w:rPr>
            </w:pPr>
            <w:r>
              <w:rPr>
                <w:rFonts w:ascii="Arial" w:cs="Arial" w:eastAsia="Arial" w:hAnsi="Arial"/>
                <w:sz w:val="12"/>
                <w:szCs w:val="12"/>
                <w:color w:val="auto"/>
              </w:rPr>
              <w:t>—</w:t>
            </w:r>
          </w:p>
        </w:tc>
        <w:tc>
          <w:tcPr>
            <w:tcW w:w="1160" w:type="dxa"/>
            <w:vAlign w:val="bottom"/>
          </w:tcPr>
          <w:p>
            <w:pPr>
              <w:ind w:left="500"/>
              <w:spacing w:after="0"/>
              <w:rPr>
                <w:sz w:val="20"/>
                <w:szCs w:val="20"/>
                <w:color w:val="auto"/>
              </w:rPr>
            </w:pPr>
            <w:r>
              <w:rPr>
                <w:rFonts w:ascii="Arial" w:cs="Arial" w:eastAsia="Arial" w:hAnsi="Arial"/>
                <w:sz w:val="12"/>
                <w:szCs w:val="12"/>
                <w:color w:val="auto"/>
              </w:rPr>
              <w:t>—</w:t>
            </w:r>
          </w:p>
        </w:tc>
        <w:tc>
          <w:tcPr>
            <w:tcW w:w="1020" w:type="dxa"/>
            <w:vAlign w:val="bottom"/>
          </w:tcPr>
          <w:p>
            <w:pPr>
              <w:ind w:left="540"/>
              <w:spacing w:after="0"/>
              <w:rPr>
                <w:sz w:val="20"/>
                <w:szCs w:val="20"/>
                <w:color w:val="auto"/>
              </w:rPr>
            </w:pPr>
            <w:r>
              <w:rPr>
                <w:rFonts w:ascii="Arial" w:cs="Arial" w:eastAsia="Arial" w:hAnsi="Arial"/>
                <w:sz w:val="12"/>
                <w:szCs w:val="12"/>
                <w:color w:val="auto"/>
              </w:rPr>
              <w:t>—</w:t>
            </w:r>
          </w:p>
        </w:tc>
        <w:tc>
          <w:tcPr>
            <w:tcW w:w="86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ind w:left="4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08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7,857</w:t>
            </w:r>
          </w:p>
        </w:tc>
        <w:tc>
          <w:tcPr>
            <w:tcW w:w="540" w:type="dxa"/>
            <w:vAlign w:val="bottom"/>
          </w:tcPr>
          <w:p>
            <w:pPr>
              <w:jc w:val="right"/>
              <w:ind w:right="238"/>
              <w:spacing w:after="0"/>
              <w:rPr>
                <w:sz w:val="20"/>
                <w:szCs w:val="20"/>
                <w:color w:val="auto"/>
              </w:rPr>
            </w:pPr>
            <w:r>
              <w:rPr>
                <w:rFonts w:ascii="Arial" w:cs="Arial" w:eastAsia="Arial" w:hAnsi="Arial"/>
                <w:sz w:val="12"/>
                <w:szCs w:val="12"/>
                <w:color w:val="auto"/>
              </w:rPr>
              <w:t>(3)</w:t>
            </w:r>
          </w:p>
        </w:tc>
        <w:tc>
          <w:tcPr>
            <w:tcW w:w="800" w:type="dxa"/>
            <w:vAlign w:val="bottom"/>
          </w:tcPr>
          <w:p>
            <w:pPr>
              <w:jc w:val="right"/>
              <w:spacing w:after="0"/>
              <w:rPr>
                <w:sz w:val="20"/>
                <w:szCs w:val="20"/>
                <w:color w:val="auto"/>
              </w:rPr>
            </w:pPr>
            <w:r>
              <w:rPr>
                <w:rFonts w:ascii="Arial" w:cs="Arial" w:eastAsia="Arial" w:hAnsi="Arial"/>
                <w:sz w:val="12"/>
                <w:szCs w:val="12"/>
                <w:color w:val="auto"/>
              </w:rPr>
              <w:t>658,102</w:t>
            </w:r>
          </w:p>
        </w:tc>
      </w:tr>
      <w:tr>
        <w:trPr>
          <w:trHeight w:val="147"/>
        </w:trPr>
        <w:tc>
          <w:tcPr>
            <w:tcW w:w="1740" w:type="dxa"/>
            <w:vAlign w:val="bottom"/>
          </w:tcPr>
          <w:p>
            <w:pPr>
              <w:spacing w:after="0"/>
              <w:rPr>
                <w:sz w:val="12"/>
                <w:szCs w:val="12"/>
                <w:color w:val="auto"/>
              </w:rPr>
            </w:pPr>
          </w:p>
        </w:tc>
        <w:tc>
          <w:tcPr>
            <w:tcW w:w="1240" w:type="dxa"/>
            <w:vAlign w:val="bottom"/>
          </w:tcPr>
          <w:p>
            <w:pPr>
              <w:ind w:left="620"/>
              <w:spacing w:after="0"/>
              <w:rPr>
                <w:sz w:val="20"/>
                <w:szCs w:val="20"/>
                <w:color w:val="auto"/>
              </w:rPr>
            </w:pPr>
            <w:r>
              <w:rPr>
                <w:rFonts w:ascii="Arial" w:cs="Arial" w:eastAsia="Arial" w:hAnsi="Arial"/>
                <w:sz w:val="12"/>
                <w:szCs w:val="12"/>
                <w:color w:val="auto"/>
              </w:rPr>
              <w:t>—</w:t>
            </w:r>
          </w:p>
        </w:tc>
        <w:tc>
          <w:tcPr>
            <w:tcW w:w="1160" w:type="dxa"/>
            <w:vAlign w:val="bottom"/>
          </w:tcPr>
          <w:p>
            <w:pPr>
              <w:ind w:left="500"/>
              <w:spacing w:after="0"/>
              <w:rPr>
                <w:sz w:val="20"/>
                <w:szCs w:val="20"/>
                <w:color w:val="auto"/>
              </w:rPr>
            </w:pPr>
            <w:r>
              <w:rPr>
                <w:rFonts w:ascii="Arial" w:cs="Arial" w:eastAsia="Arial" w:hAnsi="Arial"/>
                <w:sz w:val="12"/>
                <w:szCs w:val="12"/>
                <w:color w:val="auto"/>
              </w:rPr>
              <w:t>—</w:t>
            </w:r>
          </w:p>
        </w:tc>
        <w:tc>
          <w:tcPr>
            <w:tcW w:w="1020" w:type="dxa"/>
            <w:vAlign w:val="bottom"/>
          </w:tcPr>
          <w:p>
            <w:pPr>
              <w:ind w:left="540"/>
              <w:spacing w:after="0"/>
              <w:rPr>
                <w:sz w:val="20"/>
                <w:szCs w:val="20"/>
                <w:color w:val="auto"/>
              </w:rPr>
            </w:pPr>
            <w:r>
              <w:rPr>
                <w:rFonts w:ascii="Arial" w:cs="Arial" w:eastAsia="Arial" w:hAnsi="Arial"/>
                <w:sz w:val="12"/>
                <w:szCs w:val="12"/>
                <w:color w:val="auto"/>
              </w:rPr>
              <w:t>—</w:t>
            </w:r>
          </w:p>
        </w:tc>
        <w:tc>
          <w:tcPr>
            <w:tcW w:w="86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ind w:left="4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2,517</w:t>
            </w:r>
          </w:p>
        </w:tc>
        <w:tc>
          <w:tcPr>
            <w:tcW w:w="420" w:type="dxa"/>
            <w:vAlign w:val="bottom"/>
          </w:tcPr>
          <w:p>
            <w:pPr>
              <w:jc w:val="right"/>
              <w:ind w:right="158"/>
              <w:spacing w:after="0"/>
              <w:rPr>
                <w:sz w:val="20"/>
                <w:szCs w:val="20"/>
                <w:color w:val="auto"/>
              </w:rPr>
            </w:pPr>
            <w:r>
              <w:rPr>
                <w:rFonts w:ascii="Arial" w:cs="Arial" w:eastAsia="Arial" w:hAnsi="Arial"/>
                <w:sz w:val="12"/>
                <w:szCs w:val="12"/>
                <w:color w:val="auto"/>
              </w:rPr>
              <w:t>(4)</w:t>
            </w:r>
          </w:p>
        </w:tc>
        <w:tc>
          <w:tcPr>
            <w:tcW w:w="1080" w:type="dxa"/>
            <w:vAlign w:val="bottom"/>
          </w:tcPr>
          <w:p>
            <w:pPr>
              <w:jc w:val="right"/>
              <w:ind w:right="378"/>
              <w:spacing w:after="0"/>
              <w:rPr>
                <w:sz w:val="20"/>
                <w:szCs w:val="20"/>
                <w:color w:val="auto"/>
              </w:rPr>
            </w:pPr>
            <w:r>
              <w:rPr>
                <w:rFonts w:ascii="Arial" w:cs="Arial" w:eastAsia="Arial" w:hAnsi="Arial"/>
                <w:sz w:val="12"/>
                <w:szCs w:val="12"/>
                <w:color w:val="auto"/>
              </w:rPr>
              <w:t>210,824</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8"/>
        </w:trPr>
        <w:tc>
          <w:tcPr>
            <w:tcW w:w="17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tcPr>
          <w:p>
            <w:pPr>
              <w:ind w:left="50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ind w:left="54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ind w:left="34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ind w:left="40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10,737</w:t>
            </w:r>
          </w:p>
        </w:tc>
        <w:tc>
          <w:tcPr>
            <w:tcW w:w="54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899,331</w:t>
            </w:r>
          </w:p>
        </w:tc>
      </w:tr>
      <w:tr>
        <w:trPr>
          <w:trHeight w:val="140"/>
        </w:trPr>
        <w:tc>
          <w:tcPr>
            <w:tcW w:w="1740" w:type="dxa"/>
            <w:vAlign w:val="bottom"/>
          </w:tcPr>
          <w:p>
            <w:pPr>
              <w:ind w:left="140"/>
              <w:spacing w:after="0"/>
              <w:rPr>
                <w:sz w:val="20"/>
                <w:szCs w:val="20"/>
                <w:color w:val="auto"/>
              </w:rPr>
            </w:pPr>
            <w:r>
              <w:rPr>
                <w:rFonts w:ascii="Arial" w:cs="Arial" w:eastAsia="Arial" w:hAnsi="Arial"/>
                <w:sz w:val="12"/>
                <w:szCs w:val="12"/>
                <w:color w:val="auto"/>
              </w:rPr>
              <w:t>James C. Polk</w:t>
            </w:r>
          </w:p>
        </w:tc>
        <w:tc>
          <w:tcPr>
            <w:tcW w:w="1240" w:type="dxa"/>
            <w:vAlign w:val="bottom"/>
          </w:tcPr>
          <w:p>
            <w:pPr>
              <w:ind w:left="620"/>
              <w:spacing w:after="0"/>
              <w:rPr>
                <w:sz w:val="20"/>
                <w:szCs w:val="20"/>
                <w:color w:val="auto"/>
              </w:rPr>
            </w:pPr>
            <w:r>
              <w:rPr>
                <w:rFonts w:ascii="Arial" w:cs="Arial" w:eastAsia="Arial" w:hAnsi="Arial"/>
                <w:sz w:val="12"/>
                <w:szCs w:val="12"/>
                <w:color w:val="auto"/>
              </w:rPr>
              <w:t>—</w:t>
            </w:r>
          </w:p>
        </w:tc>
        <w:tc>
          <w:tcPr>
            <w:tcW w:w="1160" w:type="dxa"/>
            <w:vAlign w:val="bottom"/>
          </w:tcPr>
          <w:p>
            <w:pPr>
              <w:ind w:left="500"/>
              <w:spacing w:after="0"/>
              <w:rPr>
                <w:sz w:val="20"/>
                <w:szCs w:val="20"/>
                <w:color w:val="auto"/>
              </w:rPr>
            </w:pPr>
            <w:r>
              <w:rPr>
                <w:rFonts w:ascii="Arial" w:cs="Arial" w:eastAsia="Arial" w:hAnsi="Arial"/>
                <w:sz w:val="12"/>
                <w:szCs w:val="12"/>
                <w:color w:val="auto"/>
              </w:rPr>
              <w:t>—</w:t>
            </w:r>
          </w:p>
        </w:tc>
        <w:tc>
          <w:tcPr>
            <w:tcW w:w="1020" w:type="dxa"/>
            <w:vAlign w:val="bottom"/>
          </w:tcPr>
          <w:p>
            <w:pPr>
              <w:ind w:left="540"/>
              <w:spacing w:after="0"/>
              <w:rPr>
                <w:sz w:val="20"/>
                <w:szCs w:val="20"/>
                <w:color w:val="auto"/>
              </w:rPr>
            </w:pPr>
            <w:r>
              <w:rPr>
                <w:rFonts w:ascii="Arial" w:cs="Arial" w:eastAsia="Arial" w:hAnsi="Arial"/>
                <w:sz w:val="12"/>
                <w:szCs w:val="12"/>
                <w:color w:val="auto"/>
              </w:rPr>
              <w:t>—</w:t>
            </w:r>
          </w:p>
        </w:tc>
        <w:tc>
          <w:tcPr>
            <w:tcW w:w="86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ind w:left="4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08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6,033</w:t>
            </w:r>
          </w:p>
        </w:tc>
        <w:tc>
          <w:tcPr>
            <w:tcW w:w="540" w:type="dxa"/>
            <w:vAlign w:val="bottom"/>
          </w:tcPr>
          <w:p>
            <w:pPr>
              <w:jc w:val="right"/>
              <w:ind w:right="238"/>
              <w:spacing w:after="0"/>
              <w:rPr>
                <w:sz w:val="20"/>
                <w:szCs w:val="20"/>
                <w:color w:val="auto"/>
              </w:rPr>
            </w:pPr>
            <w:r>
              <w:rPr>
                <w:rFonts w:ascii="Arial" w:cs="Arial" w:eastAsia="Arial" w:hAnsi="Arial"/>
                <w:sz w:val="12"/>
                <w:szCs w:val="12"/>
                <w:color w:val="auto"/>
              </w:rPr>
              <w:t>(1)</w:t>
            </w:r>
          </w:p>
        </w:tc>
        <w:tc>
          <w:tcPr>
            <w:tcW w:w="800" w:type="dxa"/>
            <w:vAlign w:val="bottom"/>
          </w:tcPr>
          <w:p>
            <w:pPr>
              <w:jc w:val="right"/>
              <w:spacing w:after="0"/>
              <w:rPr>
                <w:sz w:val="20"/>
                <w:szCs w:val="20"/>
                <w:color w:val="auto"/>
              </w:rPr>
            </w:pPr>
            <w:r>
              <w:rPr>
                <w:rFonts w:ascii="Arial" w:cs="Arial" w:eastAsia="Arial" w:hAnsi="Arial"/>
                <w:sz w:val="12"/>
                <w:szCs w:val="12"/>
                <w:color w:val="auto"/>
              </w:rPr>
              <w:t>505,324</w:t>
            </w:r>
          </w:p>
        </w:tc>
      </w:tr>
      <w:tr>
        <w:trPr>
          <w:trHeight w:val="147"/>
        </w:trPr>
        <w:tc>
          <w:tcPr>
            <w:tcW w:w="1740" w:type="dxa"/>
            <w:vAlign w:val="bottom"/>
          </w:tcPr>
          <w:p>
            <w:pPr>
              <w:spacing w:after="0"/>
              <w:rPr>
                <w:sz w:val="12"/>
                <w:szCs w:val="12"/>
                <w:color w:val="auto"/>
              </w:rPr>
            </w:pPr>
          </w:p>
        </w:tc>
        <w:tc>
          <w:tcPr>
            <w:tcW w:w="1240" w:type="dxa"/>
            <w:vAlign w:val="bottom"/>
          </w:tcPr>
          <w:p>
            <w:pPr>
              <w:ind w:left="620"/>
              <w:spacing w:after="0"/>
              <w:rPr>
                <w:sz w:val="20"/>
                <w:szCs w:val="20"/>
                <w:color w:val="auto"/>
              </w:rPr>
            </w:pPr>
            <w:r>
              <w:rPr>
                <w:rFonts w:ascii="Arial" w:cs="Arial" w:eastAsia="Arial" w:hAnsi="Arial"/>
                <w:sz w:val="12"/>
                <w:szCs w:val="12"/>
                <w:color w:val="auto"/>
              </w:rPr>
              <w:t>—</w:t>
            </w:r>
          </w:p>
        </w:tc>
        <w:tc>
          <w:tcPr>
            <w:tcW w:w="1160" w:type="dxa"/>
            <w:vAlign w:val="bottom"/>
          </w:tcPr>
          <w:p>
            <w:pPr>
              <w:ind w:left="500"/>
              <w:spacing w:after="0"/>
              <w:rPr>
                <w:sz w:val="20"/>
                <w:szCs w:val="20"/>
                <w:color w:val="auto"/>
              </w:rPr>
            </w:pPr>
            <w:r>
              <w:rPr>
                <w:rFonts w:ascii="Arial" w:cs="Arial" w:eastAsia="Arial" w:hAnsi="Arial"/>
                <w:sz w:val="12"/>
                <w:szCs w:val="12"/>
                <w:color w:val="auto"/>
              </w:rPr>
              <w:t>—</w:t>
            </w:r>
          </w:p>
        </w:tc>
        <w:tc>
          <w:tcPr>
            <w:tcW w:w="1020" w:type="dxa"/>
            <w:vAlign w:val="bottom"/>
          </w:tcPr>
          <w:p>
            <w:pPr>
              <w:ind w:left="540"/>
              <w:spacing w:after="0"/>
              <w:rPr>
                <w:sz w:val="20"/>
                <w:szCs w:val="20"/>
                <w:color w:val="auto"/>
              </w:rPr>
            </w:pPr>
            <w:r>
              <w:rPr>
                <w:rFonts w:ascii="Arial" w:cs="Arial" w:eastAsia="Arial" w:hAnsi="Arial"/>
                <w:sz w:val="12"/>
                <w:szCs w:val="12"/>
                <w:color w:val="auto"/>
              </w:rPr>
              <w:t>—</w:t>
            </w:r>
          </w:p>
        </w:tc>
        <w:tc>
          <w:tcPr>
            <w:tcW w:w="86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ind w:left="4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08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7,824</w:t>
            </w:r>
          </w:p>
        </w:tc>
        <w:tc>
          <w:tcPr>
            <w:tcW w:w="540" w:type="dxa"/>
            <w:vAlign w:val="bottom"/>
          </w:tcPr>
          <w:p>
            <w:pPr>
              <w:jc w:val="right"/>
              <w:ind w:right="238"/>
              <w:spacing w:after="0"/>
              <w:rPr>
                <w:sz w:val="20"/>
                <w:szCs w:val="20"/>
                <w:color w:val="auto"/>
              </w:rPr>
            </w:pPr>
            <w:r>
              <w:rPr>
                <w:rFonts w:ascii="Arial" w:cs="Arial" w:eastAsia="Arial" w:hAnsi="Arial"/>
                <w:sz w:val="12"/>
                <w:szCs w:val="12"/>
                <w:color w:val="auto"/>
              </w:rPr>
              <w:t>(2)</w:t>
            </w:r>
          </w:p>
        </w:tc>
        <w:tc>
          <w:tcPr>
            <w:tcW w:w="800" w:type="dxa"/>
            <w:vAlign w:val="bottom"/>
          </w:tcPr>
          <w:p>
            <w:pPr>
              <w:jc w:val="right"/>
              <w:spacing w:after="0"/>
              <w:rPr>
                <w:sz w:val="20"/>
                <w:szCs w:val="20"/>
                <w:color w:val="auto"/>
              </w:rPr>
            </w:pPr>
            <w:r>
              <w:rPr>
                <w:rFonts w:ascii="Arial" w:cs="Arial" w:eastAsia="Arial" w:hAnsi="Arial"/>
                <w:sz w:val="12"/>
                <w:szCs w:val="12"/>
                <w:color w:val="auto"/>
              </w:rPr>
              <w:t>655,338</w:t>
            </w:r>
          </w:p>
        </w:tc>
      </w:tr>
      <w:tr>
        <w:trPr>
          <w:trHeight w:val="147"/>
        </w:trPr>
        <w:tc>
          <w:tcPr>
            <w:tcW w:w="1740" w:type="dxa"/>
            <w:vAlign w:val="bottom"/>
          </w:tcPr>
          <w:p>
            <w:pPr>
              <w:spacing w:after="0"/>
              <w:rPr>
                <w:sz w:val="12"/>
                <w:szCs w:val="12"/>
                <w:color w:val="auto"/>
              </w:rPr>
            </w:pPr>
          </w:p>
        </w:tc>
        <w:tc>
          <w:tcPr>
            <w:tcW w:w="1240" w:type="dxa"/>
            <w:vAlign w:val="bottom"/>
          </w:tcPr>
          <w:p>
            <w:pPr>
              <w:ind w:left="620"/>
              <w:spacing w:after="0"/>
              <w:rPr>
                <w:sz w:val="20"/>
                <w:szCs w:val="20"/>
                <w:color w:val="auto"/>
              </w:rPr>
            </w:pPr>
            <w:r>
              <w:rPr>
                <w:rFonts w:ascii="Arial" w:cs="Arial" w:eastAsia="Arial" w:hAnsi="Arial"/>
                <w:sz w:val="12"/>
                <w:szCs w:val="12"/>
                <w:color w:val="auto"/>
              </w:rPr>
              <w:t>—</w:t>
            </w:r>
          </w:p>
        </w:tc>
        <w:tc>
          <w:tcPr>
            <w:tcW w:w="1160" w:type="dxa"/>
            <w:vAlign w:val="bottom"/>
          </w:tcPr>
          <w:p>
            <w:pPr>
              <w:ind w:left="500"/>
              <w:spacing w:after="0"/>
              <w:rPr>
                <w:sz w:val="20"/>
                <w:szCs w:val="20"/>
                <w:color w:val="auto"/>
              </w:rPr>
            </w:pPr>
            <w:r>
              <w:rPr>
                <w:rFonts w:ascii="Arial" w:cs="Arial" w:eastAsia="Arial" w:hAnsi="Arial"/>
                <w:sz w:val="12"/>
                <w:szCs w:val="12"/>
                <w:color w:val="auto"/>
              </w:rPr>
              <w:t>—</w:t>
            </w:r>
          </w:p>
        </w:tc>
        <w:tc>
          <w:tcPr>
            <w:tcW w:w="1020" w:type="dxa"/>
            <w:vAlign w:val="bottom"/>
          </w:tcPr>
          <w:p>
            <w:pPr>
              <w:ind w:left="540"/>
              <w:spacing w:after="0"/>
              <w:rPr>
                <w:sz w:val="20"/>
                <w:szCs w:val="20"/>
                <w:color w:val="auto"/>
              </w:rPr>
            </w:pPr>
            <w:r>
              <w:rPr>
                <w:rFonts w:ascii="Arial" w:cs="Arial" w:eastAsia="Arial" w:hAnsi="Arial"/>
                <w:sz w:val="12"/>
                <w:szCs w:val="12"/>
                <w:color w:val="auto"/>
              </w:rPr>
              <w:t>—</w:t>
            </w:r>
          </w:p>
        </w:tc>
        <w:tc>
          <w:tcPr>
            <w:tcW w:w="86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ind w:left="4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08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7,857</w:t>
            </w:r>
          </w:p>
        </w:tc>
        <w:tc>
          <w:tcPr>
            <w:tcW w:w="540" w:type="dxa"/>
            <w:vAlign w:val="bottom"/>
          </w:tcPr>
          <w:p>
            <w:pPr>
              <w:jc w:val="right"/>
              <w:ind w:right="238"/>
              <w:spacing w:after="0"/>
              <w:rPr>
                <w:sz w:val="20"/>
                <w:szCs w:val="20"/>
                <w:color w:val="auto"/>
              </w:rPr>
            </w:pPr>
            <w:r>
              <w:rPr>
                <w:rFonts w:ascii="Arial" w:cs="Arial" w:eastAsia="Arial" w:hAnsi="Arial"/>
                <w:sz w:val="12"/>
                <w:szCs w:val="12"/>
                <w:color w:val="auto"/>
              </w:rPr>
              <w:t>(3)</w:t>
            </w:r>
          </w:p>
        </w:tc>
        <w:tc>
          <w:tcPr>
            <w:tcW w:w="800" w:type="dxa"/>
            <w:vAlign w:val="bottom"/>
          </w:tcPr>
          <w:p>
            <w:pPr>
              <w:jc w:val="right"/>
              <w:spacing w:after="0"/>
              <w:rPr>
                <w:sz w:val="20"/>
                <w:szCs w:val="20"/>
                <w:color w:val="auto"/>
              </w:rPr>
            </w:pPr>
            <w:r>
              <w:rPr>
                <w:rFonts w:ascii="Arial" w:cs="Arial" w:eastAsia="Arial" w:hAnsi="Arial"/>
                <w:sz w:val="12"/>
                <w:szCs w:val="12"/>
                <w:color w:val="auto"/>
              </w:rPr>
              <w:t>658,102</w:t>
            </w:r>
          </w:p>
        </w:tc>
      </w:tr>
      <w:tr>
        <w:trPr>
          <w:trHeight w:val="147"/>
        </w:trPr>
        <w:tc>
          <w:tcPr>
            <w:tcW w:w="1740" w:type="dxa"/>
            <w:vAlign w:val="bottom"/>
          </w:tcPr>
          <w:p>
            <w:pPr>
              <w:spacing w:after="0"/>
              <w:rPr>
                <w:sz w:val="12"/>
                <w:szCs w:val="12"/>
                <w:color w:val="auto"/>
              </w:rPr>
            </w:pPr>
          </w:p>
        </w:tc>
        <w:tc>
          <w:tcPr>
            <w:tcW w:w="1240" w:type="dxa"/>
            <w:vAlign w:val="bottom"/>
          </w:tcPr>
          <w:p>
            <w:pPr>
              <w:ind w:left="620"/>
              <w:spacing w:after="0"/>
              <w:rPr>
                <w:sz w:val="20"/>
                <w:szCs w:val="20"/>
                <w:color w:val="auto"/>
              </w:rPr>
            </w:pPr>
            <w:r>
              <w:rPr>
                <w:rFonts w:ascii="Arial" w:cs="Arial" w:eastAsia="Arial" w:hAnsi="Arial"/>
                <w:sz w:val="12"/>
                <w:szCs w:val="12"/>
                <w:color w:val="auto"/>
              </w:rPr>
              <w:t>—</w:t>
            </w:r>
          </w:p>
        </w:tc>
        <w:tc>
          <w:tcPr>
            <w:tcW w:w="1160" w:type="dxa"/>
            <w:vAlign w:val="bottom"/>
          </w:tcPr>
          <w:p>
            <w:pPr>
              <w:ind w:left="500"/>
              <w:spacing w:after="0"/>
              <w:rPr>
                <w:sz w:val="20"/>
                <w:szCs w:val="20"/>
                <w:color w:val="auto"/>
              </w:rPr>
            </w:pPr>
            <w:r>
              <w:rPr>
                <w:rFonts w:ascii="Arial" w:cs="Arial" w:eastAsia="Arial" w:hAnsi="Arial"/>
                <w:sz w:val="12"/>
                <w:szCs w:val="12"/>
                <w:color w:val="auto"/>
              </w:rPr>
              <w:t>—</w:t>
            </w:r>
          </w:p>
        </w:tc>
        <w:tc>
          <w:tcPr>
            <w:tcW w:w="1020" w:type="dxa"/>
            <w:vAlign w:val="bottom"/>
          </w:tcPr>
          <w:p>
            <w:pPr>
              <w:ind w:left="540"/>
              <w:spacing w:after="0"/>
              <w:rPr>
                <w:sz w:val="20"/>
                <w:szCs w:val="20"/>
                <w:color w:val="auto"/>
              </w:rPr>
            </w:pPr>
            <w:r>
              <w:rPr>
                <w:rFonts w:ascii="Arial" w:cs="Arial" w:eastAsia="Arial" w:hAnsi="Arial"/>
                <w:sz w:val="12"/>
                <w:szCs w:val="12"/>
                <w:color w:val="auto"/>
              </w:rPr>
              <w:t>—</w:t>
            </w:r>
          </w:p>
        </w:tc>
        <w:tc>
          <w:tcPr>
            <w:tcW w:w="86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ind w:left="4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2,324</w:t>
            </w:r>
          </w:p>
        </w:tc>
        <w:tc>
          <w:tcPr>
            <w:tcW w:w="420" w:type="dxa"/>
            <w:vAlign w:val="bottom"/>
          </w:tcPr>
          <w:p>
            <w:pPr>
              <w:jc w:val="right"/>
              <w:ind w:right="158"/>
              <w:spacing w:after="0"/>
              <w:rPr>
                <w:sz w:val="20"/>
                <w:szCs w:val="20"/>
                <w:color w:val="auto"/>
              </w:rPr>
            </w:pPr>
            <w:r>
              <w:rPr>
                <w:rFonts w:ascii="Arial" w:cs="Arial" w:eastAsia="Arial" w:hAnsi="Arial"/>
                <w:sz w:val="12"/>
                <w:szCs w:val="12"/>
                <w:color w:val="auto"/>
              </w:rPr>
              <w:t>(4)</w:t>
            </w:r>
          </w:p>
        </w:tc>
        <w:tc>
          <w:tcPr>
            <w:tcW w:w="1080" w:type="dxa"/>
            <w:vAlign w:val="bottom"/>
          </w:tcPr>
          <w:p>
            <w:pPr>
              <w:jc w:val="right"/>
              <w:ind w:right="378"/>
              <w:spacing w:after="0"/>
              <w:rPr>
                <w:sz w:val="20"/>
                <w:szCs w:val="20"/>
                <w:color w:val="auto"/>
              </w:rPr>
            </w:pPr>
            <w:r>
              <w:rPr>
                <w:rFonts w:ascii="Arial" w:cs="Arial" w:eastAsia="Arial" w:hAnsi="Arial"/>
                <w:sz w:val="12"/>
                <w:szCs w:val="12"/>
                <w:color w:val="auto"/>
              </w:rPr>
              <w:t>194,658</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8"/>
        </w:trPr>
        <w:tc>
          <w:tcPr>
            <w:tcW w:w="17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tcPr>
          <w:p>
            <w:pPr>
              <w:ind w:left="50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ind w:left="54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ind w:left="34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ind w:left="40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10,737</w:t>
            </w:r>
          </w:p>
        </w:tc>
        <w:tc>
          <w:tcPr>
            <w:tcW w:w="54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899,331</w:t>
            </w:r>
          </w:p>
        </w:tc>
      </w:tr>
      <w:tr>
        <w:trPr>
          <w:trHeight w:val="140"/>
        </w:trPr>
        <w:tc>
          <w:tcPr>
            <w:tcW w:w="1740" w:type="dxa"/>
            <w:vAlign w:val="bottom"/>
          </w:tcPr>
          <w:p>
            <w:pPr>
              <w:ind w:left="140"/>
              <w:spacing w:after="0"/>
              <w:rPr>
                <w:sz w:val="20"/>
                <w:szCs w:val="20"/>
                <w:color w:val="auto"/>
              </w:rPr>
            </w:pPr>
            <w:r>
              <w:rPr>
                <w:rFonts w:ascii="Arial" w:cs="Arial" w:eastAsia="Arial" w:hAnsi="Arial"/>
                <w:sz w:val="12"/>
                <w:szCs w:val="12"/>
                <w:color w:val="auto"/>
              </w:rPr>
              <w:t>Sharon M. Crofts</w:t>
            </w:r>
          </w:p>
        </w:tc>
        <w:tc>
          <w:tcPr>
            <w:tcW w:w="1240" w:type="dxa"/>
            <w:vAlign w:val="bottom"/>
          </w:tcPr>
          <w:p>
            <w:pPr>
              <w:ind w:left="620"/>
              <w:spacing w:after="0"/>
              <w:rPr>
                <w:sz w:val="20"/>
                <w:szCs w:val="20"/>
                <w:color w:val="auto"/>
              </w:rPr>
            </w:pPr>
            <w:r>
              <w:rPr>
                <w:rFonts w:ascii="Arial" w:cs="Arial" w:eastAsia="Arial" w:hAnsi="Arial"/>
                <w:sz w:val="12"/>
                <w:szCs w:val="12"/>
                <w:color w:val="auto"/>
              </w:rPr>
              <w:t>—</w:t>
            </w:r>
          </w:p>
        </w:tc>
        <w:tc>
          <w:tcPr>
            <w:tcW w:w="1160" w:type="dxa"/>
            <w:vAlign w:val="bottom"/>
          </w:tcPr>
          <w:p>
            <w:pPr>
              <w:ind w:left="500"/>
              <w:spacing w:after="0"/>
              <w:rPr>
                <w:sz w:val="20"/>
                <w:szCs w:val="20"/>
                <w:color w:val="auto"/>
              </w:rPr>
            </w:pPr>
            <w:r>
              <w:rPr>
                <w:rFonts w:ascii="Arial" w:cs="Arial" w:eastAsia="Arial" w:hAnsi="Arial"/>
                <w:sz w:val="12"/>
                <w:szCs w:val="12"/>
                <w:color w:val="auto"/>
              </w:rPr>
              <w:t>—</w:t>
            </w:r>
          </w:p>
        </w:tc>
        <w:tc>
          <w:tcPr>
            <w:tcW w:w="1020" w:type="dxa"/>
            <w:vAlign w:val="bottom"/>
          </w:tcPr>
          <w:p>
            <w:pPr>
              <w:ind w:left="540"/>
              <w:spacing w:after="0"/>
              <w:rPr>
                <w:sz w:val="20"/>
                <w:szCs w:val="20"/>
                <w:color w:val="auto"/>
              </w:rPr>
            </w:pPr>
            <w:r>
              <w:rPr>
                <w:rFonts w:ascii="Arial" w:cs="Arial" w:eastAsia="Arial" w:hAnsi="Arial"/>
                <w:sz w:val="12"/>
                <w:szCs w:val="12"/>
                <w:color w:val="auto"/>
              </w:rPr>
              <w:t>—</w:t>
            </w:r>
          </w:p>
        </w:tc>
        <w:tc>
          <w:tcPr>
            <w:tcW w:w="86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ind w:left="4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08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5,731</w:t>
            </w:r>
          </w:p>
        </w:tc>
        <w:tc>
          <w:tcPr>
            <w:tcW w:w="540" w:type="dxa"/>
            <w:vAlign w:val="bottom"/>
          </w:tcPr>
          <w:p>
            <w:pPr>
              <w:jc w:val="right"/>
              <w:ind w:right="238"/>
              <w:spacing w:after="0"/>
              <w:rPr>
                <w:sz w:val="20"/>
                <w:szCs w:val="20"/>
                <w:color w:val="auto"/>
              </w:rPr>
            </w:pPr>
            <w:r>
              <w:rPr>
                <w:rFonts w:ascii="Arial" w:cs="Arial" w:eastAsia="Arial" w:hAnsi="Arial"/>
                <w:sz w:val="12"/>
                <w:szCs w:val="12"/>
                <w:color w:val="auto"/>
              </w:rPr>
              <w:t>(1)</w:t>
            </w:r>
          </w:p>
        </w:tc>
        <w:tc>
          <w:tcPr>
            <w:tcW w:w="800" w:type="dxa"/>
            <w:vAlign w:val="bottom"/>
          </w:tcPr>
          <w:p>
            <w:pPr>
              <w:jc w:val="right"/>
              <w:spacing w:after="0"/>
              <w:rPr>
                <w:sz w:val="20"/>
                <w:szCs w:val="20"/>
                <w:color w:val="auto"/>
              </w:rPr>
            </w:pPr>
            <w:r>
              <w:rPr>
                <w:rFonts w:ascii="Arial" w:cs="Arial" w:eastAsia="Arial" w:hAnsi="Arial"/>
                <w:sz w:val="12"/>
                <w:szCs w:val="12"/>
                <w:color w:val="auto"/>
              </w:rPr>
              <w:t>480,029</w:t>
            </w:r>
          </w:p>
        </w:tc>
      </w:tr>
      <w:tr>
        <w:trPr>
          <w:trHeight w:val="147"/>
        </w:trPr>
        <w:tc>
          <w:tcPr>
            <w:tcW w:w="1740" w:type="dxa"/>
            <w:vAlign w:val="bottom"/>
          </w:tcPr>
          <w:p>
            <w:pPr>
              <w:spacing w:after="0"/>
              <w:rPr>
                <w:sz w:val="12"/>
                <w:szCs w:val="12"/>
                <w:color w:val="auto"/>
              </w:rPr>
            </w:pPr>
          </w:p>
        </w:tc>
        <w:tc>
          <w:tcPr>
            <w:tcW w:w="1240" w:type="dxa"/>
            <w:vAlign w:val="bottom"/>
          </w:tcPr>
          <w:p>
            <w:pPr>
              <w:ind w:left="620"/>
              <w:spacing w:after="0"/>
              <w:rPr>
                <w:sz w:val="20"/>
                <w:szCs w:val="20"/>
                <w:color w:val="auto"/>
              </w:rPr>
            </w:pPr>
            <w:r>
              <w:rPr>
                <w:rFonts w:ascii="Arial" w:cs="Arial" w:eastAsia="Arial" w:hAnsi="Arial"/>
                <w:sz w:val="12"/>
                <w:szCs w:val="12"/>
                <w:color w:val="auto"/>
              </w:rPr>
              <w:t>—</w:t>
            </w:r>
          </w:p>
        </w:tc>
        <w:tc>
          <w:tcPr>
            <w:tcW w:w="1160" w:type="dxa"/>
            <w:vAlign w:val="bottom"/>
          </w:tcPr>
          <w:p>
            <w:pPr>
              <w:ind w:left="500"/>
              <w:spacing w:after="0"/>
              <w:rPr>
                <w:sz w:val="20"/>
                <w:szCs w:val="20"/>
                <w:color w:val="auto"/>
              </w:rPr>
            </w:pPr>
            <w:r>
              <w:rPr>
                <w:rFonts w:ascii="Arial" w:cs="Arial" w:eastAsia="Arial" w:hAnsi="Arial"/>
                <w:sz w:val="12"/>
                <w:szCs w:val="12"/>
                <w:color w:val="auto"/>
              </w:rPr>
              <w:t>—</w:t>
            </w:r>
          </w:p>
        </w:tc>
        <w:tc>
          <w:tcPr>
            <w:tcW w:w="1020" w:type="dxa"/>
            <w:vAlign w:val="bottom"/>
          </w:tcPr>
          <w:p>
            <w:pPr>
              <w:ind w:left="540"/>
              <w:spacing w:after="0"/>
              <w:rPr>
                <w:sz w:val="20"/>
                <w:szCs w:val="20"/>
                <w:color w:val="auto"/>
              </w:rPr>
            </w:pPr>
            <w:r>
              <w:rPr>
                <w:rFonts w:ascii="Arial" w:cs="Arial" w:eastAsia="Arial" w:hAnsi="Arial"/>
                <w:sz w:val="12"/>
                <w:szCs w:val="12"/>
                <w:color w:val="auto"/>
              </w:rPr>
              <w:t>—</w:t>
            </w:r>
          </w:p>
        </w:tc>
        <w:tc>
          <w:tcPr>
            <w:tcW w:w="86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ind w:left="4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08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6,707</w:t>
            </w:r>
          </w:p>
        </w:tc>
        <w:tc>
          <w:tcPr>
            <w:tcW w:w="540" w:type="dxa"/>
            <w:vAlign w:val="bottom"/>
          </w:tcPr>
          <w:p>
            <w:pPr>
              <w:jc w:val="right"/>
              <w:ind w:right="238"/>
              <w:spacing w:after="0"/>
              <w:rPr>
                <w:sz w:val="20"/>
                <w:szCs w:val="20"/>
                <w:color w:val="auto"/>
              </w:rPr>
            </w:pPr>
            <w:r>
              <w:rPr>
                <w:rFonts w:ascii="Arial" w:cs="Arial" w:eastAsia="Arial" w:hAnsi="Arial"/>
                <w:sz w:val="12"/>
                <w:szCs w:val="12"/>
                <w:color w:val="auto"/>
              </w:rPr>
              <w:t>(2)</w:t>
            </w:r>
          </w:p>
        </w:tc>
        <w:tc>
          <w:tcPr>
            <w:tcW w:w="800" w:type="dxa"/>
            <w:vAlign w:val="bottom"/>
          </w:tcPr>
          <w:p>
            <w:pPr>
              <w:jc w:val="right"/>
              <w:spacing w:after="0"/>
              <w:rPr>
                <w:sz w:val="20"/>
                <w:szCs w:val="20"/>
                <w:color w:val="auto"/>
              </w:rPr>
            </w:pPr>
            <w:r>
              <w:rPr>
                <w:rFonts w:ascii="Arial" w:cs="Arial" w:eastAsia="Arial" w:hAnsi="Arial"/>
                <w:sz w:val="12"/>
                <w:szCs w:val="12"/>
                <w:color w:val="auto"/>
              </w:rPr>
              <w:t>561,778</w:t>
            </w:r>
          </w:p>
        </w:tc>
      </w:tr>
      <w:tr>
        <w:trPr>
          <w:trHeight w:val="147"/>
        </w:trPr>
        <w:tc>
          <w:tcPr>
            <w:tcW w:w="1740" w:type="dxa"/>
            <w:vAlign w:val="bottom"/>
          </w:tcPr>
          <w:p>
            <w:pPr>
              <w:spacing w:after="0"/>
              <w:rPr>
                <w:sz w:val="12"/>
                <w:szCs w:val="12"/>
                <w:color w:val="auto"/>
              </w:rPr>
            </w:pPr>
          </w:p>
        </w:tc>
        <w:tc>
          <w:tcPr>
            <w:tcW w:w="1240" w:type="dxa"/>
            <w:vAlign w:val="bottom"/>
          </w:tcPr>
          <w:p>
            <w:pPr>
              <w:ind w:left="620"/>
              <w:spacing w:after="0"/>
              <w:rPr>
                <w:sz w:val="20"/>
                <w:szCs w:val="20"/>
                <w:color w:val="auto"/>
              </w:rPr>
            </w:pPr>
            <w:r>
              <w:rPr>
                <w:rFonts w:ascii="Arial" w:cs="Arial" w:eastAsia="Arial" w:hAnsi="Arial"/>
                <w:sz w:val="12"/>
                <w:szCs w:val="12"/>
                <w:color w:val="auto"/>
              </w:rPr>
              <w:t>—</w:t>
            </w:r>
          </w:p>
        </w:tc>
        <w:tc>
          <w:tcPr>
            <w:tcW w:w="1160" w:type="dxa"/>
            <w:vAlign w:val="bottom"/>
          </w:tcPr>
          <w:p>
            <w:pPr>
              <w:ind w:left="500"/>
              <w:spacing w:after="0"/>
              <w:rPr>
                <w:sz w:val="20"/>
                <w:szCs w:val="20"/>
                <w:color w:val="auto"/>
              </w:rPr>
            </w:pPr>
            <w:r>
              <w:rPr>
                <w:rFonts w:ascii="Arial" w:cs="Arial" w:eastAsia="Arial" w:hAnsi="Arial"/>
                <w:sz w:val="12"/>
                <w:szCs w:val="12"/>
                <w:color w:val="auto"/>
              </w:rPr>
              <w:t>—</w:t>
            </w:r>
          </w:p>
        </w:tc>
        <w:tc>
          <w:tcPr>
            <w:tcW w:w="1020" w:type="dxa"/>
            <w:vAlign w:val="bottom"/>
          </w:tcPr>
          <w:p>
            <w:pPr>
              <w:ind w:left="540"/>
              <w:spacing w:after="0"/>
              <w:rPr>
                <w:sz w:val="20"/>
                <w:szCs w:val="20"/>
                <w:color w:val="auto"/>
              </w:rPr>
            </w:pPr>
            <w:r>
              <w:rPr>
                <w:rFonts w:ascii="Arial" w:cs="Arial" w:eastAsia="Arial" w:hAnsi="Arial"/>
                <w:sz w:val="12"/>
                <w:szCs w:val="12"/>
                <w:color w:val="auto"/>
              </w:rPr>
              <w:t>—</w:t>
            </w:r>
          </w:p>
        </w:tc>
        <w:tc>
          <w:tcPr>
            <w:tcW w:w="86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ind w:left="4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08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16,105</w:t>
            </w:r>
          </w:p>
        </w:tc>
        <w:tc>
          <w:tcPr>
            <w:tcW w:w="540" w:type="dxa"/>
            <w:vAlign w:val="bottom"/>
          </w:tcPr>
          <w:p>
            <w:pPr>
              <w:jc w:val="right"/>
              <w:ind w:right="238"/>
              <w:spacing w:after="0"/>
              <w:rPr>
                <w:sz w:val="20"/>
                <w:szCs w:val="20"/>
                <w:color w:val="auto"/>
              </w:rPr>
            </w:pPr>
            <w:r>
              <w:rPr>
                <w:rFonts w:ascii="Arial" w:cs="Arial" w:eastAsia="Arial" w:hAnsi="Arial"/>
                <w:sz w:val="12"/>
                <w:szCs w:val="12"/>
                <w:color w:val="auto"/>
              </w:rPr>
              <w:t>(5)</w:t>
            </w:r>
          </w:p>
        </w:tc>
        <w:tc>
          <w:tcPr>
            <w:tcW w:w="800" w:type="dxa"/>
            <w:vAlign w:val="bottom"/>
          </w:tcPr>
          <w:p>
            <w:pPr>
              <w:jc w:val="right"/>
              <w:spacing w:after="0"/>
              <w:rPr>
                <w:sz w:val="20"/>
                <w:szCs w:val="20"/>
                <w:color w:val="auto"/>
              </w:rPr>
            </w:pPr>
            <w:r>
              <w:rPr>
                <w:rFonts w:ascii="Arial" w:cs="Arial" w:eastAsia="Arial" w:hAnsi="Arial"/>
                <w:sz w:val="12"/>
                <w:szCs w:val="12"/>
                <w:color w:val="auto"/>
              </w:rPr>
              <w:t>1,348,955</w:t>
            </w:r>
          </w:p>
        </w:tc>
      </w:tr>
      <w:tr>
        <w:trPr>
          <w:trHeight w:val="148"/>
        </w:trPr>
        <w:tc>
          <w:tcPr>
            <w:tcW w:w="17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tcPr>
          <w:p>
            <w:pPr>
              <w:ind w:left="50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ind w:left="54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ind w:left="34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ind w:left="40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2,324</w:t>
            </w:r>
          </w:p>
        </w:tc>
        <w:tc>
          <w:tcPr>
            <w:tcW w:w="4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(4)</w:t>
            </w:r>
          </w:p>
        </w:tc>
        <w:tc>
          <w:tcPr>
            <w:tcW w:w="108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194,658</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0"/>
        </w:trPr>
        <w:tc>
          <w:tcPr>
            <w:tcW w:w="1740" w:type="dxa"/>
            <w:vAlign w:val="bottom"/>
          </w:tcPr>
          <w:p>
            <w:pPr>
              <w:ind w:left="140"/>
              <w:spacing w:after="0"/>
              <w:rPr>
                <w:sz w:val="20"/>
                <w:szCs w:val="20"/>
                <w:color w:val="auto"/>
              </w:rPr>
            </w:pPr>
            <w:r>
              <w:rPr>
                <w:rFonts w:ascii="Arial" w:cs="Arial" w:eastAsia="Arial" w:hAnsi="Arial"/>
                <w:sz w:val="12"/>
                <w:szCs w:val="12"/>
                <w:color w:val="auto"/>
              </w:rPr>
              <w:t>Mary E. Sellers</w:t>
            </w:r>
          </w:p>
        </w:tc>
        <w:tc>
          <w:tcPr>
            <w:tcW w:w="1240" w:type="dxa"/>
            <w:vAlign w:val="bottom"/>
          </w:tcPr>
          <w:p>
            <w:pPr>
              <w:ind w:left="620"/>
              <w:spacing w:after="0"/>
              <w:rPr>
                <w:sz w:val="20"/>
                <w:szCs w:val="20"/>
                <w:color w:val="auto"/>
              </w:rPr>
            </w:pPr>
            <w:r>
              <w:rPr>
                <w:rFonts w:ascii="Arial" w:cs="Arial" w:eastAsia="Arial" w:hAnsi="Arial"/>
                <w:sz w:val="12"/>
                <w:szCs w:val="12"/>
                <w:color w:val="auto"/>
              </w:rPr>
              <w:t>—</w:t>
            </w:r>
          </w:p>
        </w:tc>
        <w:tc>
          <w:tcPr>
            <w:tcW w:w="1160" w:type="dxa"/>
            <w:vAlign w:val="bottom"/>
          </w:tcPr>
          <w:p>
            <w:pPr>
              <w:ind w:left="500"/>
              <w:spacing w:after="0"/>
              <w:rPr>
                <w:sz w:val="20"/>
                <w:szCs w:val="20"/>
                <w:color w:val="auto"/>
              </w:rPr>
            </w:pPr>
            <w:r>
              <w:rPr>
                <w:rFonts w:ascii="Arial" w:cs="Arial" w:eastAsia="Arial" w:hAnsi="Arial"/>
                <w:sz w:val="12"/>
                <w:szCs w:val="12"/>
                <w:color w:val="auto"/>
              </w:rPr>
              <w:t>—</w:t>
            </w:r>
          </w:p>
        </w:tc>
        <w:tc>
          <w:tcPr>
            <w:tcW w:w="1020" w:type="dxa"/>
            <w:vAlign w:val="bottom"/>
          </w:tcPr>
          <w:p>
            <w:pPr>
              <w:ind w:left="540"/>
              <w:spacing w:after="0"/>
              <w:rPr>
                <w:sz w:val="20"/>
                <w:szCs w:val="20"/>
                <w:color w:val="auto"/>
              </w:rPr>
            </w:pPr>
            <w:r>
              <w:rPr>
                <w:rFonts w:ascii="Arial" w:cs="Arial" w:eastAsia="Arial" w:hAnsi="Arial"/>
                <w:sz w:val="12"/>
                <w:szCs w:val="12"/>
                <w:color w:val="auto"/>
              </w:rPr>
              <w:t>—</w:t>
            </w:r>
          </w:p>
        </w:tc>
        <w:tc>
          <w:tcPr>
            <w:tcW w:w="86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ind w:left="4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08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6,033</w:t>
            </w:r>
          </w:p>
        </w:tc>
        <w:tc>
          <w:tcPr>
            <w:tcW w:w="540" w:type="dxa"/>
            <w:vAlign w:val="bottom"/>
          </w:tcPr>
          <w:p>
            <w:pPr>
              <w:jc w:val="right"/>
              <w:ind w:right="238"/>
              <w:spacing w:after="0"/>
              <w:rPr>
                <w:sz w:val="20"/>
                <w:szCs w:val="20"/>
                <w:color w:val="auto"/>
              </w:rPr>
            </w:pPr>
            <w:r>
              <w:rPr>
                <w:rFonts w:ascii="Arial" w:cs="Arial" w:eastAsia="Arial" w:hAnsi="Arial"/>
                <w:sz w:val="12"/>
                <w:szCs w:val="12"/>
                <w:color w:val="auto"/>
              </w:rPr>
              <w:t>(1)</w:t>
            </w:r>
          </w:p>
        </w:tc>
        <w:tc>
          <w:tcPr>
            <w:tcW w:w="800" w:type="dxa"/>
            <w:vAlign w:val="bottom"/>
          </w:tcPr>
          <w:p>
            <w:pPr>
              <w:jc w:val="right"/>
              <w:spacing w:after="0"/>
              <w:rPr>
                <w:sz w:val="20"/>
                <w:szCs w:val="20"/>
                <w:color w:val="auto"/>
              </w:rPr>
            </w:pPr>
            <w:r>
              <w:rPr>
                <w:rFonts w:ascii="Arial" w:cs="Arial" w:eastAsia="Arial" w:hAnsi="Arial"/>
                <w:sz w:val="12"/>
                <w:szCs w:val="12"/>
                <w:color w:val="auto"/>
              </w:rPr>
              <w:t>505,324</w:t>
            </w:r>
          </w:p>
        </w:tc>
      </w:tr>
      <w:tr>
        <w:trPr>
          <w:trHeight w:val="147"/>
        </w:trPr>
        <w:tc>
          <w:tcPr>
            <w:tcW w:w="1740" w:type="dxa"/>
            <w:vAlign w:val="bottom"/>
          </w:tcPr>
          <w:p>
            <w:pPr>
              <w:spacing w:after="0"/>
              <w:rPr>
                <w:sz w:val="12"/>
                <w:szCs w:val="12"/>
                <w:color w:val="auto"/>
              </w:rPr>
            </w:pPr>
          </w:p>
        </w:tc>
        <w:tc>
          <w:tcPr>
            <w:tcW w:w="1240" w:type="dxa"/>
            <w:vAlign w:val="bottom"/>
          </w:tcPr>
          <w:p>
            <w:pPr>
              <w:ind w:left="620"/>
              <w:spacing w:after="0"/>
              <w:rPr>
                <w:sz w:val="20"/>
                <w:szCs w:val="20"/>
                <w:color w:val="auto"/>
              </w:rPr>
            </w:pPr>
            <w:r>
              <w:rPr>
                <w:rFonts w:ascii="Arial" w:cs="Arial" w:eastAsia="Arial" w:hAnsi="Arial"/>
                <w:sz w:val="12"/>
                <w:szCs w:val="12"/>
                <w:color w:val="auto"/>
              </w:rPr>
              <w:t>—</w:t>
            </w:r>
          </w:p>
        </w:tc>
        <w:tc>
          <w:tcPr>
            <w:tcW w:w="1160" w:type="dxa"/>
            <w:vAlign w:val="bottom"/>
          </w:tcPr>
          <w:p>
            <w:pPr>
              <w:ind w:left="500"/>
              <w:spacing w:after="0"/>
              <w:rPr>
                <w:sz w:val="20"/>
                <w:szCs w:val="20"/>
                <w:color w:val="auto"/>
              </w:rPr>
            </w:pPr>
            <w:r>
              <w:rPr>
                <w:rFonts w:ascii="Arial" w:cs="Arial" w:eastAsia="Arial" w:hAnsi="Arial"/>
                <w:sz w:val="12"/>
                <w:szCs w:val="12"/>
                <w:color w:val="auto"/>
              </w:rPr>
              <w:t>—</w:t>
            </w:r>
          </w:p>
        </w:tc>
        <w:tc>
          <w:tcPr>
            <w:tcW w:w="1020" w:type="dxa"/>
            <w:vAlign w:val="bottom"/>
          </w:tcPr>
          <w:p>
            <w:pPr>
              <w:ind w:left="540"/>
              <w:spacing w:after="0"/>
              <w:rPr>
                <w:sz w:val="20"/>
                <w:szCs w:val="20"/>
                <w:color w:val="auto"/>
              </w:rPr>
            </w:pPr>
            <w:r>
              <w:rPr>
                <w:rFonts w:ascii="Arial" w:cs="Arial" w:eastAsia="Arial" w:hAnsi="Arial"/>
                <w:sz w:val="12"/>
                <w:szCs w:val="12"/>
                <w:color w:val="auto"/>
              </w:rPr>
              <w:t>—</w:t>
            </w:r>
          </w:p>
        </w:tc>
        <w:tc>
          <w:tcPr>
            <w:tcW w:w="86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ind w:left="4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08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7,824</w:t>
            </w:r>
          </w:p>
        </w:tc>
        <w:tc>
          <w:tcPr>
            <w:tcW w:w="540" w:type="dxa"/>
            <w:vAlign w:val="bottom"/>
          </w:tcPr>
          <w:p>
            <w:pPr>
              <w:jc w:val="right"/>
              <w:ind w:right="238"/>
              <w:spacing w:after="0"/>
              <w:rPr>
                <w:sz w:val="20"/>
                <w:szCs w:val="20"/>
                <w:color w:val="auto"/>
              </w:rPr>
            </w:pPr>
            <w:r>
              <w:rPr>
                <w:rFonts w:ascii="Arial" w:cs="Arial" w:eastAsia="Arial" w:hAnsi="Arial"/>
                <w:sz w:val="12"/>
                <w:szCs w:val="12"/>
                <w:color w:val="auto"/>
              </w:rPr>
              <w:t>(2)</w:t>
            </w:r>
          </w:p>
        </w:tc>
        <w:tc>
          <w:tcPr>
            <w:tcW w:w="800" w:type="dxa"/>
            <w:vAlign w:val="bottom"/>
          </w:tcPr>
          <w:p>
            <w:pPr>
              <w:jc w:val="right"/>
              <w:spacing w:after="0"/>
              <w:rPr>
                <w:sz w:val="20"/>
                <w:szCs w:val="20"/>
                <w:color w:val="auto"/>
              </w:rPr>
            </w:pPr>
            <w:r>
              <w:rPr>
                <w:rFonts w:ascii="Arial" w:cs="Arial" w:eastAsia="Arial" w:hAnsi="Arial"/>
                <w:sz w:val="12"/>
                <w:szCs w:val="12"/>
                <w:color w:val="auto"/>
              </w:rPr>
              <w:t>655,338</w:t>
            </w:r>
          </w:p>
        </w:tc>
      </w:tr>
      <w:tr>
        <w:trPr>
          <w:trHeight w:val="147"/>
        </w:trPr>
        <w:tc>
          <w:tcPr>
            <w:tcW w:w="1740" w:type="dxa"/>
            <w:vAlign w:val="bottom"/>
          </w:tcPr>
          <w:p>
            <w:pPr>
              <w:spacing w:after="0"/>
              <w:rPr>
                <w:sz w:val="12"/>
                <w:szCs w:val="12"/>
                <w:color w:val="auto"/>
              </w:rPr>
            </w:pPr>
          </w:p>
        </w:tc>
        <w:tc>
          <w:tcPr>
            <w:tcW w:w="1240" w:type="dxa"/>
            <w:vAlign w:val="bottom"/>
          </w:tcPr>
          <w:p>
            <w:pPr>
              <w:ind w:left="620"/>
              <w:spacing w:after="0"/>
              <w:rPr>
                <w:sz w:val="20"/>
                <w:szCs w:val="20"/>
                <w:color w:val="auto"/>
              </w:rPr>
            </w:pPr>
            <w:r>
              <w:rPr>
                <w:rFonts w:ascii="Arial" w:cs="Arial" w:eastAsia="Arial" w:hAnsi="Arial"/>
                <w:sz w:val="12"/>
                <w:szCs w:val="12"/>
                <w:color w:val="auto"/>
              </w:rPr>
              <w:t>—</w:t>
            </w:r>
          </w:p>
        </w:tc>
        <w:tc>
          <w:tcPr>
            <w:tcW w:w="1160" w:type="dxa"/>
            <w:vAlign w:val="bottom"/>
          </w:tcPr>
          <w:p>
            <w:pPr>
              <w:ind w:left="500"/>
              <w:spacing w:after="0"/>
              <w:rPr>
                <w:sz w:val="20"/>
                <w:szCs w:val="20"/>
                <w:color w:val="auto"/>
              </w:rPr>
            </w:pPr>
            <w:r>
              <w:rPr>
                <w:rFonts w:ascii="Arial" w:cs="Arial" w:eastAsia="Arial" w:hAnsi="Arial"/>
                <w:sz w:val="12"/>
                <w:szCs w:val="12"/>
                <w:color w:val="auto"/>
              </w:rPr>
              <w:t>—</w:t>
            </w:r>
          </w:p>
        </w:tc>
        <w:tc>
          <w:tcPr>
            <w:tcW w:w="1020" w:type="dxa"/>
            <w:vAlign w:val="bottom"/>
          </w:tcPr>
          <w:p>
            <w:pPr>
              <w:ind w:left="540"/>
              <w:spacing w:after="0"/>
              <w:rPr>
                <w:sz w:val="20"/>
                <w:szCs w:val="20"/>
                <w:color w:val="auto"/>
              </w:rPr>
            </w:pPr>
            <w:r>
              <w:rPr>
                <w:rFonts w:ascii="Arial" w:cs="Arial" w:eastAsia="Arial" w:hAnsi="Arial"/>
                <w:sz w:val="12"/>
                <w:szCs w:val="12"/>
                <w:color w:val="auto"/>
              </w:rPr>
              <w:t>—</w:t>
            </w:r>
          </w:p>
        </w:tc>
        <w:tc>
          <w:tcPr>
            <w:tcW w:w="86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ind w:left="4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08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24,158</w:t>
            </w:r>
          </w:p>
        </w:tc>
        <w:tc>
          <w:tcPr>
            <w:tcW w:w="540" w:type="dxa"/>
            <w:vAlign w:val="bottom"/>
          </w:tcPr>
          <w:p>
            <w:pPr>
              <w:jc w:val="right"/>
              <w:ind w:right="238"/>
              <w:spacing w:after="0"/>
              <w:rPr>
                <w:sz w:val="20"/>
                <w:szCs w:val="20"/>
                <w:color w:val="auto"/>
              </w:rPr>
            </w:pPr>
            <w:r>
              <w:rPr>
                <w:rFonts w:ascii="Arial" w:cs="Arial" w:eastAsia="Arial" w:hAnsi="Arial"/>
                <w:sz w:val="12"/>
                <w:szCs w:val="12"/>
                <w:color w:val="auto"/>
              </w:rPr>
              <w:t>(5)</w:t>
            </w:r>
          </w:p>
        </w:tc>
        <w:tc>
          <w:tcPr>
            <w:tcW w:w="800" w:type="dxa"/>
            <w:vAlign w:val="bottom"/>
          </w:tcPr>
          <w:p>
            <w:pPr>
              <w:jc w:val="right"/>
              <w:spacing w:after="0"/>
              <w:rPr>
                <w:sz w:val="20"/>
                <w:szCs w:val="20"/>
                <w:color w:val="auto"/>
              </w:rPr>
            </w:pPr>
            <w:r>
              <w:rPr>
                <w:rFonts w:ascii="Arial" w:cs="Arial" w:eastAsia="Arial" w:hAnsi="Arial"/>
                <w:sz w:val="12"/>
                <w:szCs w:val="12"/>
                <w:color w:val="auto"/>
              </w:rPr>
              <w:t>2,023,474</w:t>
            </w:r>
          </w:p>
        </w:tc>
      </w:tr>
      <w:tr>
        <w:trPr>
          <w:trHeight w:val="157"/>
        </w:trPr>
        <w:tc>
          <w:tcPr>
            <w:tcW w:w="1740" w:type="dxa"/>
            <w:vAlign w:val="bottom"/>
          </w:tcPr>
          <w:p>
            <w:pPr>
              <w:spacing w:after="0"/>
              <w:rPr>
                <w:sz w:val="13"/>
                <w:szCs w:val="13"/>
                <w:color w:val="auto"/>
              </w:rPr>
            </w:pPr>
          </w:p>
        </w:tc>
        <w:tc>
          <w:tcPr>
            <w:tcW w:w="1240" w:type="dxa"/>
            <w:vAlign w:val="bottom"/>
          </w:tcPr>
          <w:p>
            <w:pPr>
              <w:ind w:left="620"/>
              <w:spacing w:after="0"/>
              <w:rPr>
                <w:sz w:val="20"/>
                <w:szCs w:val="20"/>
                <w:color w:val="auto"/>
              </w:rPr>
            </w:pPr>
            <w:r>
              <w:rPr>
                <w:rFonts w:ascii="Arial" w:cs="Arial" w:eastAsia="Arial" w:hAnsi="Arial"/>
                <w:sz w:val="12"/>
                <w:szCs w:val="12"/>
                <w:color w:val="auto"/>
              </w:rPr>
              <w:t>—</w:t>
            </w:r>
          </w:p>
        </w:tc>
        <w:tc>
          <w:tcPr>
            <w:tcW w:w="1160" w:type="dxa"/>
            <w:vAlign w:val="bottom"/>
          </w:tcPr>
          <w:p>
            <w:pPr>
              <w:ind w:left="500"/>
              <w:spacing w:after="0"/>
              <w:rPr>
                <w:sz w:val="20"/>
                <w:szCs w:val="20"/>
                <w:color w:val="auto"/>
              </w:rPr>
            </w:pPr>
            <w:r>
              <w:rPr>
                <w:rFonts w:ascii="Arial" w:cs="Arial" w:eastAsia="Arial" w:hAnsi="Arial"/>
                <w:sz w:val="12"/>
                <w:szCs w:val="12"/>
                <w:color w:val="auto"/>
              </w:rPr>
              <w:t>—</w:t>
            </w:r>
          </w:p>
        </w:tc>
        <w:tc>
          <w:tcPr>
            <w:tcW w:w="1020" w:type="dxa"/>
            <w:vAlign w:val="bottom"/>
          </w:tcPr>
          <w:p>
            <w:pPr>
              <w:ind w:left="540"/>
              <w:spacing w:after="0"/>
              <w:rPr>
                <w:sz w:val="20"/>
                <w:szCs w:val="20"/>
                <w:color w:val="auto"/>
              </w:rPr>
            </w:pPr>
            <w:r>
              <w:rPr>
                <w:rFonts w:ascii="Arial" w:cs="Arial" w:eastAsia="Arial" w:hAnsi="Arial"/>
                <w:sz w:val="12"/>
                <w:szCs w:val="12"/>
                <w:color w:val="auto"/>
              </w:rPr>
              <w:t>—</w:t>
            </w:r>
          </w:p>
        </w:tc>
        <w:tc>
          <w:tcPr>
            <w:tcW w:w="86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ind w:left="4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2,517</w:t>
            </w:r>
          </w:p>
        </w:tc>
        <w:tc>
          <w:tcPr>
            <w:tcW w:w="420" w:type="dxa"/>
            <w:vAlign w:val="bottom"/>
          </w:tcPr>
          <w:p>
            <w:pPr>
              <w:jc w:val="right"/>
              <w:ind w:right="158"/>
              <w:spacing w:after="0"/>
              <w:rPr>
                <w:sz w:val="20"/>
                <w:szCs w:val="20"/>
                <w:color w:val="auto"/>
              </w:rPr>
            </w:pPr>
            <w:r>
              <w:rPr>
                <w:rFonts w:ascii="Arial" w:cs="Arial" w:eastAsia="Arial" w:hAnsi="Arial"/>
                <w:sz w:val="12"/>
                <w:szCs w:val="12"/>
                <w:color w:val="auto"/>
              </w:rPr>
              <w:t>(4)</w:t>
            </w:r>
          </w:p>
        </w:tc>
        <w:tc>
          <w:tcPr>
            <w:tcW w:w="1080" w:type="dxa"/>
            <w:vAlign w:val="bottom"/>
          </w:tcPr>
          <w:p>
            <w:pPr>
              <w:jc w:val="right"/>
              <w:ind w:right="378"/>
              <w:spacing w:after="0"/>
              <w:rPr>
                <w:sz w:val="20"/>
                <w:szCs w:val="20"/>
                <w:color w:val="auto"/>
              </w:rPr>
            </w:pPr>
            <w:r>
              <w:rPr>
                <w:rFonts w:ascii="Arial" w:cs="Arial" w:eastAsia="Arial" w:hAnsi="Arial"/>
                <w:sz w:val="12"/>
                <w:szCs w:val="12"/>
                <w:color w:val="auto"/>
              </w:rPr>
              <w:t>210,824</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114" w:lineRule="exact"/>
        <w:rPr>
          <w:sz w:val="20"/>
          <w:szCs w:val="20"/>
          <w:color w:val="auto"/>
        </w:rPr>
      </w:pPr>
    </w:p>
    <w:p>
      <w:pPr>
        <w:ind w:left="400" w:hanging="393"/>
        <w:spacing w:after="0"/>
        <w:tabs>
          <w:tab w:leader="none" w:pos="4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These are performance-based restricted stock in which the performance targets were achieved and vested on February 18, 2022.</w:t>
      </w:r>
    </w:p>
    <w:p>
      <w:pPr>
        <w:spacing w:after="0" w:line="104" w:lineRule="exact"/>
        <w:rPr>
          <w:rFonts w:ascii="Arial" w:cs="Arial" w:eastAsia="Arial" w:hAnsi="Arial"/>
          <w:sz w:val="13"/>
          <w:szCs w:val="13"/>
          <w:color w:val="auto"/>
        </w:rPr>
      </w:pPr>
    </w:p>
    <w:p>
      <w:pPr>
        <w:ind w:left="400" w:hanging="393"/>
        <w:spacing w:after="0"/>
        <w:tabs>
          <w:tab w:leader="none" w:pos="4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These are performance-based restricted stock, which will vest on the date of certification of achievement of service and performance targets by the Committee in 2023.</w:t>
      </w:r>
    </w:p>
    <w:p>
      <w:pPr>
        <w:spacing w:after="0" w:line="104" w:lineRule="exact"/>
        <w:rPr>
          <w:rFonts w:ascii="Arial" w:cs="Arial" w:eastAsia="Arial" w:hAnsi="Arial"/>
          <w:sz w:val="13"/>
          <w:szCs w:val="13"/>
          <w:color w:val="auto"/>
        </w:rPr>
      </w:pPr>
    </w:p>
    <w:p>
      <w:pPr>
        <w:ind w:left="400" w:hanging="393"/>
        <w:spacing w:after="0"/>
        <w:tabs>
          <w:tab w:leader="none" w:pos="4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These are performance-based restricted stock, which will vest on the date of certification of achievement of service and performance targets by the Committee in 2024.</w:t>
      </w:r>
    </w:p>
    <w:p>
      <w:pPr>
        <w:spacing w:after="0" w:line="104" w:lineRule="exact"/>
        <w:rPr>
          <w:rFonts w:ascii="Arial" w:cs="Arial" w:eastAsia="Arial" w:hAnsi="Arial"/>
          <w:sz w:val="13"/>
          <w:szCs w:val="13"/>
          <w:color w:val="auto"/>
        </w:rPr>
      </w:pPr>
    </w:p>
    <w:p>
      <w:pPr>
        <w:ind w:left="400" w:right="200" w:hanging="393"/>
        <w:spacing w:after="0" w:line="270" w:lineRule="auto"/>
        <w:tabs>
          <w:tab w:leader="none" w:pos="4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These are service-based restricted stock issued as part of the performance-based 2020 Executive Incentive Plan payout. One third of the grant vested on February 22, 2022, and the remaining two-thirds with vest dates of February 20, 2023, and February 19, 2024.</w:t>
      </w:r>
    </w:p>
    <w:p>
      <w:pPr>
        <w:spacing w:after="0" w:line="64" w:lineRule="exact"/>
        <w:rPr>
          <w:rFonts w:ascii="Arial" w:cs="Arial" w:eastAsia="Arial" w:hAnsi="Arial"/>
          <w:sz w:val="13"/>
          <w:szCs w:val="13"/>
          <w:color w:val="auto"/>
        </w:rPr>
      </w:pPr>
    </w:p>
    <w:p>
      <w:pPr>
        <w:ind w:left="400" w:hanging="393"/>
        <w:spacing w:after="0"/>
        <w:tabs>
          <w:tab w:leader="none" w:pos="4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These are performance-based restricted stock with a vest date of March 29, 2024.</w:t>
      </w:r>
    </w:p>
    <w:p>
      <w:pPr>
        <w:spacing w:after="0" w:line="104" w:lineRule="exact"/>
        <w:rPr>
          <w:rFonts w:ascii="Arial" w:cs="Arial" w:eastAsia="Arial" w:hAnsi="Arial"/>
          <w:sz w:val="13"/>
          <w:szCs w:val="13"/>
          <w:color w:val="auto"/>
        </w:rPr>
      </w:pPr>
    </w:p>
    <w:p>
      <w:pPr>
        <w:ind w:left="400" w:hanging="393"/>
        <w:spacing w:after="0"/>
        <w:tabs>
          <w:tab w:leader="none" w:pos="4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These are performance-based restricted stock with a vest date of March 31, 2026.</w:t>
      </w:r>
    </w:p>
    <w:p>
      <w:pPr>
        <w:spacing w:after="0" w:line="104" w:lineRule="exact"/>
        <w:rPr>
          <w:rFonts w:ascii="Arial" w:cs="Arial" w:eastAsia="Arial" w:hAnsi="Arial"/>
          <w:sz w:val="13"/>
          <w:szCs w:val="13"/>
          <w:color w:val="auto"/>
        </w:rPr>
      </w:pPr>
    </w:p>
    <w:p>
      <w:pPr>
        <w:ind w:left="400" w:hanging="393"/>
        <w:spacing w:after="0"/>
        <w:tabs>
          <w:tab w:leader="none" w:pos="4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amounts in these columns are based on the closing market stock price of the Company's common stock on December 31, 2021, of $83.76.</w:t>
      </w:r>
    </w:p>
    <w:p>
      <w:pPr>
        <w:spacing w:after="0" w:line="21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340"/>
          </w:cols>
          <w:pgMar w:left="320" w:top="130"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4"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OPTION EXERCISES AND STOCK VESTED</w:t>
      </w:r>
    </w:p>
    <w:p>
      <w:pPr>
        <w:spacing w:after="0" w:line="235" w:lineRule="exact"/>
        <w:rPr>
          <w:sz w:val="20"/>
          <w:szCs w:val="20"/>
          <w:color w:val="auto"/>
        </w:rPr>
      </w:pPr>
    </w:p>
    <w:p>
      <w:pPr>
        <w:ind w:right="20" w:firstLine="546"/>
        <w:spacing w:after="0" w:line="289" w:lineRule="auto"/>
        <w:rPr>
          <w:sz w:val="20"/>
          <w:szCs w:val="20"/>
          <w:color w:val="auto"/>
        </w:rPr>
      </w:pPr>
      <w:r>
        <w:rPr>
          <w:rFonts w:ascii="Arial" w:cs="Arial" w:eastAsia="Arial" w:hAnsi="Arial"/>
          <w:sz w:val="16"/>
          <w:szCs w:val="16"/>
          <w:color w:val="auto"/>
        </w:rPr>
        <w:t>The following table includes values realized for stock options exercised, the vesting of restricted stock, and the payouts on performance-based restricted stock units in 2021. For further information on the vesting criteria for these restricted stock awards see the table “Outstanding Equity Awards.”</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4320" w:type="dxa"/>
            <w:vAlign w:val="bottom"/>
            <w:tcBorders>
              <w:top w:val="single" w:sz="8" w:color="auto"/>
              <w:left w:val="single" w:sz="8" w:color="auto"/>
              <w:bottom w:val="single" w:sz="8" w:color="086FB8"/>
            </w:tcBorders>
            <w:shd w:val="clear" w:color="auto" w:fill="086FB8"/>
          </w:tcPr>
          <w:p>
            <w:pPr>
              <w:spacing w:after="0"/>
              <w:rPr>
                <w:sz w:val="22"/>
                <w:szCs w:val="22"/>
                <w:color w:val="auto"/>
              </w:rPr>
            </w:pPr>
          </w:p>
        </w:tc>
        <w:tc>
          <w:tcPr>
            <w:tcW w:w="140" w:type="dxa"/>
            <w:vAlign w:val="bottom"/>
            <w:tcBorders>
              <w:top w:val="single" w:sz="8" w:color="auto"/>
              <w:bottom w:val="single" w:sz="8" w:color="086FB8"/>
            </w:tcBorders>
            <w:shd w:val="clear" w:color="auto" w:fill="086FB8"/>
          </w:tcPr>
          <w:p>
            <w:pPr>
              <w:spacing w:after="0"/>
              <w:rPr>
                <w:sz w:val="22"/>
                <w:szCs w:val="22"/>
                <w:color w:val="auto"/>
              </w:rPr>
            </w:pPr>
          </w:p>
        </w:tc>
        <w:tc>
          <w:tcPr>
            <w:tcW w:w="1080" w:type="dxa"/>
            <w:vAlign w:val="bottom"/>
            <w:tcBorders>
              <w:top w:val="single" w:sz="8" w:color="auto"/>
              <w:bottom w:val="single" w:sz="8" w:color="auto"/>
            </w:tcBorders>
            <w:shd w:val="clear" w:color="auto" w:fill="086FB8"/>
          </w:tcPr>
          <w:p>
            <w:pPr>
              <w:spacing w:after="0"/>
              <w:rPr>
                <w:sz w:val="22"/>
                <w:szCs w:val="22"/>
                <w:color w:val="auto"/>
              </w:rPr>
            </w:pPr>
          </w:p>
        </w:tc>
        <w:tc>
          <w:tcPr>
            <w:tcW w:w="1000" w:type="dxa"/>
            <w:vAlign w:val="bottom"/>
            <w:tcBorders>
              <w:top w:val="single" w:sz="8" w:color="auto"/>
              <w:bottom w:val="single" w:sz="8" w:color="auto"/>
            </w:tcBorders>
            <w:shd w:val="clear" w:color="auto" w:fill="086FB8"/>
          </w:tcPr>
          <w:p>
            <w:pPr>
              <w:jc w:val="right"/>
              <w:ind w:right="18"/>
              <w:spacing w:after="0"/>
              <w:rPr>
                <w:sz w:val="20"/>
                <w:szCs w:val="20"/>
                <w:color w:val="auto"/>
              </w:rPr>
            </w:pPr>
            <w:r>
              <w:rPr>
                <w:rFonts w:ascii="Arial" w:cs="Arial" w:eastAsia="Arial" w:hAnsi="Arial"/>
                <w:sz w:val="12"/>
                <w:szCs w:val="12"/>
                <w:b w:val="1"/>
                <w:bCs w:val="1"/>
                <w:color w:val="FFFFFF"/>
              </w:rPr>
              <w:t>Option Awards</w:t>
            </w:r>
          </w:p>
        </w:tc>
        <w:tc>
          <w:tcPr>
            <w:tcW w:w="1220" w:type="dxa"/>
            <w:vAlign w:val="bottom"/>
            <w:tcBorders>
              <w:top w:val="single" w:sz="8" w:color="auto"/>
              <w:bottom w:val="single" w:sz="8" w:color="auto"/>
            </w:tcBorders>
            <w:shd w:val="clear" w:color="auto" w:fill="086FB8"/>
          </w:tcPr>
          <w:p>
            <w:pPr>
              <w:spacing w:after="0"/>
              <w:rPr>
                <w:sz w:val="22"/>
                <w:szCs w:val="22"/>
                <w:color w:val="auto"/>
              </w:rPr>
            </w:pPr>
          </w:p>
        </w:tc>
        <w:tc>
          <w:tcPr>
            <w:tcW w:w="160" w:type="dxa"/>
            <w:vAlign w:val="bottom"/>
            <w:tcBorders>
              <w:top w:val="single" w:sz="8" w:color="auto"/>
              <w:bottom w:val="single" w:sz="8" w:color="086FB8"/>
            </w:tcBorders>
            <w:shd w:val="clear" w:color="auto" w:fill="086FB8"/>
          </w:tcPr>
          <w:p>
            <w:pPr>
              <w:spacing w:after="0"/>
              <w:rPr>
                <w:sz w:val="22"/>
                <w:szCs w:val="22"/>
                <w:color w:val="auto"/>
              </w:rPr>
            </w:pPr>
          </w:p>
        </w:tc>
        <w:tc>
          <w:tcPr>
            <w:tcW w:w="2060" w:type="dxa"/>
            <w:vAlign w:val="bottom"/>
            <w:tcBorders>
              <w:top w:val="single" w:sz="8" w:color="auto"/>
              <w:bottom w:val="single" w:sz="8" w:color="auto"/>
            </w:tcBorders>
            <w:shd w:val="clear" w:color="auto" w:fill="086FB8"/>
          </w:tcPr>
          <w:p>
            <w:pPr>
              <w:jc w:val="right"/>
              <w:ind w:right="38"/>
              <w:spacing w:after="0"/>
              <w:rPr>
                <w:sz w:val="20"/>
                <w:szCs w:val="20"/>
                <w:color w:val="auto"/>
              </w:rPr>
            </w:pPr>
            <w:r>
              <w:rPr>
                <w:rFonts w:ascii="Arial" w:cs="Arial" w:eastAsia="Arial" w:hAnsi="Arial"/>
                <w:sz w:val="12"/>
                <w:szCs w:val="12"/>
                <w:b w:val="1"/>
                <w:bCs w:val="1"/>
                <w:color w:val="FFFFFF"/>
              </w:rPr>
              <w:t>Stock Awards</w:t>
            </w:r>
          </w:p>
        </w:tc>
        <w:tc>
          <w:tcPr>
            <w:tcW w:w="1260" w:type="dxa"/>
            <w:vAlign w:val="bottom"/>
            <w:tcBorders>
              <w:top w:val="single" w:sz="8" w:color="auto"/>
              <w:bottom w:val="single" w:sz="8" w:color="auto"/>
              <w:right w:val="single" w:sz="8" w:color="auto"/>
            </w:tcBorders>
            <w:shd w:val="clear" w:color="auto" w:fill="086FB8"/>
          </w:tcPr>
          <w:p>
            <w:pPr>
              <w:spacing w:after="0"/>
              <w:rPr>
                <w:sz w:val="22"/>
                <w:szCs w:val="22"/>
                <w:color w:val="auto"/>
              </w:rPr>
            </w:pPr>
          </w:p>
        </w:tc>
      </w:tr>
      <w:tr>
        <w:trPr>
          <w:trHeight w:val="122"/>
        </w:trPr>
        <w:tc>
          <w:tcPr>
            <w:tcW w:w="4320" w:type="dxa"/>
            <w:vAlign w:val="bottom"/>
            <w:tcBorders>
              <w:left w:val="single" w:sz="8" w:color="auto"/>
            </w:tcBorders>
            <w:shd w:val="clear" w:color="auto" w:fill="086FB8"/>
          </w:tcPr>
          <w:p>
            <w:pPr>
              <w:spacing w:after="0"/>
              <w:rPr>
                <w:sz w:val="10"/>
                <w:szCs w:val="10"/>
                <w:color w:val="auto"/>
              </w:rPr>
            </w:pPr>
          </w:p>
        </w:tc>
        <w:tc>
          <w:tcPr>
            <w:tcW w:w="140" w:type="dxa"/>
            <w:vAlign w:val="bottom"/>
            <w:shd w:val="clear" w:color="auto" w:fill="086FB8"/>
          </w:tcPr>
          <w:p>
            <w:pPr>
              <w:spacing w:after="0"/>
              <w:rPr>
                <w:sz w:val="10"/>
                <w:szCs w:val="10"/>
                <w:color w:val="auto"/>
              </w:rPr>
            </w:pPr>
          </w:p>
        </w:tc>
        <w:tc>
          <w:tcPr>
            <w:tcW w:w="1080" w:type="dxa"/>
            <w:vAlign w:val="bottom"/>
            <w:shd w:val="clear" w:color="auto" w:fill="086FB8"/>
          </w:tcPr>
          <w:p>
            <w:pPr>
              <w:jc w:val="center"/>
              <w:ind w:left="318"/>
              <w:spacing w:after="0" w:line="122" w:lineRule="exact"/>
              <w:rPr>
                <w:sz w:val="20"/>
                <w:szCs w:val="20"/>
                <w:color w:val="auto"/>
              </w:rPr>
            </w:pPr>
            <w:r>
              <w:rPr>
                <w:rFonts w:ascii="Arial" w:cs="Arial" w:eastAsia="Arial" w:hAnsi="Arial"/>
                <w:sz w:val="12"/>
                <w:szCs w:val="12"/>
                <w:b w:val="1"/>
                <w:bCs w:val="1"/>
                <w:color w:val="FFFFFF"/>
                <w:w w:val="96"/>
              </w:rPr>
              <w:t>Number of</w:t>
            </w:r>
          </w:p>
        </w:tc>
        <w:tc>
          <w:tcPr>
            <w:tcW w:w="1000" w:type="dxa"/>
            <w:vAlign w:val="bottom"/>
            <w:shd w:val="clear" w:color="auto" w:fill="086FB8"/>
          </w:tcPr>
          <w:p>
            <w:pPr>
              <w:spacing w:after="0"/>
              <w:rPr>
                <w:sz w:val="10"/>
                <w:szCs w:val="10"/>
                <w:color w:val="auto"/>
              </w:rPr>
            </w:pPr>
          </w:p>
        </w:tc>
        <w:tc>
          <w:tcPr>
            <w:tcW w:w="1220" w:type="dxa"/>
            <w:vAlign w:val="bottom"/>
            <w:shd w:val="clear" w:color="auto" w:fill="086FB8"/>
          </w:tcPr>
          <w:p>
            <w:pPr>
              <w:spacing w:after="0"/>
              <w:rPr>
                <w:sz w:val="10"/>
                <w:szCs w:val="10"/>
                <w:color w:val="auto"/>
              </w:rPr>
            </w:pPr>
          </w:p>
        </w:tc>
        <w:tc>
          <w:tcPr>
            <w:tcW w:w="160" w:type="dxa"/>
            <w:vAlign w:val="bottom"/>
            <w:shd w:val="clear" w:color="auto" w:fill="086FB8"/>
          </w:tcPr>
          <w:p>
            <w:pPr>
              <w:spacing w:after="0"/>
              <w:rPr>
                <w:sz w:val="10"/>
                <w:szCs w:val="10"/>
                <w:color w:val="auto"/>
              </w:rPr>
            </w:pPr>
          </w:p>
        </w:tc>
        <w:tc>
          <w:tcPr>
            <w:tcW w:w="2060" w:type="dxa"/>
            <w:vAlign w:val="bottom"/>
            <w:shd w:val="clear" w:color="auto" w:fill="086FB8"/>
          </w:tcPr>
          <w:p>
            <w:pPr>
              <w:jc w:val="center"/>
              <w:ind w:right="558"/>
              <w:spacing w:after="0" w:line="122" w:lineRule="exact"/>
              <w:rPr>
                <w:sz w:val="20"/>
                <w:szCs w:val="20"/>
                <w:color w:val="auto"/>
              </w:rPr>
            </w:pPr>
            <w:r>
              <w:rPr>
                <w:rFonts w:ascii="Arial" w:cs="Arial" w:eastAsia="Arial" w:hAnsi="Arial"/>
                <w:sz w:val="12"/>
                <w:szCs w:val="12"/>
                <w:b w:val="1"/>
                <w:bCs w:val="1"/>
                <w:color w:val="FFFFFF"/>
                <w:w w:val="93"/>
              </w:rPr>
              <w:t>Number of</w:t>
            </w:r>
          </w:p>
        </w:tc>
        <w:tc>
          <w:tcPr>
            <w:tcW w:w="1260" w:type="dxa"/>
            <w:vAlign w:val="bottom"/>
            <w:tcBorders>
              <w:right w:val="single" w:sz="8" w:color="auto"/>
            </w:tcBorders>
            <w:shd w:val="clear" w:color="auto" w:fill="086FB8"/>
          </w:tcPr>
          <w:p>
            <w:pPr>
              <w:spacing w:after="0"/>
              <w:rPr>
                <w:sz w:val="10"/>
                <w:szCs w:val="10"/>
                <w:color w:val="auto"/>
              </w:rPr>
            </w:pPr>
          </w:p>
        </w:tc>
      </w:tr>
      <w:tr>
        <w:trPr>
          <w:trHeight w:val="134"/>
        </w:trPr>
        <w:tc>
          <w:tcPr>
            <w:tcW w:w="4320" w:type="dxa"/>
            <w:vAlign w:val="bottom"/>
            <w:tcBorders>
              <w:left w:val="single" w:sz="8" w:color="auto"/>
            </w:tcBorders>
            <w:shd w:val="clear" w:color="auto" w:fill="086FB8"/>
          </w:tcPr>
          <w:p>
            <w:pPr>
              <w:spacing w:after="0"/>
              <w:rPr>
                <w:sz w:val="11"/>
                <w:szCs w:val="11"/>
                <w:color w:val="auto"/>
              </w:rPr>
            </w:pPr>
          </w:p>
        </w:tc>
        <w:tc>
          <w:tcPr>
            <w:tcW w:w="140" w:type="dxa"/>
            <w:vAlign w:val="bottom"/>
            <w:shd w:val="clear" w:color="auto" w:fill="086FB8"/>
          </w:tcPr>
          <w:p>
            <w:pPr>
              <w:spacing w:after="0"/>
              <w:rPr>
                <w:sz w:val="11"/>
                <w:szCs w:val="11"/>
                <w:color w:val="auto"/>
              </w:rPr>
            </w:pPr>
          </w:p>
        </w:tc>
        <w:tc>
          <w:tcPr>
            <w:tcW w:w="1080" w:type="dxa"/>
            <w:vAlign w:val="bottom"/>
            <w:shd w:val="clear" w:color="auto" w:fill="086FB8"/>
          </w:tcPr>
          <w:p>
            <w:pPr>
              <w:jc w:val="center"/>
              <w:ind w:left="318"/>
              <w:spacing w:after="0" w:line="134" w:lineRule="exact"/>
              <w:rPr>
                <w:sz w:val="20"/>
                <w:szCs w:val="20"/>
                <w:color w:val="auto"/>
              </w:rPr>
            </w:pPr>
            <w:r>
              <w:rPr>
                <w:rFonts w:ascii="Arial" w:cs="Arial" w:eastAsia="Arial" w:hAnsi="Arial"/>
                <w:sz w:val="12"/>
                <w:szCs w:val="12"/>
                <w:b w:val="1"/>
                <w:bCs w:val="1"/>
                <w:color w:val="FFFFFF"/>
                <w:w w:val="84"/>
              </w:rPr>
              <w:t>Shares</w:t>
            </w:r>
          </w:p>
        </w:tc>
        <w:tc>
          <w:tcPr>
            <w:tcW w:w="1000" w:type="dxa"/>
            <w:vAlign w:val="bottom"/>
            <w:shd w:val="clear" w:color="auto" w:fill="086FB8"/>
          </w:tcPr>
          <w:p>
            <w:pPr>
              <w:spacing w:after="0"/>
              <w:rPr>
                <w:sz w:val="11"/>
                <w:szCs w:val="11"/>
                <w:color w:val="auto"/>
              </w:rPr>
            </w:pPr>
          </w:p>
        </w:tc>
        <w:tc>
          <w:tcPr>
            <w:tcW w:w="1380" w:type="dxa"/>
            <w:vAlign w:val="bottom"/>
            <w:gridSpan w:val="2"/>
            <w:shd w:val="clear" w:color="auto" w:fill="086FB8"/>
          </w:tcPr>
          <w:p>
            <w:pPr>
              <w:jc w:val="center"/>
              <w:ind w:right="640"/>
              <w:spacing w:after="0" w:line="134" w:lineRule="exact"/>
              <w:rPr>
                <w:sz w:val="20"/>
                <w:szCs w:val="20"/>
                <w:color w:val="auto"/>
              </w:rPr>
            </w:pPr>
            <w:r>
              <w:rPr>
                <w:rFonts w:ascii="Arial" w:cs="Arial" w:eastAsia="Arial" w:hAnsi="Arial"/>
                <w:sz w:val="12"/>
                <w:szCs w:val="12"/>
                <w:b w:val="1"/>
                <w:bCs w:val="1"/>
                <w:color w:val="FFFFFF"/>
                <w:w w:val="93"/>
              </w:rPr>
              <w:t>Value</w:t>
            </w:r>
          </w:p>
        </w:tc>
        <w:tc>
          <w:tcPr>
            <w:tcW w:w="2060" w:type="dxa"/>
            <w:vAlign w:val="bottom"/>
            <w:shd w:val="clear" w:color="auto" w:fill="086FB8"/>
          </w:tcPr>
          <w:p>
            <w:pPr>
              <w:jc w:val="center"/>
              <w:ind w:right="558"/>
              <w:spacing w:after="0" w:line="134" w:lineRule="exact"/>
              <w:rPr>
                <w:sz w:val="20"/>
                <w:szCs w:val="20"/>
                <w:color w:val="auto"/>
              </w:rPr>
            </w:pPr>
            <w:r>
              <w:rPr>
                <w:rFonts w:ascii="Arial" w:cs="Arial" w:eastAsia="Arial" w:hAnsi="Arial"/>
                <w:sz w:val="12"/>
                <w:szCs w:val="12"/>
                <w:b w:val="1"/>
                <w:bCs w:val="1"/>
                <w:color w:val="FFFFFF"/>
                <w:w w:val="89"/>
              </w:rPr>
              <w:t>Shares</w:t>
            </w:r>
          </w:p>
        </w:tc>
        <w:tc>
          <w:tcPr>
            <w:tcW w:w="1260" w:type="dxa"/>
            <w:vAlign w:val="bottom"/>
            <w:tcBorders>
              <w:right w:val="single" w:sz="8" w:color="auto"/>
            </w:tcBorders>
            <w:shd w:val="clear" w:color="auto" w:fill="086FB8"/>
          </w:tcPr>
          <w:p>
            <w:pPr>
              <w:jc w:val="center"/>
              <w:ind w:right="418"/>
              <w:spacing w:after="0" w:line="134" w:lineRule="exact"/>
              <w:rPr>
                <w:sz w:val="20"/>
                <w:szCs w:val="20"/>
                <w:color w:val="auto"/>
              </w:rPr>
            </w:pPr>
            <w:r>
              <w:rPr>
                <w:rFonts w:ascii="Arial" w:cs="Arial" w:eastAsia="Arial" w:hAnsi="Arial"/>
                <w:sz w:val="12"/>
                <w:szCs w:val="12"/>
                <w:b w:val="1"/>
                <w:bCs w:val="1"/>
                <w:color w:val="FFFFFF"/>
                <w:w w:val="93"/>
              </w:rPr>
              <w:t>Value</w:t>
            </w:r>
          </w:p>
        </w:tc>
      </w:tr>
      <w:tr>
        <w:trPr>
          <w:trHeight w:val="134"/>
        </w:trPr>
        <w:tc>
          <w:tcPr>
            <w:tcW w:w="4320" w:type="dxa"/>
            <w:vAlign w:val="bottom"/>
            <w:tcBorders>
              <w:left w:val="single" w:sz="8" w:color="auto"/>
            </w:tcBorders>
            <w:shd w:val="clear" w:color="auto" w:fill="086FB8"/>
          </w:tcPr>
          <w:p>
            <w:pPr>
              <w:spacing w:after="0"/>
              <w:rPr>
                <w:sz w:val="11"/>
                <w:szCs w:val="11"/>
                <w:color w:val="auto"/>
              </w:rPr>
            </w:pPr>
          </w:p>
        </w:tc>
        <w:tc>
          <w:tcPr>
            <w:tcW w:w="140" w:type="dxa"/>
            <w:vAlign w:val="bottom"/>
            <w:shd w:val="clear" w:color="auto" w:fill="086FB8"/>
          </w:tcPr>
          <w:p>
            <w:pPr>
              <w:spacing w:after="0"/>
              <w:rPr>
                <w:sz w:val="11"/>
                <w:szCs w:val="11"/>
                <w:color w:val="auto"/>
              </w:rPr>
            </w:pPr>
          </w:p>
        </w:tc>
        <w:tc>
          <w:tcPr>
            <w:tcW w:w="1080" w:type="dxa"/>
            <w:vAlign w:val="bottom"/>
            <w:shd w:val="clear" w:color="auto" w:fill="086FB8"/>
          </w:tcPr>
          <w:p>
            <w:pPr>
              <w:jc w:val="center"/>
              <w:ind w:left="318"/>
              <w:spacing w:after="0" w:line="134" w:lineRule="exact"/>
              <w:rPr>
                <w:sz w:val="20"/>
                <w:szCs w:val="20"/>
                <w:color w:val="auto"/>
              </w:rPr>
            </w:pPr>
            <w:r>
              <w:rPr>
                <w:rFonts w:ascii="Arial" w:cs="Arial" w:eastAsia="Arial" w:hAnsi="Arial"/>
                <w:sz w:val="12"/>
                <w:szCs w:val="12"/>
                <w:b w:val="1"/>
                <w:bCs w:val="1"/>
                <w:color w:val="FFFFFF"/>
                <w:w w:val="94"/>
              </w:rPr>
              <w:t>Acquired on</w:t>
            </w:r>
          </w:p>
        </w:tc>
        <w:tc>
          <w:tcPr>
            <w:tcW w:w="1000" w:type="dxa"/>
            <w:vAlign w:val="bottom"/>
            <w:shd w:val="clear" w:color="auto" w:fill="086FB8"/>
          </w:tcPr>
          <w:p>
            <w:pPr>
              <w:spacing w:after="0"/>
              <w:rPr>
                <w:sz w:val="11"/>
                <w:szCs w:val="11"/>
                <w:color w:val="auto"/>
              </w:rPr>
            </w:pPr>
          </w:p>
        </w:tc>
        <w:tc>
          <w:tcPr>
            <w:tcW w:w="1380" w:type="dxa"/>
            <w:vAlign w:val="bottom"/>
            <w:gridSpan w:val="2"/>
            <w:shd w:val="clear" w:color="auto" w:fill="086FB8"/>
          </w:tcPr>
          <w:p>
            <w:pPr>
              <w:jc w:val="center"/>
              <w:ind w:right="640"/>
              <w:spacing w:after="0" w:line="134" w:lineRule="exact"/>
              <w:rPr>
                <w:sz w:val="20"/>
                <w:szCs w:val="20"/>
                <w:color w:val="auto"/>
              </w:rPr>
            </w:pPr>
            <w:r>
              <w:rPr>
                <w:rFonts w:ascii="Arial" w:cs="Arial" w:eastAsia="Arial" w:hAnsi="Arial"/>
                <w:sz w:val="12"/>
                <w:szCs w:val="12"/>
                <w:b w:val="1"/>
                <w:bCs w:val="1"/>
                <w:color w:val="FFFFFF"/>
                <w:w w:val="94"/>
              </w:rPr>
              <w:t>Realized</w:t>
            </w:r>
          </w:p>
        </w:tc>
        <w:tc>
          <w:tcPr>
            <w:tcW w:w="2060" w:type="dxa"/>
            <w:vAlign w:val="bottom"/>
            <w:shd w:val="clear" w:color="auto" w:fill="086FB8"/>
          </w:tcPr>
          <w:p>
            <w:pPr>
              <w:jc w:val="center"/>
              <w:ind w:right="558"/>
              <w:spacing w:after="0" w:line="134" w:lineRule="exact"/>
              <w:rPr>
                <w:sz w:val="20"/>
                <w:szCs w:val="20"/>
                <w:color w:val="auto"/>
              </w:rPr>
            </w:pPr>
            <w:r>
              <w:rPr>
                <w:rFonts w:ascii="Arial" w:cs="Arial" w:eastAsia="Arial" w:hAnsi="Arial"/>
                <w:sz w:val="12"/>
                <w:szCs w:val="12"/>
                <w:b w:val="1"/>
                <w:bCs w:val="1"/>
                <w:color w:val="FFFFFF"/>
                <w:w w:val="91"/>
              </w:rPr>
              <w:t>Acquired on</w:t>
            </w:r>
          </w:p>
        </w:tc>
        <w:tc>
          <w:tcPr>
            <w:tcW w:w="1260" w:type="dxa"/>
            <w:vAlign w:val="bottom"/>
            <w:tcBorders>
              <w:right w:val="single" w:sz="8" w:color="auto"/>
            </w:tcBorders>
            <w:shd w:val="clear" w:color="auto" w:fill="086FB8"/>
          </w:tcPr>
          <w:p>
            <w:pPr>
              <w:jc w:val="center"/>
              <w:ind w:right="418"/>
              <w:spacing w:after="0" w:line="134" w:lineRule="exact"/>
              <w:rPr>
                <w:sz w:val="20"/>
                <w:szCs w:val="20"/>
                <w:color w:val="auto"/>
              </w:rPr>
            </w:pPr>
            <w:r>
              <w:rPr>
                <w:rFonts w:ascii="Arial" w:cs="Arial" w:eastAsia="Arial" w:hAnsi="Arial"/>
                <w:sz w:val="12"/>
                <w:szCs w:val="12"/>
                <w:b w:val="1"/>
                <w:bCs w:val="1"/>
                <w:color w:val="FFFFFF"/>
                <w:w w:val="94"/>
              </w:rPr>
              <w:t>Realized</w:t>
            </w:r>
          </w:p>
        </w:tc>
      </w:tr>
      <w:tr>
        <w:trPr>
          <w:trHeight w:val="134"/>
        </w:trPr>
        <w:tc>
          <w:tcPr>
            <w:tcW w:w="4320" w:type="dxa"/>
            <w:vAlign w:val="bottom"/>
            <w:tcBorders>
              <w:left w:val="single" w:sz="8" w:color="auto"/>
            </w:tcBorders>
            <w:shd w:val="clear" w:color="auto" w:fill="086FB8"/>
          </w:tcPr>
          <w:p>
            <w:pPr>
              <w:spacing w:after="0"/>
              <w:rPr>
                <w:sz w:val="11"/>
                <w:szCs w:val="11"/>
                <w:color w:val="auto"/>
              </w:rPr>
            </w:pPr>
          </w:p>
        </w:tc>
        <w:tc>
          <w:tcPr>
            <w:tcW w:w="140" w:type="dxa"/>
            <w:vAlign w:val="bottom"/>
            <w:shd w:val="clear" w:color="auto" w:fill="086FB8"/>
          </w:tcPr>
          <w:p>
            <w:pPr>
              <w:spacing w:after="0"/>
              <w:rPr>
                <w:sz w:val="11"/>
                <w:szCs w:val="11"/>
                <w:color w:val="auto"/>
              </w:rPr>
            </w:pPr>
          </w:p>
        </w:tc>
        <w:tc>
          <w:tcPr>
            <w:tcW w:w="1080" w:type="dxa"/>
            <w:vAlign w:val="bottom"/>
            <w:shd w:val="clear" w:color="auto" w:fill="086FB8"/>
          </w:tcPr>
          <w:p>
            <w:pPr>
              <w:jc w:val="center"/>
              <w:ind w:left="318"/>
              <w:spacing w:after="0" w:line="134" w:lineRule="exact"/>
              <w:rPr>
                <w:sz w:val="20"/>
                <w:szCs w:val="20"/>
                <w:color w:val="auto"/>
              </w:rPr>
            </w:pPr>
            <w:r>
              <w:rPr>
                <w:rFonts w:ascii="Arial" w:cs="Arial" w:eastAsia="Arial" w:hAnsi="Arial"/>
                <w:sz w:val="12"/>
                <w:szCs w:val="12"/>
                <w:b w:val="1"/>
                <w:bCs w:val="1"/>
                <w:color w:val="FFFFFF"/>
                <w:w w:val="93"/>
              </w:rPr>
              <w:t>Exercise</w:t>
            </w:r>
          </w:p>
        </w:tc>
        <w:tc>
          <w:tcPr>
            <w:tcW w:w="1000" w:type="dxa"/>
            <w:vAlign w:val="bottom"/>
            <w:shd w:val="clear" w:color="auto" w:fill="086FB8"/>
          </w:tcPr>
          <w:p>
            <w:pPr>
              <w:spacing w:after="0"/>
              <w:rPr>
                <w:sz w:val="11"/>
                <w:szCs w:val="11"/>
                <w:color w:val="auto"/>
              </w:rPr>
            </w:pPr>
          </w:p>
        </w:tc>
        <w:tc>
          <w:tcPr>
            <w:tcW w:w="1380" w:type="dxa"/>
            <w:vAlign w:val="bottom"/>
            <w:gridSpan w:val="2"/>
            <w:shd w:val="clear" w:color="auto" w:fill="086FB8"/>
          </w:tcPr>
          <w:p>
            <w:pPr>
              <w:jc w:val="center"/>
              <w:ind w:right="640"/>
              <w:spacing w:after="0" w:line="134" w:lineRule="exact"/>
              <w:rPr>
                <w:sz w:val="20"/>
                <w:szCs w:val="20"/>
                <w:color w:val="auto"/>
              </w:rPr>
            </w:pPr>
            <w:r>
              <w:rPr>
                <w:rFonts w:ascii="Arial" w:cs="Arial" w:eastAsia="Arial" w:hAnsi="Arial"/>
                <w:sz w:val="12"/>
                <w:szCs w:val="12"/>
                <w:b w:val="1"/>
                <w:bCs w:val="1"/>
                <w:color w:val="FFFFFF"/>
                <w:w w:val="91"/>
              </w:rPr>
              <w:t>on Exercise</w:t>
            </w:r>
          </w:p>
        </w:tc>
        <w:tc>
          <w:tcPr>
            <w:tcW w:w="2060" w:type="dxa"/>
            <w:vAlign w:val="bottom"/>
            <w:shd w:val="clear" w:color="auto" w:fill="086FB8"/>
          </w:tcPr>
          <w:p>
            <w:pPr>
              <w:jc w:val="center"/>
              <w:ind w:right="558"/>
              <w:spacing w:after="0" w:line="134" w:lineRule="exact"/>
              <w:rPr>
                <w:sz w:val="20"/>
                <w:szCs w:val="20"/>
                <w:color w:val="auto"/>
              </w:rPr>
            </w:pPr>
            <w:r>
              <w:rPr>
                <w:rFonts w:ascii="Arial" w:cs="Arial" w:eastAsia="Arial" w:hAnsi="Arial"/>
                <w:sz w:val="12"/>
                <w:szCs w:val="12"/>
                <w:b w:val="1"/>
                <w:bCs w:val="1"/>
                <w:color w:val="FFFFFF"/>
                <w:w w:val="92"/>
              </w:rPr>
              <w:t>Vesting</w:t>
            </w:r>
          </w:p>
        </w:tc>
        <w:tc>
          <w:tcPr>
            <w:tcW w:w="1260" w:type="dxa"/>
            <w:vAlign w:val="bottom"/>
            <w:tcBorders>
              <w:right w:val="single" w:sz="8" w:color="auto"/>
            </w:tcBorders>
            <w:shd w:val="clear" w:color="auto" w:fill="086FB8"/>
          </w:tcPr>
          <w:p>
            <w:pPr>
              <w:jc w:val="center"/>
              <w:ind w:right="438"/>
              <w:spacing w:after="0" w:line="134" w:lineRule="exact"/>
              <w:rPr>
                <w:sz w:val="20"/>
                <w:szCs w:val="20"/>
                <w:color w:val="auto"/>
              </w:rPr>
            </w:pPr>
            <w:r>
              <w:rPr>
                <w:rFonts w:ascii="Arial" w:cs="Arial" w:eastAsia="Arial" w:hAnsi="Arial"/>
                <w:sz w:val="12"/>
                <w:szCs w:val="12"/>
                <w:b w:val="1"/>
                <w:bCs w:val="1"/>
                <w:color w:val="FFFFFF"/>
                <w:w w:val="91"/>
              </w:rPr>
              <w:t>on Vesting</w:t>
            </w:r>
          </w:p>
        </w:tc>
      </w:tr>
      <w:tr>
        <w:trPr>
          <w:trHeight w:val="152"/>
        </w:trPr>
        <w:tc>
          <w:tcPr>
            <w:tcW w:w="4320" w:type="dxa"/>
            <w:vAlign w:val="bottom"/>
            <w:tcBorders>
              <w:left w:val="single" w:sz="8" w:color="auto"/>
              <w:bottom w:val="single" w:sz="8" w:color="auto"/>
            </w:tcBorders>
            <w:shd w:val="clear" w:color="auto" w:fill="086FB8"/>
          </w:tcPr>
          <w:p>
            <w:pPr>
              <w:ind w:left="140"/>
              <w:spacing w:after="0"/>
              <w:rPr>
                <w:sz w:val="20"/>
                <w:szCs w:val="20"/>
                <w:color w:val="auto"/>
              </w:rPr>
            </w:pPr>
            <w:r>
              <w:rPr>
                <w:rFonts w:ascii="Arial" w:cs="Arial" w:eastAsia="Arial" w:hAnsi="Arial"/>
                <w:sz w:val="12"/>
                <w:szCs w:val="12"/>
                <w:b w:val="1"/>
                <w:bCs w:val="1"/>
                <w:color w:val="FFFFFF"/>
              </w:rPr>
              <w:t>Name</w:t>
            </w:r>
          </w:p>
        </w:tc>
        <w:tc>
          <w:tcPr>
            <w:tcW w:w="1220" w:type="dxa"/>
            <w:vAlign w:val="bottom"/>
            <w:tcBorders>
              <w:bottom w:val="single" w:sz="8" w:color="auto"/>
            </w:tcBorders>
            <w:gridSpan w:val="2"/>
            <w:shd w:val="clear" w:color="auto" w:fill="086FB8"/>
          </w:tcPr>
          <w:p>
            <w:pPr>
              <w:jc w:val="center"/>
              <w:ind w:left="458"/>
              <w:spacing w:after="0"/>
              <w:rPr>
                <w:sz w:val="20"/>
                <w:szCs w:val="20"/>
                <w:color w:val="auto"/>
              </w:rPr>
            </w:pPr>
            <w:r>
              <w:rPr>
                <w:rFonts w:ascii="Arial" w:cs="Arial" w:eastAsia="Arial" w:hAnsi="Arial"/>
                <w:sz w:val="12"/>
                <w:szCs w:val="12"/>
                <w:b w:val="1"/>
                <w:bCs w:val="1"/>
                <w:color w:val="FFFFFF"/>
                <w:w w:val="95"/>
              </w:rPr>
              <w:t>(#)</w:t>
            </w:r>
          </w:p>
        </w:tc>
        <w:tc>
          <w:tcPr>
            <w:tcW w:w="1000" w:type="dxa"/>
            <w:vAlign w:val="bottom"/>
            <w:tcBorders>
              <w:bottom w:val="single" w:sz="8" w:color="auto"/>
            </w:tcBorders>
            <w:shd w:val="clear" w:color="auto" w:fill="086FB8"/>
          </w:tcPr>
          <w:p>
            <w:pPr>
              <w:spacing w:after="0"/>
              <w:rPr>
                <w:sz w:val="13"/>
                <w:szCs w:val="13"/>
                <w:color w:val="auto"/>
              </w:rPr>
            </w:pPr>
          </w:p>
        </w:tc>
        <w:tc>
          <w:tcPr>
            <w:tcW w:w="1220" w:type="dxa"/>
            <w:vAlign w:val="bottom"/>
            <w:tcBorders>
              <w:bottom w:val="single" w:sz="8" w:color="auto"/>
            </w:tcBorders>
            <w:shd w:val="clear" w:color="auto" w:fill="086FB8"/>
          </w:tcPr>
          <w:p>
            <w:pPr>
              <w:jc w:val="center"/>
              <w:ind w:right="418"/>
              <w:spacing w:after="0"/>
              <w:rPr>
                <w:sz w:val="20"/>
                <w:szCs w:val="20"/>
                <w:color w:val="auto"/>
              </w:rPr>
            </w:pPr>
            <w:r>
              <w:rPr>
                <w:rFonts w:ascii="Arial" w:cs="Arial" w:eastAsia="Arial" w:hAnsi="Arial"/>
                <w:sz w:val="12"/>
                <w:szCs w:val="12"/>
                <w:b w:val="1"/>
                <w:bCs w:val="1"/>
                <w:color w:val="FFFFFF"/>
              </w:rPr>
              <w:t>($)(1)</w:t>
            </w:r>
          </w:p>
        </w:tc>
        <w:tc>
          <w:tcPr>
            <w:tcW w:w="160" w:type="dxa"/>
            <w:vAlign w:val="bottom"/>
            <w:tcBorders>
              <w:bottom w:val="single" w:sz="8" w:color="auto"/>
            </w:tcBorders>
            <w:shd w:val="clear" w:color="auto" w:fill="086FB8"/>
          </w:tcPr>
          <w:p>
            <w:pPr>
              <w:spacing w:after="0"/>
              <w:rPr>
                <w:sz w:val="13"/>
                <w:szCs w:val="13"/>
                <w:color w:val="auto"/>
              </w:rPr>
            </w:pPr>
          </w:p>
        </w:tc>
        <w:tc>
          <w:tcPr>
            <w:tcW w:w="2060" w:type="dxa"/>
            <w:vAlign w:val="bottom"/>
            <w:tcBorders>
              <w:bottom w:val="single" w:sz="8" w:color="auto"/>
            </w:tcBorders>
            <w:shd w:val="clear" w:color="auto" w:fill="086FB8"/>
          </w:tcPr>
          <w:p>
            <w:pPr>
              <w:jc w:val="center"/>
              <w:ind w:right="558"/>
              <w:spacing w:after="0"/>
              <w:rPr>
                <w:sz w:val="20"/>
                <w:szCs w:val="20"/>
                <w:color w:val="auto"/>
              </w:rPr>
            </w:pPr>
            <w:r>
              <w:rPr>
                <w:rFonts w:ascii="Arial" w:cs="Arial" w:eastAsia="Arial" w:hAnsi="Arial"/>
                <w:sz w:val="12"/>
                <w:szCs w:val="12"/>
                <w:b w:val="1"/>
                <w:bCs w:val="1"/>
                <w:color w:val="FFFFFF"/>
              </w:rPr>
              <w:t>(#)</w:t>
            </w:r>
          </w:p>
        </w:tc>
        <w:tc>
          <w:tcPr>
            <w:tcW w:w="1260" w:type="dxa"/>
            <w:vAlign w:val="bottom"/>
            <w:tcBorders>
              <w:bottom w:val="single" w:sz="8" w:color="auto"/>
              <w:right w:val="single" w:sz="8" w:color="auto"/>
            </w:tcBorders>
            <w:shd w:val="clear" w:color="auto" w:fill="086FB8"/>
          </w:tcPr>
          <w:p>
            <w:pPr>
              <w:jc w:val="center"/>
              <w:ind w:right="418"/>
              <w:spacing w:after="0"/>
              <w:rPr>
                <w:sz w:val="20"/>
                <w:szCs w:val="20"/>
                <w:color w:val="auto"/>
              </w:rPr>
            </w:pPr>
            <w:r>
              <w:rPr>
                <w:rFonts w:ascii="Arial" w:cs="Arial" w:eastAsia="Arial" w:hAnsi="Arial"/>
                <w:sz w:val="12"/>
                <w:szCs w:val="12"/>
                <w:b w:val="1"/>
                <w:bCs w:val="1"/>
                <w:color w:val="FFFFFF"/>
              </w:rPr>
              <w:t>($)(2)</w:t>
            </w:r>
          </w:p>
        </w:tc>
      </w:tr>
      <w:tr>
        <w:trPr>
          <w:trHeight w:val="140"/>
        </w:trPr>
        <w:tc>
          <w:tcPr>
            <w:tcW w:w="432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Peter S. Ho</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jc w:val="right"/>
              <w:ind w:right="558"/>
              <w:spacing w:after="0"/>
              <w:rPr>
                <w:sz w:val="20"/>
                <w:szCs w:val="20"/>
                <w:color w:val="auto"/>
              </w:rPr>
            </w:pPr>
            <w:r>
              <w:rPr>
                <w:rFonts w:ascii="Arial" w:cs="Arial" w:eastAsia="Arial" w:hAnsi="Arial"/>
                <w:sz w:val="12"/>
                <w:szCs w:val="12"/>
                <w:color w:val="auto"/>
                <w:w w:val="97"/>
              </w:rPr>
              <w:t>46,666</w:t>
            </w:r>
          </w:p>
        </w:tc>
        <w:tc>
          <w:tcPr>
            <w:tcW w:w="1220" w:type="dxa"/>
            <w:vAlign w:val="bottom"/>
          </w:tcPr>
          <w:p>
            <w:pPr>
              <w:jc w:val="right"/>
              <w:ind w:right="58"/>
              <w:spacing w:after="0"/>
              <w:rPr>
                <w:sz w:val="20"/>
                <w:szCs w:val="20"/>
                <w:color w:val="auto"/>
              </w:rPr>
            </w:pPr>
            <w:r>
              <w:rPr>
                <w:rFonts w:ascii="Arial" w:cs="Arial" w:eastAsia="Arial" w:hAnsi="Arial"/>
                <w:sz w:val="12"/>
                <w:szCs w:val="12"/>
                <w:color w:val="auto"/>
              </w:rPr>
              <w:t>1,801,366</w:t>
            </w:r>
          </w:p>
        </w:tc>
        <w:tc>
          <w:tcPr>
            <w:tcW w:w="160" w:type="dxa"/>
            <w:vAlign w:val="bottom"/>
          </w:tcPr>
          <w:p>
            <w:pPr>
              <w:spacing w:after="0"/>
              <w:rPr>
                <w:sz w:val="12"/>
                <w:szCs w:val="12"/>
                <w:color w:val="auto"/>
              </w:rPr>
            </w:pPr>
          </w:p>
        </w:tc>
        <w:tc>
          <w:tcPr>
            <w:tcW w:w="2060" w:type="dxa"/>
            <w:vAlign w:val="bottom"/>
          </w:tcPr>
          <w:p>
            <w:pPr>
              <w:jc w:val="right"/>
              <w:ind w:right="558"/>
              <w:spacing w:after="0"/>
              <w:rPr>
                <w:sz w:val="20"/>
                <w:szCs w:val="20"/>
                <w:color w:val="auto"/>
              </w:rPr>
            </w:pPr>
            <w:r>
              <w:rPr>
                <w:rFonts w:ascii="Arial" w:cs="Arial" w:eastAsia="Arial" w:hAnsi="Arial"/>
                <w:sz w:val="12"/>
                <w:szCs w:val="12"/>
                <w:color w:val="auto"/>
              </w:rPr>
              <w:t>26,272</w:t>
            </w:r>
          </w:p>
        </w:tc>
        <w:tc>
          <w:tcPr>
            <w:tcW w:w="1260" w:type="dxa"/>
            <w:vAlign w:val="bottom"/>
            <w:tcBorders>
              <w:right w:val="single" w:sz="8" w:color="auto"/>
            </w:tcBorders>
          </w:tcPr>
          <w:p>
            <w:pPr>
              <w:jc w:val="right"/>
              <w:ind w:right="78"/>
              <w:spacing w:after="0"/>
              <w:rPr>
                <w:sz w:val="20"/>
                <w:szCs w:val="20"/>
                <w:color w:val="auto"/>
              </w:rPr>
            </w:pPr>
            <w:r>
              <w:rPr>
                <w:rFonts w:ascii="Arial" w:cs="Arial" w:eastAsia="Arial" w:hAnsi="Arial"/>
                <w:sz w:val="12"/>
                <w:szCs w:val="12"/>
                <w:color w:val="auto"/>
              </w:rPr>
              <w:t>2,340,835</w:t>
            </w:r>
          </w:p>
        </w:tc>
      </w:tr>
      <w:tr>
        <w:trPr>
          <w:trHeight w:val="147"/>
        </w:trPr>
        <w:tc>
          <w:tcPr>
            <w:tcW w:w="432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Dean Y. Shigemura</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jc w:val="right"/>
              <w:ind w:right="558"/>
              <w:spacing w:after="0"/>
              <w:rPr>
                <w:sz w:val="20"/>
                <w:szCs w:val="20"/>
                <w:color w:val="auto"/>
              </w:rPr>
            </w:pPr>
            <w:r>
              <w:rPr>
                <w:rFonts w:ascii="Arial" w:cs="Arial" w:eastAsia="Arial" w:hAnsi="Arial"/>
                <w:sz w:val="12"/>
                <w:szCs w:val="12"/>
                <w:color w:val="auto"/>
                <w:w w:val="97"/>
              </w:rPr>
              <w:t>23,333</w:t>
            </w:r>
          </w:p>
        </w:tc>
        <w:tc>
          <w:tcPr>
            <w:tcW w:w="1220" w:type="dxa"/>
            <w:vAlign w:val="bottom"/>
          </w:tcPr>
          <w:p>
            <w:pPr>
              <w:jc w:val="right"/>
              <w:ind w:right="58"/>
              <w:spacing w:after="0"/>
              <w:rPr>
                <w:sz w:val="20"/>
                <w:szCs w:val="20"/>
                <w:color w:val="auto"/>
              </w:rPr>
            </w:pPr>
            <w:r>
              <w:rPr>
                <w:rFonts w:ascii="Arial" w:cs="Arial" w:eastAsia="Arial" w:hAnsi="Arial"/>
                <w:sz w:val="12"/>
                <w:szCs w:val="12"/>
                <w:color w:val="auto"/>
              </w:rPr>
              <w:t>916,225</w:t>
            </w:r>
          </w:p>
        </w:tc>
        <w:tc>
          <w:tcPr>
            <w:tcW w:w="160" w:type="dxa"/>
            <w:vAlign w:val="bottom"/>
          </w:tcPr>
          <w:p>
            <w:pPr>
              <w:spacing w:after="0"/>
              <w:rPr>
                <w:sz w:val="12"/>
                <w:szCs w:val="12"/>
                <w:color w:val="auto"/>
              </w:rPr>
            </w:pPr>
          </w:p>
        </w:tc>
        <w:tc>
          <w:tcPr>
            <w:tcW w:w="2060" w:type="dxa"/>
            <w:vAlign w:val="bottom"/>
          </w:tcPr>
          <w:p>
            <w:pPr>
              <w:jc w:val="right"/>
              <w:ind w:right="558"/>
              <w:spacing w:after="0"/>
              <w:rPr>
                <w:sz w:val="20"/>
                <w:szCs w:val="20"/>
                <w:color w:val="auto"/>
              </w:rPr>
            </w:pPr>
            <w:r>
              <w:rPr>
                <w:rFonts w:ascii="Arial" w:cs="Arial" w:eastAsia="Arial" w:hAnsi="Arial"/>
                <w:sz w:val="12"/>
                <w:szCs w:val="12"/>
                <w:color w:val="auto"/>
              </w:rPr>
              <w:t>5,971</w:t>
            </w:r>
          </w:p>
        </w:tc>
        <w:tc>
          <w:tcPr>
            <w:tcW w:w="1260" w:type="dxa"/>
            <w:vAlign w:val="bottom"/>
            <w:tcBorders>
              <w:right w:val="single" w:sz="8" w:color="auto"/>
            </w:tcBorders>
          </w:tcPr>
          <w:p>
            <w:pPr>
              <w:jc w:val="right"/>
              <w:ind w:right="78"/>
              <w:spacing w:after="0"/>
              <w:rPr>
                <w:sz w:val="20"/>
                <w:szCs w:val="20"/>
                <w:color w:val="auto"/>
              </w:rPr>
            </w:pPr>
            <w:r>
              <w:rPr>
                <w:rFonts w:ascii="Arial" w:cs="Arial" w:eastAsia="Arial" w:hAnsi="Arial"/>
                <w:sz w:val="12"/>
                <w:szCs w:val="12"/>
                <w:color w:val="auto"/>
              </w:rPr>
              <w:t>532,016</w:t>
            </w:r>
          </w:p>
        </w:tc>
      </w:tr>
      <w:tr>
        <w:trPr>
          <w:trHeight w:val="147"/>
        </w:trPr>
        <w:tc>
          <w:tcPr>
            <w:tcW w:w="432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Sharon M. Crofts</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jc w:val="right"/>
              <w:ind w:right="558"/>
              <w:spacing w:after="0"/>
              <w:rPr>
                <w:sz w:val="20"/>
                <w:szCs w:val="20"/>
                <w:color w:val="auto"/>
              </w:rPr>
            </w:pPr>
            <w:r>
              <w:rPr>
                <w:rFonts w:ascii="Arial" w:cs="Arial" w:eastAsia="Arial" w:hAnsi="Arial"/>
                <w:sz w:val="12"/>
                <w:szCs w:val="12"/>
                <w:color w:val="auto"/>
              </w:rPr>
              <w:t>5,834</w:t>
            </w:r>
          </w:p>
        </w:tc>
        <w:tc>
          <w:tcPr>
            <w:tcW w:w="1220" w:type="dxa"/>
            <w:vAlign w:val="bottom"/>
          </w:tcPr>
          <w:p>
            <w:pPr>
              <w:jc w:val="right"/>
              <w:ind w:right="58"/>
              <w:spacing w:after="0"/>
              <w:rPr>
                <w:sz w:val="20"/>
                <w:szCs w:val="20"/>
                <w:color w:val="auto"/>
              </w:rPr>
            </w:pPr>
            <w:r>
              <w:rPr>
                <w:rFonts w:ascii="Arial" w:cs="Arial" w:eastAsia="Arial" w:hAnsi="Arial"/>
                <w:sz w:val="12"/>
                <w:szCs w:val="12"/>
                <w:color w:val="auto"/>
              </w:rPr>
              <w:t>251,854</w:t>
            </w:r>
          </w:p>
        </w:tc>
        <w:tc>
          <w:tcPr>
            <w:tcW w:w="160" w:type="dxa"/>
            <w:vAlign w:val="bottom"/>
          </w:tcPr>
          <w:p>
            <w:pPr>
              <w:spacing w:after="0"/>
              <w:rPr>
                <w:sz w:val="12"/>
                <w:szCs w:val="12"/>
                <w:color w:val="auto"/>
              </w:rPr>
            </w:pPr>
          </w:p>
        </w:tc>
        <w:tc>
          <w:tcPr>
            <w:tcW w:w="2060" w:type="dxa"/>
            <w:vAlign w:val="bottom"/>
          </w:tcPr>
          <w:p>
            <w:pPr>
              <w:jc w:val="right"/>
              <w:ind w:right="558"/>
              <w:spacing w:after="0"/>
              <w:rPr>
                <w:sz w:val="20"/>
                <w:szCs w:val="20"/>
                <w:color w:val="auto"/>
              </w:rPr>
            </w:pPr>
            <w:r>
              <w:rPr>
                <w:rFonts w:ascii="Arial" w:cs="Arial" w:eastAsia="Arial" w:hAnsi="Arial"/>
                <w:sz w:val="12"/>
                <w:szCs w:val="12"/>
                <w:color w:val="auto"/>
              </w:rPr>
              <w:t>5,374</w:t>
            </w:r>
          </w:p>
        </w:tc>
        <w:tc>
          <w:tcPr>
            <w:tcW w:w="1260" w:type="dxa"/>
            <w:vAlign w:val="bottom"/>
            <w:tcBorders>
              <w:right w:val="single" w:sz="8" w:color="auto"/>
            </w:tcBorders>
          </w:tcPr>
          <w:p>
            <w:pPr>
              <w:jc w:val="right"/>
              <w:ind w:right="78"/>
              <w:spacing w:after="0"/>
              <w:rPr>
                <w:sz w:val="20"/>
                <w:szCs w:val="20"/>
                <w:color w:val="auto"/>
              </w:rPr>
            </w:pPr>
            <w:r>
              <w:rPr>
                <w:rFonts w:ascii="Arial" w:cs="Arial" w:eastAsia="Arial" w:hAnsi="Arial"/>
                <w:sz w:val="12"/>
                <w:szCs w:val="12"/>
                <w:color w:val="auto"/>
              </w:rPr>
              <w:t>478,823</w:t>
            </w:r>
          </w:p>
        </w:tc>
      </w:tr>
      <w:tr>
        <w:trPr>
          <w:trHeight w:val="147"/>
        </w:trPr>
        <w:tc>
          <w:tcPr>
            <w:tcW w:w="432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James C. Polk</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jc w:val="right"/>
              <w:ind w:right="558"/>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060" w:type="dxa"/>
            <w:vAlign w:val="bottom"/>
          </w:tcPr>
          <w:p>
            <w:pPr>
              <w:jc w:val="right"/>
              <w:ind w:right="558"/>
              <w:spacing w:after="0"/>
              <w:rPr>
                <w:sz w:val="20"/>
                <w:szCs w:val="20"/>
                <w:color w:val="auto"/>
              </w:rPr>
            </w:pPr>
            <w:r>
              <w:rPr>
                <w:rFonts w:ascii="Arial" w:cs="Arial" w:eastAsia="Arial" w:hAnsi="Arial"/>
                <w:sz w:val="12"/>
                <w:szCs w:val="12"/>
                <w:color w:val="auto"/>
              </w:rPr>
              <w:t>5,971</w:t>
            </w:r>
          </w:p>
        </w:tc>
        <w:tc>
          <w:tcPr>
            <w:tcW w:w="1260" w:type="dxa"/>
            <w:vAlign w:val="bottom"/>
            <w:tcBorders>
              <w:right w:val="single" w:sz="8" w:color="auto"/>
            </w:tcBorders>
          </w:tcPr>
          <w:p>
            <w:pPr>
              <w:jc w:val="right"/>
              <w:ind w:right="78"/>
              <w:spacing w:after="0"/>
              <w:rPr>
                <w:sz w:val="20"/>
                <w:szCs w:val="20"/>
                <w:color w:val="auto"/>
              </w:rPr>
            </w:pPr>
            <w:r>
              <w:rPr>
                <w:rFonts w:ascii="Arial" w:cs="Arial" w:eastAsia="Arial" w:hAnsi="Arial"/>
                <w:sz w:val="12"/>
                <w:szCs w:val="12"/>
                <w:color w:val="auto"/>
              </w:rPr>
              <w:t>532,016</w:t>
            </w:r>
          </w:p>
        </w:tc>
      </w:tr>
      <w:tr>
        <w:trPr>
          <w:trHeight w:val="148"/>
        </w:trPr>
        <w:tc>
          <w:tcPr>
            <w:tcW w:w="432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2"/>
                <w:szCs w:val="12"/>
                <w:color w:val="auto"/>
              </w:rPr>
              <w:t>Mary E. Sellers</w:t>
            </w: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8"/>
              <w:spacing w:after="0"/>
              <w:rPr>
                <w:sz w:val="20"/>
                <w:szCs w:val="20"/>
                <w:color w:val="auto"/>
              </w:rPr>
            </w:pPr>
            <w:r>
              <w:rPr>
                <w:rFonts w:ascii="Arial" w:cs="Arial" w:eastAsia="Arial" w:hAnsi="Arial"/>
                <w:sz w:val="12"/>
                <w:szCs w:val="12"/>
                <w:color w:val="auto"/>
                <w:w w:val="97"/>
              </w:rPr>
              <w:t>30,000</w:t>
            </w:r>
          </w:p>
        </w:tc>
        <w:tc>
          <w:tcPr>
            <w:tcW w:w="12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1,170,550</w:t>
            </w:r>
          </w:p>
        </w:tc>
        <w:tc>
          <w:tcPr>
            <w:tcW w:w="16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tcPr>
          <w:p>
            <w:pPr>
              <w:jc w:val="right"/>
              <w:ind w:right="558"/>
              <w:spacing w:after="0"/>
              <w:rPr>
                <w:sz w:val="20"/>
                <w:szCs w:val="20"/>
                <w:color w:val="auto"/>
              </w:rPr>
            </w:pPr>
            <w:r>
              <w:rPr>
                <w:rFonts w:ascii="Arial" w:cs="Arial" w:eastAsia="Arial" w:hAnsi="Arial"/>
                <w:sz w:val="12"/>
                <w:szCs w:val="12"/>
                <w:color w:val="auto"/>
              </w:rPr>
              <w:t>6,568</w:t>
            </w:r>
          </w:p>
        </w:tc>
        <w:tc>
          <w:tcPr>
            <w:tcW w:w="1260" w:type="dxa"/>
            <w:vAlign w:val="bottom"/>
            <w:tcBorders>
              <w:bottom w:val="single" w:sz="8" w:color="auto"/>
              <w:right w:val="single" w:sz="8" w:color="auto"/>
            </w:tcBorders>
          </w:tcPr>
          <w:p>
            <w:pPr>
              <w:jc w:val="right"/>
              <w:ind w:right="78"/>
              <w:spacing w:after="0"/>
              <w:rPr>
                <w:sz w:val="20"/>
                <w:szCs w:val="20"/>
                <w:color w:val="auto"/>
              </w:rPr>
            </w:pPr>
            <w:r>
              <w:rPr>
                <w:rFonts w:ascii="Arial" w:cs="Arial" w:eastAsia="Arial" w:hAnsi="Arial"/>
                <w:sz w:val="12"/>
                <w:szCs w:val="12"/>
                <w:color w:val="auto"/>
              </w:rPr>
              <w:t>585,209</w:t>
            </w:r>
          </w:p>
        </w:tc>
      </w:tr>
    </w:tbl>
    <w:p>
      <w:pPr>
        <w:spacing w:after="0" w:line="110" w:lineRule="exact"/>
        <w:rPr>
          <w:sz w:val="20"/>
          <w:szCs w:val="20"/>
          <w:color w:val="auto"/>
        </w:rPr>
      </w:pPr>
    </w:p>
    <w:p>
      <w:pPr>
        <w:ind w:left="400" w:hanging="393"/>
        <w:spacing w:after="0" w:line="252" w:lineRule="auto"/>
        <w:tabs>
          <w:tab w:leader="none" w:pos="400" w:val="left"/>
        </w:tabs>
        <w:numPr>
          <w:ilvl w:val="0"/>
          <w:numId w:val="86"/>
        </w:numPr>
        <w:rPr>
          <w:rFonts w:ascii="Arial" w:cs="Arial" w:eastAsia="Arial" w:hAnsi="Arial"/>
          <w:sz w:val="14"/>
          <w:szCs w:val="14"/>
          <w:color w:val="auto"/>
        </w:rPr>
      </w:pPr>
      <w:r>
        <w:rPr>
          <w:rFonts w:ascii="Arial" w:cs="Arial" w:eastAsia="Arial" w:hAnsi="Arial"/>
          <w:sz w:val="13"/>
          <w:szCs w:val="13"/>
          <w:color w:val="auto"/>
        </w:rPr>
        <w:t>Value determined by subtracting the exercise price per share from the closing market price per share of the Company's common stock on the date of exercise and multiplying the difference by the number of shares acquired on exercise.</w:t>
      </w:r>
    </w:p>
    <w:p>
      <w:pPr>
        <w:spacing w:after="0" w:line="75" w:lineRule="exact"/>
        <w:rPr>
          <w:rFonts w:ascii="Arial" w:cs="Arial" w:eastAsia="Arial" w:hAnsi="Arial"/>
          <w:sz w:val="14"/>
          <w:szCs w:val="14"/>
          <w:color w:val="auto"/>
        </w:rPr>
      </w:pPr>
    </w:p>
    <w:p>
      <w:pPr>
        <w:ind w:left="400" w:right="380" w:hanging="393"/>
        <w:spacing w:after="0" w:line="252" w:lineRule="auto"/>
        <w:tabs>
          <w:tab w:leader="none" w:pos="400" w:val="left"/>
        </w:tabs>
        <w:numPr>
          <w:ilvl w:val="0"/>
          <w:numId w:val="86"/>
        </w:numPr>
        <w:rPr>
          <w:rFonts w:ascii="Arial" w:cs="Arial" w:eastAsia="Arial" w:hAnsi="Arial"/>
          <w:sz w:val="14"/>
          <w:szCs w:val="14"/>
          <w:color w:val="auto"/>
        </w:rPr>
      </w:pPr>
      <w:r>
        <w:rPr>
          <w:rFonts w:ascii="Arial" w:cs="Arial" w:eastAsia="Arial" w:hAnsi="Arial"/>
          <w:sz w:val="13"/>
          <w:szCs w:val="13"/>
          <w:color w:val="auto"/>
        </w:rPr>
        <w:t>Value determined by multiplying the number of vested shares by the closing market price per share of the Company's common stock on the vesting date or on the next business day in the event the vesting date was not on a business day.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35" w:lineRule="exact"/>
        <w:rPr>
          <w:sz w:val="20"/>
          <w:szCs w:val="20"/>
          <w:color w:val="auto"/>
        </w:rPr>
      </w:pPr>
    </w:p>
    <w:p>
      <w:pPr>
        <w:ind w:right="260" w:firstLine="546"/>
        <w:spacing w:after="0" w:line="289" w:lineRule="auto"/>
        <w:rPr>
          <w:sz w:val="20"/>
          <w:szCs w:val="20"/>
          <w:color w:val="auto"/>
        </w:rPr>
      </w:pPr>
      <w:r>
        <w:rPr>
          <w:rFonts w:ascii="Arial" w:cs="Arial" w:eastAsia="Arial" w:hAnsi="Arial"/>
          <w:sz w:val="16"/>
          <w:szCs w:val="16"/>
          <w:color w:val="auto"/>
        </w:rPr>
        <w:t>The following table contains information with respect to all of the Company’s compensation plans (including individual compensation arrangements) under which securities are authorized for issuance as of December 31, 2021.</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42"/>
        </w:trPr>
        <w:tc>
          <w:tcPr>
            <w:tcW w:w="3900" w:type="dxa"/>
            <w:vAlign w:val="bottom"/>
            <w:tcBorders>
              <w:top w:val="single" w:sz="8" w:color="auto"/>
              <w:left w:val="single" w:sz="8" w:color="auto"/>
            </w:tcBorders>
            <w:shd w:val="clear" w:color="auto" w:fill="086FB8"/>
          </w:tcPr>
          <w:p>
            <w:pPr>
              <w:spacing w:after="0"/>
              <w:rPr>
                <w:sz w:val="12"/>
                <w:szCs w:val="12"/>
                <w:color w:val="auto"/>
              </w:rPr>
            </w:pPr>
          </w:p>
        </w:tc>
        <w:tc>
          <w:tcPr>
            <w:tcW w:w="3300" w:type="dxa"/>
            <w:vAlign w:val="bottom"/>
            <w:tcBorders>
              <w:top w:val="single" w:sz="8" w:color="auto"/>
            </w:tcBorders>
            <w:shd w:val="clear" w:color="auto" w:fill="086FB8"/>
          </w:tcPr>
          <w:p>
            <w:pPr>
              <w:jc w:val="center"/>
              <w:ind w:left="1216"/>
              <w:spacing w:after="0"/>
              <w:rPr>
                <w:sz w:val="20"/>
                <w:szCs w:val="20"/>
                <w:color w:val="auto"/>
              </w:rPr>
            </w:pPr>
            <w:r>
              <w:rPr>
                <w:rFonts w:ascii="Arial" w:cs="Arial" w:eastAsia="Arial" w:hAnsi="Arial"/>
                <w:sz w:val="12"/>
                <w:szCs w:val="12"/>
                <w:b w:val="1"/>
                <w:bCs w:val="1"/>
                <w:color w:val="FFFFFF"/>
                <w:w w:val="94"/>
              </w:rPr>
              <w:t>Number of Securities</w:t>
            </w:r>
          </w:p>
        </w:tc>
        <w:tc>
          <w:tcPr>
            <w:tcW w:w="1820" w:type="dxa"/>
            <w:vAlign w:val="bottom"/>
            <w:tcBorders>
              <w:top w:val="single" w:sz="8" w:color="auto"/>
            </w:tcBorders>
            <w:shd w:val="clear" w:color="auto" w:fill="086FB8"/>
          </w:tcPr>
          <w:p>
            <w:pPr>
              <w:spacing w:after="0"/>
              <w:rPr>
                <w:sz w:val="12"/>
                <w:szCs w:val="12"/>
                <w:color w:val="auto"/>
              </w:rPr>
            </w:pPr>
          </w:p>
        </w:tc>
        <w:tc>
          <w:tcPr>
            <w:tcW w:w="2220" w:type="dxa"/>
            <w:vAlign w:val="bottom"/>
            <w:tcBorders>
              <w:top w:val="single" w:sz="8" w:color="auto"/>
              <w:right w:val="single" w:sz="8" w:color="auto"/>
            </w:tcBorders>
            <w:shd w:val="clear" w:color="auto" w:fill="086FB8"/>
          </w:tcPr>
          <w:p>
            <w:pPr>
              <w:jc w:val="center"/>
              <w:ind w:right="138"/>
              <w:spacing w:after="0"/>
              <w:rPr>
                <w:sz w:val="20"/>
                <w:szCs w:val="20"/>
                <w:color w:val="auto"/>
              </w:rPr>
            </w:pPr>
            <w:r>
              <w:rPr>
                <w:rFonts w:ascii="Arial" w:cs="Arial" w:eastAsia="Arial" w:hAnsi="Arial"/>
                <w:sz w:val="12"/>
                <w:szCs w:val="12"/>
                <w:b w:val="1"/>
                <w:bCs w:val="1"/>
                <w:color w:val="FFFFFF"/>
                <w:w w:val="92"/>
              </w:rPr>
              <w:t>Number of securities</w:t>
            </w:r>
          </w:p>
        </w:tc>
      </w:tr>
      <w:tr>
        <w:trPr>
          <w:trHeight w:val="134"/>
        </w:trPr>
        <w:tc>
          <w:tcPr>
            <w:tcW w:w="3900" w:type="dxa"/>
            <w:vAlign w:val="bottom"/>
            <w:tcBorders>
              <w:left w:val="single" w:sz="8" w:color="auto"/>
            </w:tcBorders>
            <w:shd w:val="clear" w:color="auto" w:fill="086FB8"/>
          </w:tcPr>
          <w:p>
            <w:pPr>
              <w:spacing w:after="0"/>
              <w:rPr>
                <w:sz w:val="11"/>
                <w:szCs w:val="11"/>
                <w:color w:val="auto"/>
              </w:rPr>
            </w:pPr>
          </w:p>
        </w:tc>
        <w:tc>
          <w:tcPr>
            <w:tcW w:w="3300" w:type="dxa"/>
            <w:vAlign w:val="bottom"/>
            <w:shd w:val="clear" w:color="auto" w:fill="086FB8"/>
          </w:tcPr>
          <w:p>
            <w:pPr>
              <w:jc w:val="center"/>
              <w:ind w:left="1216"/>
              <w:spacing w:after="0" w:line="134" w:lineRule="exact"/>
              <w:rPr>
                <w:sz w:val="20"/>
                <w:szCs w:val="20"/>
                <w:color w:val="auto"/>
              </w:rPr>
            </w:pPr>
            <w:r>
              <w:rPr>
                <w:rFonts w:ascii="Arial" w:cs="Arial" w:eastAsia="Arial" w:hAnsi="Arial"/>
                <w:sz w:val="12"/>
                <w:szCs w:val="12"/>
                <w:b w:val="1"/>
                <w:bCs w:val="1"/>
                <w:color w:val="FFFFFF"/>
                <w:w w:val="88"/>
              </w:rPr>
              <w:t>to be issued</w:t>
            </w:r>
          </w:p>
        </w:tc>
        <w:tc>
          <w:tcPr>
            <w:tcW w:w="1820" w:type="dxa"/>
            <w:vAlign w:val="bottom"/>
            <w:shd w:val="clear" w:color="auto" w:fill="086FB8"/>
          </w:tcPr>
          <w:p>
            <w:pPr>
              <w:jc w:val="center"/>
              <w:ind w:right="258"/>
              <w:spacing w:after="0" w:line="134" w:lineRule="exact"/>
              <w:rPr>
                <w:sz w:val="20"/>
                <w:szCs w:val="20"/>
                <w:color w:val="auto"/>
              </w:rPr>
            </w:pPr>
            <w:r>
              <w:rPr>
                <w:rFonts w:ascii="Arial" w:cs="Arial" w:eastAsia="Arial" w:hAnsi="Arial"/>
                <w:sz w:val="12"/>
                <w:szCs w:val="12"/>
                <w:b w:val="1"/>
                <w:bCs w:val="1"/>
                <w:color w:val="FFFFFF"/>
                <w:w w:val="91"/>
              </w:rPr>
              <w:t>Weighted average</w:t>
            </w:r>
          </w:p>
        </w:tc>
        <w:tc>
          <w:tcPr>
            <w:tcW w:w="2220" w:type="dxa"/>
            <w:vAlign w:val="bottom"/>
            <w:tcBorders>
              <w:right w:val="single" w:sz="8" w:color="auto"/>
            </w:tcBorders>
            <w:shd w:val="clear" w:color="auto" w:fill="086FB8"/>
          </w:tcPr>
          <w:p>
            <w:pPr>
              <w:jc w:val="center"/>
              <w:ind w:right="138"/>
              <w:spacing w:after="0" w:line="134" w:lineRule="exact"/>
              <w:rPr>
                <w:sz w:val="20"/>
                <w:szCs w:val="20"/>
                <w:color w:val="auto"/>
              </w:rPr>
            </w:pPr>
            <w:r>
              <w:rPr>
                <w:rFonts w:ascii="Arial" w:cs="Arial" w:eastAsia="Arial" w:hAnsi="Arial"/>
                <w:sz w:val="12"/>
                <w:szCs w:val="12"/>
                <w:b w:val="1"/>
                <w:bCs w:val="1"/>
                <w:color w:val="FFFFFF"/>
                <w:w w:val="95"/>
              </w:rPr>
              <w:t>remaining available</w:t>
            </w:r>
          </w:p>
        </w:tc>
      </w:tr>
      <w:tr>
        <w:trPr>
          <w:trHeight w:val="134"/>
        </w:trPr>
        <w:tc>
          <w:tcPr>
            <w:tcW w:w="3900" w:type="dxa"/>
            <w:vAlign w:val="bottom"/>
            <w:tcBorders>
              <w:left w:val="single" w:sz="8" w:color="auto"/>
            </w:tcBorders>
            <w:shd w:val="clear" w:color="auto" w:fill="086FB8"/>
          </w:tcPr>
          <w:p>
            <w:pPr>
              <w:spacing w:after="0"/>
              <w:rPr>
                <w:sz w:val="11"/>
                <w:szCs w:val="11"/>
                <w:color w:val="auto"/>
              </w:rPr>
            </w:pPr>
          </w:p>
        </w:tc>
        <w:tc>
          <w:tcPr>
            <w:tcW w:w="3300" w:type="dxa"/>
            <w:vAlign w:val="bottom"/>
            <w:shd w:val="clear" w:color="auto" w:fill="086FB8"/>
          </w:tcPr>
          <w:p>
            <w:pPr>
              <w:jc w:val="center"/>
              <w:ind w:left="1216"/>
              <w:spacing w:after="0" w:line="134" w:lineRule="exact"/>
              <w:rPr>
                <w:sz w:val="20"/>
                <w:szCs w:val="20"/>
                <w:color w:val="auto"/>
              </w:rPr>
            </w:pPr>
            <w:r>
              <w:rPr>
                <w:rFonts w:ascii="Arial" w:cs="Arial" w:eastAsia="Arial" w:hAnsi="Arial"/>
                <w:sz w:val="12"/>
                <w:szCs w:val="12"/>
                <w:b w:val="1"/>
                <w:bCs w:val="1"/>
                <w:color w:val="FFFFFF"/>
                <w:w w:val="90"/>
              </w:rPr>
              <w:t>upon exercise of</w:t>
            </w:r>
          </w:p>
        </w:tc>
        <w:tc>
          <w:tcPr>
            <w:tcW w:w="1820" w:type="dxa"/>
            <w:vAlign w:val="bottom"/>
            <w:shd w:val="clear" w:color="auto" w:fill="086FB8"/>
          </w:tcPr>
          <w:p>
            <w:pPr>
              <w:jc w:val="center"/>
              <w:ind w:right="258"/>
              <w:spacing w:after="0" w:line="134" w:lineRule="exact"/>
              <w:rPr>
                <w:sz w:val="20"/>
                <w:szCs w:val="20"/>
                <w:color w:val="auto"/>
              </w:rPr>
            </w:pPr>
            <w:r>
              <w:rPr>
                <w:rFonts w:ascii="Arial" w:cs="Arial" w:eastAsia="Arial" w:hAnsi="Arial"/>
                <w:sz w:val="12"/>
                <w:szCs w:val="12"/>
                <w:b w:val="1"/>
                <w:bCs w:val="1"/>
                <w:color w:val="FFFFFF"/>
                <w:w w:val="90"/>
              </w:rPr>
              <w:t>exercise price of</w:t>
            </w:r>
          </w:p>
        </w:tc>
        <w:tc>
          <w:tcPr>
            <w:tcW w:w="2220" w:type="dxa"/>
            <w:vAlign w:val="bottom"/>
            <w:tcBorders>
              <w:right w:val="single" w:sz="8" w:color="auto"/>
            </w:tcBorders>
            <w:shd w:val="clear" w:color="auto" w:fill="086FB8"/>
          </w:tcPr>
          <w:p>
            <w:pPr>
              <w:jc w:val="center"/>
              <w:ind w:right="138"/>
              <w:spacing w:after="0" w:line="134" w:lineRule="exact"/>
              <w:rPr>
                <w:sz w:val="20"/>
                <w:szCs w:val="20"/>
                <w:color w:val="auto"/>
              </w:rPr>
            </w:pPr>
            <w:r>
              <w:rPr>
                <w:rFonts w:ascii="Arial" w:cs="Arial" w:eastAsia="Arial" w:hAnsi="Arial"/>
                <w:sz w:val="12"/>
                <w:szCs w:val="12"/>
                <w:b w:val="1"/>
                <w:bCs w:val="1"/>
                <w:color w:val="FFFFFF"/>
                <w:w w:val="92"/>
              </w:rPr>
              <w:t>for future issuance under</w:t>
            </w:r>
          </w:p>
        </w:tc>
      </w:tr>
      <w:tr>
        <w:trPr>
          <w:trHeight w:val="134"/>
        </w:trPr>
        <w:tc>
          <w:tcPr>
            <w:tcW w:w="3900" w:type="dxa"/>
            <w:vAlign w:val="bottom"/>
            <w:tcBorders>
              <w:left w:val="single" w:sz="8" w:color="auto"/>
            </w:tcBorders>
            <w:shd w:val="clear" w:color="auto" w:fill="086FB8"/>
          </w:tcPr>
          <w:p>
            <w:pPr>
              <w:spacing w:after="0"/>
              <w:rPr>
                <w:sz w:val="11"/>
                <w:szCs w:val="11"/>
                <w:color w:val="auto"/>
              </w:rPr>
            </w:pPr>
          </w:p>
        </w:tc>
        <w:tc>
          <w:tcPr>
            <w:tcW w:w="3300" w:type="dxa"/>
            <w:vAlign w:val="bottom"/>
            <w:shd w:val="clear" w:color="auto" w:fill="086FB8"/>
          </w:tcPr>
          <w:p>
            <w:pPr>
              <w:jc w:val="center"/>
              <w:ind w:left="1216"/>
              <w:spacing w:after="0" w:line="134" w:lineRule="exact"/>
              <w:rPr>
                <w:sz w:val="20"/>
                <w:szCs w:val="20"/>
                <w:color w:val="auto"/>
              </w:rPr>
            </w:pPr>
            <w:r>
              <w:rPr>
                <w:rFonts w:ascii="Arial" w:cs="Arial" w:eastAsia="Arial" w:hAnsi="Arial"/>
                <w:sz w:val="12"/>
                <w:szCs w:val="12"/>
                <w:b w:val="1"/>
                <w:bCs w:val="1"/>
                <w:color w:val="FFFFFF"/>
                <w:w w:val="90"/>
              </w:rPr>
              <w:t>outstanding</w:t>
            </w:r>
          </w:p>
        </w:tc>
        <w:tc>
          <w:tcPr>
            <w:tcW w:w="1820" w:type="dxa"/>
            <w:vAlign w:val="bottom"/>
            <w:shd w:val="clear" w:color="auto" w:fill="086FB8"/>
          </w:tcPr>
          <w:p>
            <w:pPr>
              <w:jc w:val="center"/>
              <w:ind w:right="258"/>
              <w:spacing w:after="0" w:line="134" w:lineRule="exact"/>
              <w:rPr>
                <w:sz w:val="20"/>
                <w:szCs w:val="20"/>
                <w:color w:val="auto"/>
              </w:rPr>
            </w:pPr>
            <w:r>
              <w:rPr>
                <w:rFonts w:ascii="Arial" w:cs="Arial" w:eastAsia="Arial" w:hAnsi="Arial"/>
                <w:sz w:val="12"/>
                <w:szCs w:val="12"/>
                <w:b w:val="1"/>
                <w:bCs w:val="1"/>
                <w:color w:val="FFFFFF"/>
                <w:w w:val="90"/>
              </w:rPr>
              <w:t>outstanding</w:t>
            </w:r>
          </w:p>
        </w:tc>
        <w:tc>
          <w:tcPr>
            <w:tcW w:w="2220" w:type="dxa"/>
            <w:vAlign w:val="bottom"/>
            <w:tcBorders>
              <w:right w:val="single" w:sz="8" w:color="auto"/>
            </w:tcBorders>
            <w:shd w:val="clear" w:color="auto" w:fill="086FB8"/>
          </w:tcPr>
          <w:p>
            <w:pPr>
              <w:jc w:val="center"/>
              <w:ind w:right="138"/>
              <w:spacing w:after="0" w:line="134" w:lineRule="exact"/>
              <w:rPr>
                <w:sz w:val="20"/>
                <w:szCs w:val="20"/>
                <w:color w:val="auto"/>
              </w:rPr>
            </w:pPr>
            <w:r>
              <w:rPr>
                <w:rFonts w:ascii="Arial" w:cs="Arial" w:eastAsia="Arial" w:hAnsi="Arial"/>
                <w:sz w:val="12"/>
                <w:szCs w:val="12"/>
                <w:b w:val="1"/>
                <w:bCs w:val="1"/>
                <w:color w:val="FFFFFF"/>
                <w:w w:val="91"/>
              </w:rPr>
              <w:t>equity compensation plans</w:t>
            </w:r>
          </w:p>
        </w:tc>
      </w:tr>
      <w:tr>
        <w:trPr>
          <w:trHeight w:val="134"/>
        </w:trPr>
        <w:tc>
          <w:tcPr>
            <w:tcW w:w="3900" w:type="dxa"/>
            <w:vAlign w:val="bottom"/>
            <w:tcBorders>
              <w:left w:val="single" w:sz="8" w:color="auto"/>
            </w:tcBorders>
            <w:shd w:val="clear" w:color="auto" w:fill="086FB8"/>
          </w:tcPr>
          <w:p>
            <w:pPr>
              <w:spacing w:after="0"/>
              <w:rPr>
                <w:sz w:val="11"/>
                <w:szCs w:val="11"/>
                <w:color w:val="auto"/>
              </w:rPr>
            </w:pPr>
          </w:p>
        </w:tc>
        <w:tc>
          <w:tcPr>
            <w:tcW w:w="3300" w:type="dxa"/>
            <w:vAlign w:val="bottom"/>
            <w:shd w:val="clear" w:color="auto" w:fill="086FB8"/>
          </w:tcPr>
          <w:p>
            <w:pPr>
              <w:jc w:val="center"/>
              <w:ind w:left="1216"/>
              <w:spacing w:after="0" w:line="134" w:lineRule="exact"/>
              <w:rPr>
                <w:sz w:val="20"/>
                <w:szCs w:val="20"/>
                <w:color w:val="auto"/>
              </w:rPr>
            </w:pPr>
            <w:r>
              <w:rPr>
                <w:rFonts w:ascii="Arial" w:cs="Arial" w:eastAsia="Arial" w:hAnsi="Arial"/>
                <w:sz w:val="12"/>
                <w:szCs w:val="12"/>
                <w:b w:val="1"/>
                <w:bCs w:val="1"/>
                <w:color w:val="FFFFFF"/>
                <w:w w:val="93"/>
              </w:rPr>
              <w:t>options, warrants</w:t>
            </w:r>
          </w:p>
        </w:tc>
        <w:tc>
          <w:tcPr>
            <w:tcW w:w="1820" w:type="dxa"/>
            <w:vAlign w:val="bottom"/>
            <w:shd w:val="clear" w:color="auto" w:fill="086FB8"/>
          </w:tcPr>
          <w:p>
            <w:pPr>
              <w:jc w:val="center"/>
              <w:ind w:right="258"/>
              <w:spacing w:after="0" w:line="134" w:lineRule="exact"/>
              <w:rPr>
                <w:sz w:val="20"/>
                <w:szCs w:val="20"/>
                <w:color w:val="auto"/>
              </w:rPr>
            </w:pPr>
            <w:r>
              <w:rPr>
                <w:rFonts w:ascii="Arial" w:cs="Arial" w:eastAsia="Arial" w:hAnsi="Arial"/>
                <w:sz w:val="12"/>
                <w:szCs w:val="12"/>
                <w:b w:val="1"/>
                <w:bCs w:val="1"/>
                <w:color w:val="FFFFFF"/>
                <w:w w:val="93"/>
              </w:rPr>
              <w:t>options, warrants</w:t>
            </w:r>
          </w:p>
        </w:tc>
        <w:tc>
          <w:tcPr>
            <w:tcW w:w="2220" w:type="dxa"/>
            <w:vAlign w:val="bottom"/>
            <w:tcBorders>
              <w:right w:val="single" w:sz="8" w:color="auto"/>
            </w:tcBorders>
            <w:shd w:val="clear" w:color="auto" w:fill="086FB8"/>
          </w:tcPr>
          <w:p>
            <w:pPr>
              <w:jc w:val="center"/>
              <w:ind w:right="138"/>
              <w:spacing w:after="0" w:line="134" w:lineRule="exact"/>
              <w:rPr>
                <w:sz w:val="20"/>
                <w:szCs w:val="20"/>
                <w:color w:val="auto"/>
              </w:rPr>
            </w:pPr>
            <w:r>
              <w:rPr>
                <w:rFonts w:ascii="Arial" w:cs="Arial" w:eastAsia="Arial" w:hAnsi="Arial"/>
                <w:sz w:val="12"/>
                <w:szCs w:val="12"/>
                <w:b w:val="1"/>
                <w:bCs w:val="1"/>
                <w:color w:val="FFFFFF"/>
                <w:w w:val="92"/>
              </w:rPr>
              <w:t>(excluding securities</w:t>
            </w:r>
          </w:p>
        </w:tc>
      </w:tr>
      <w:tr>
        <w:trPr>
          <w:trHeight w:val="134"/>
        </w:trPr>
        <w:tc>
          <w:tcPr>
            <w:tcW w:w="3900" w:type="dxa"/>
            <w:vAlign w:val="bottom"/>
            <w:tcBorders>
              <w:left w:val="single" w:sz="8" w:color="auto"/>
            </w:tcBorders>
            <w:shd w:val="clear" w:color="auto" w:fill="086FB8"/>
          </w:tcPr>
          <w:p>
            <w:pPr>
              <w:spacing w:after="0"/>
              <w:rPr>
                <w:sz w:val="11"/>
                <w:szCs w:val="11"/>
                <w:color w:val="auto"/>
              </w:rPr>
            </w:pPr>
          </w:p>
        </w:tc>
        <w:tc>
          <w:tcPr>
            <w:tcW w:w="3300" w:type="dxa"/>
            <w:vAlign w:val="bottom"/>
            <w:shd w:val="clear" w:color="auto" w:fill="086FB8"/>
          </w:tcPr>
          <w:p>
            <w:pPr>
              <w:jc w:val="center"/>
              <w:ind w:left="1216"/>
              <w:spacing w:after="0" w:line="134" w:lineRule="exact"/>
              <w:rPr>
                <w:sz w:val="20"/>
                <w:szCs w:val="20"/>
                <w:color w:val="auto"/>
              </w:rPr>
            </w:pPr>
            <w:r>
              <w:rPr>
                <w:rFonts w:ascii="Arial" w:cs="Arial" w:eastAsia="Arial" w:hAnsi="Arial"/>
                <w:sz w:val="12"/>
                <w:szCs w:val="12"/>
                <w:b w:val="1"/>
                <w:bCs w:val="1"/>
                <w:color w:val="FFFFFF"/>
                <w:w w:val="93"/>
              </w:rPr>
              <w:t>and rights</w:t>
            </w:r>
          </w:p>
        </w:tc>
        <w:tc>
          <w:tcPr>
            <w:tcW w:w="1820" w:type="dxa"/>
            <w:vAlign w:val="bottom"/>
            <w:shd w:val="clear" w:color="auto" w:fill="086FB8"/>
          </w:tcPr>
          <w:p>
            <w:pPr>
              <w:jc w:val="center"/>
              <w:ind w:right="258"/>
              <w:spacing w:after="0" w:line="134" w:lineRule="exact"/>
              <w:rPr>
                <w:sz w:val="20"/>
                <w:szCs w:val="20"/>
                <w:color w:val="auto"/>
              </w:rPr>
            </w:pPr>
            <w:r>
              <w:rPr>
                <w:rFonts w:ascii="Arial" w:cs="Arial" w:eastAsia="Arial" w:hAnsi="Arial"/>
                <w:sz w:val="12"/>
                <w:szCs w:val="12"/>
                <w:b w:val="1"/>
                <w:bCs w:val="1"/>
                <w:color w:val="FFFFFF"/>
                <w:w w:val="93"/>
              </w:rPr>
              <w:t>and rights</w:t>
            </w:r>
          </w:p>
        </w:tc>
        <w:tc>
          <w:tcPr>
            <w:tcW w:w="2220" w:type="dxa"/>
            <w:vAlign w:val="bottom"/>
            <w:tcBorders>
              <w:right w:val="single" w:sz="8" w:color="auto"/>
            </w:tcBorders>
            <w:shd w:val="clear" w:color="auto" w:fill="086FB8"/>
          </w:tcPr>
          <w:p>
            <w:pPr>
              <w:jc w:val="center"/>
              <w:ind w:right="138"/>
              <w:spacing w:after="0" w:line="134" w:lineRule="exact"/>
              <w:rPr>
                <w:sz w:val="20"/>
                <w:szCs w:val="20"/>
                <w:color w:val="auto"/>
              </w:rPr>
            </w:pPr>
            <w:r>
              <w:rPr>
                <w:rFonts w:ascii="Arial" w:cs="Arial" w:eastAsia="Arial" w:hAnsi="Arial"/>
                <w:sz w:val="12"/>
                <w:szCs w:val="12"/>
                <w:b w:val="1"/>
                <w:bCs w:val="1"/>
                <w:color w:val="FFFFFF"/>
                <w:w w:val="93"/>
              </w:rPr>
              <w:t>reflected in column(A))</w:t>
            </w:r>
          </w:p>
        </w:tc>
      </w:tr>
      <w:tr>
        <w:trPr>
          <w:trHeight w:val="152"/>
        </w:trPr>
        <w:tc>
          <w:tcPr>
            <w:tcW w:w="3900" w:type="dxa"/>
            <w:vAlign w:val="bottom"/>
            <w:tcBorders>
              <w:left w:val="single" w:sz="8" w:color="auto"/>
              <w:bottom w:val="single" w:sz="8" w:color="auto"/>
            </w:tcBorders>
            <w:shd w:val="clear" w:color="auto" w:fill="086FB8"/>
          </w:tcPr>
          <w:p>
            <w:pPr>
              <w:ind w:left="140"/>
              <w:spacing w:after="0"/>
              <w:rPr>
                <w:sz w:val="20"/>
                <w:szCs w:val="20"/>
                <w:color w:val="auto"/>
              </w:rPr>
            </w:pPr>
            <w:r>
              <w:rPr>
                <w:rFonts w:ascii="Arial" w:cs="Arial" w:eastAsia="Arial" w:hAnsi="Arial"/>
                <w:sz w:val="12"/>
                <w:szCs w:val="12"/>
                <w:b w:val="1"/>
                <w:bCs w:val="1"/>
                <w:color w:val="FFFFFF"/>
              </w:rPr>
              <w:t>Plan Category</w:t>
            </w:r>
          </w:p>
        </w:tc>
        <w:tc>
          <w:tcPr>
            <w:tcW w:w="3300" w:type="dxa"/>
            <w:vAlign w:val="bottom"/>
            <w:tcBorders>
              <w:bottom w:val="single" w:sz="8" w:color="auto"/>
            </w:tcBorders>
            <w:shd w:val="clear" w:color="auto" w:fill="086FB8"/>
          </w:tcPr>
          <w:p>
            <w:pPr>
              <w:jc w:val="center"/>
              <w:ind w:left="1236"/>
              <w:spacing w:after="0"/>
              <w:rPr>
                <w:sz w:val="20"/>
                <w:szCs w:val="20"/>
                <w:color w:val="auto"/>
              </w:rPr>
            </w:pPr>
            <w:r>
              <w:rPr>
                <w:rFonts w:ascii="Arial" w:cs="Arial" w:eastAsia="Arial" w:hAnsi="Arial"/>
                <w:sz w:val="12"/>
                <w:szCs w:val="12"/>
                <w:b w:val="1"/>
                <w:bCs w:val="1"/>
                <w:color w:val="FFFFFF"/>
              </w:rPr>
              <w:t>(#)(A)</w:t>
            </w:r>
          </w:p>
        </w:tc>
        <w:tc>
          <w:tcPr>
            <w:tcW w:w="1820" w:type="dxa"/>
            <w:vAlign w:val="bottom"/>
            <w:tcBorders>
              <w:bottom w:val="single" w:sz="8" w:color="auto"/>
            </w:tcBorders>
            <w:shd w:val="clear" w:color="auto" w:fill="086FB8"/>
          </w:tcPr>
          <w:p>
            <w:pPr>
              <w:jc w:val="center"/>
              <w:ind w:right="258"/>
              <w:spacing w:after="0"/>
              <w:rPr>
                <w:sz w:val="20"/>
                <w:szCs w:val="20"/>
                <w:color w:val="auto"/>
              </w:rPr>
            </w:pPr>
            <w:r>
              <w:rPr>
                <w:rFonts w:ascii="Arial" w:cs="Arial" w:eastAsia="Arial" w:hAnsi="Arial"/>
                <w:sz w:val="12"/>
                <w:szCs w:val="12"/>
                <w:b w:val="1"/>
                <w:bCs w:val="1"/>
                <w:color w:val="FFFFFF"/>
                <w:w w:val="95"/>
              </w:rPr>
              <w:t>($)(B)</w:t>
            </w:r>
          </w:p>
        </w:tc>
        <w:tc>
          <w:tcPr>
            <w:tcW w:w="2220" w:type="dxa"/>
            <w:vAlign w:val="bottom"/>
            <w:tcBorders>
              <w:bottom w:val="single" w:sz="8" w:color="auto"/>
              <w:right w:val="single" w:sz="8" w:color="auto"/>
            </w:tcBorders>
            <w:shd w:val="clear" w:color="auto" w:fill="086FB8"/>
          </w:tcPr>
          <w:p>
            <w:pPr>
              <w:jc w:val="center"/>
              <w:ind w:right="118"/>
              <w:spacing w:after="0"/>
              <w:rPr>
                <w:sz w:val="20"/>
                <w:szCs w:val="20"/>
                <w:color w:val="auto"/>
              </w:rPr>
            </w:pPr>
            <w:r>
              <w:rPr>
                <w:rFonts w:ascii="Arial" w:cs="Arial" w:eastAsia="Arial" w:hAnsi="Arial"/>
                <w:sz w:val="12"/>
                <w:szCs w:val="12"/>
                <w:b w:val="1"/>
                <w:bCs w:val="1"/>
                <w:color w:val="FFFFFF"/>
              </w:rPr>
              <w:t>(#)(C)</w:t>
            </w:r>
          </w:p>
        </w:tc>
      </w:tr>
      <w:tr>
        <w:trPr>
          <w:trHeight w:val="140"/>
        </w:trPr>
        <w:tc>
          <w:tcPr>
            <w:tcW w:w="39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2"/>
                <w:szCs w:val="12"/>
                <w:color w:val="auto"/>
              </w:rPr>
              <w:t>Equity compensation plans approved by security holders</w:t>
            </w:r>
          </w:p>
        </w:tc>
        <w:tc>
          <w:tcPr>
            <w:tcW w:w="3300" w:type="dxa"/>
            <w:vAlign w:val="bottom"/>
            <w:tcBorders>
              <w:bottom w:val="single" w:sz="8" w:color="auto"/>
            </w:tcBorders>
          </w:tcPr>
          <w:p>
            <w:pPr>
              <w:jc w:val="right"/>
              <w:ind w:right="196"/>
              <w:spacing w:after="0"/>
              <w:rPr>
                <w:sz w:val="20"/>
                <w:szCs w:val="20"/>
                <w:color w:val="auto"/>
              </w:rPr>
            </w:pPr>
            <w:r>
              <w:rPr>
                <w:rFonts w:ascii="Arial" w:cs="Arial" w:eastAsia="Arial" w:hAnsi="Arial"/>
                <w:sz w:val="12"/>
                <w:szCs w:val="12"/>
                <w:color w:val="auto"/>
              </w:rPr>
              <w:t>17,301</w:t>
            </w:r>
          </w:p>
        </w:tc>
        <w:tc>
          <w:tcPr>
            <w:tcW w:w="182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47.72</w:t>
            </w:r>
          </w:p>
        </w:tc>
        <w:tc>
          <w:tcPr>
            <w:tcW w:w="2220" w:type="dxa"/>
            <w:vAlign w:val="bottom"/>
            <w:tcBorders>
              <w:bottom w:val="single" w:sz="8" w:color="auto"/>
              <w:right w:val="single" w:sz="8" w:color="auto"/>
            </w:tcBorders>
          </w:tcPr>
          <w:p>
            <w:pPr>
              <w:jc w:val="right"/>
              <w:ind w:right="78"/>
              <w:spacing w:after="0"/>
              <w:rPr>
                <w:sz w:val="20"/>
                <w:szCs w:val="20"/>
                <w:color w:val="auto"/>
              </w:rPr>
            </w:pPr>
            <w:r>
              <w:rPr>
                <w:rFonts w:ascii="Arial" w:cs="Arial" w:eastAsia="Arial" w:hAnsi="Arial"/>
                <w:sz w:val="12"/>
                <w:szCs w:val="12"/>
                <w:color w:val="auto"/>
              </w:rPr>
              <w:t>1,287,913</w:t>
            </w:r>
          </w:p>
        </w:tc>
      </w:tr>
      <w:tr>
        <w:trPr>
          <w:trHeight w:val="402"/>
        </w:trPr>
        <w:tc>
          <w:tcPr>
            <w:tcW w:w="3900" w:type="dxa"/>
            <w:vAlign w:val="bottom"/>
          </w:tcPr>
          <w:p>
            <w:pPr>
              <w:spacing w:after="0"/>
              <w:rPr>
                <w:sz w:val="24"/>
                <w:szCs w:val="24"/>
                <w:color w:val="auto"/>
              </w:rPr>
            </w:pPr>
          </w:p>
        </w:tc>
        <w:tc>
          <w:tcPr>
            <w:tcW w:w="3300" w:type="dxa"/>
            <w:vAlign w:val="bottom"/>
          </w:tcPr>
          <w:p>
            <w:pPr>
              <w:jc w:val="right"/>
              <w:ind w:right="736"/>
              <w:spacing w:after="0"/>
              <w:rPr>
                <w:sz w:val="20"/>
                <w:szCs w:val="20"/>
                <w:color w:val="auto"/>
              </w:rPr>
            </w:pPr>
            <w:r>
              <w:rPr>
                <w:rFonts w:ascii="Arial" w:cs="Arial" w:eastAsia="Arial" w:hAnsi="Arial"/>
                <w:sz w:val="16"/>
                <w:szCs w:val="16"/>
                <w:b w:val="1"/>
                <w:bCs w:val="1"/>
                <w:color w:val="auto"/>
              </w:rPr>
              <w:t>PENSION BENEFITS</w:t>
            </w:r>
          </w:p>
        </w:tc>
        <w:tc>
          <w:tcPr>
            <w:tcW w:w="182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line="210" w:lineRule="exact"/>
        <w:rPr>
          <w:sz w:val="20"/>
          <w:szCs w:val="20"/>
          <w:color w:val="auto"/>
        </w:rPr>
      </w:pPr>
    </w:p>
    <w:p>
      <w:pPr>
        <w:ind w:right="20" w:firstLine="546"/>
        <w:spacing w:after="0" w:line="288" w:lineRule="auto"/>
        <w:rPr>
          <w:sz w:val="20"/>
          <w:szCs w:val="20"/>
          <w:color w:val="auto"/>
        </w:rPr>
      </w:pPr>
      <w:r>
        <w:rPr>
          <w:rFonts w:ascii="Arial" w:cs="Arial" w:eastAsia="Arial" w:hAnsi="Arial"/>
          <w:sz w:val="15"/>
          <w:szCs w:val="15"/>
          <w:color w:val="auto"/>
        </w:rPr>
        <w:t>The Employees’ Retirement Plan of Bank of Hawaii (the “Retirement Plan”) provides retirement benefits for eligible employees based on the employee’s years of service and average annual salary during the 60 consecutive months resulting in the highest average salary (excluding overtime, incentive plan payouts, and discretionary cash awards). The Retirement Plan was frozen as of December 31, 1995, except that for the five-year period commencing January 1, 1996, benefits for certain eligible participants were increased in proportion to the increase in the participant’s average annual salary. As of December 31, 2000, the benefits under the Retirement Plan were completely frozen and not subject to increase for any additional years of service or increase in average annual salary. Mr. Ho and Ms. Sellers are the only named executive officers who are participants in the Retirement Plan. A summary of their benefits are listed below:</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42"/>
        </w:trPr>
        <w:tc>
          <w:tcPr>
            <w:tcW w:w="2060" w:type="dxa"/>
            <w:vAlign w:val="bottom"/>
            <w:tcBorders>
              <w:top w:val="single" w:sz="8" w:color="auto"/>
              <w:left w:val="single" w:sz="8" w:color="auto"/>
            </w:tcBorders>
            <w:shd w:val="clear" w:color="auto" w:fill="086FB8"/>
          </w:tcPr>
          <w:p>
            <w:pPr>
              <w:spacing w:after="0"/>
              <w:rPr>
                <w:sz w:val="12"/>
                <w:szCs w:val="12"/>
                <w:color w:val="auto"/>
              </w:rPr>
            </w:pPr>
          </w:p>
        </w:tc>
        <w:tc>
          <w:tcPr>
            <w:tcW w:w="4280" w:type="dxa"/>
            <w:vAlign w:val="bottom"/>
            <w:tcBorders>
              <w:top w:val="single" w:sz="8" w:color="auto"/>
            </w:tcBorders>
            <w:shd w:val="clear" w:color="auto" w:fill="086FB8"/>
          </w:tcPr>
          <w:p>
            <w:pPr>
              <w:spacing w:after="0"/>
              <w:rPr>
                <w:sz w:val="12"/>
                <w:szCs w:val="12"/>
                <w:color w:val="auto"/>
              </w:rPr>
            </w:pPr>
          </w:p>
        </w:tc>
        <w:tc>
          <w:tcPr>
            <w:tcW w:w="1780" w:type="dxa"/>
            <w:vAlign w:val="bottom"/>
            <w:tcBorders>
              <w:top w:val="single" w:sz="8" w:color="auto"/>
            </w:tcBorders>
            <w:shd w:val="clear" w:color="auto" w:fill="086FB8"/>
          </w:tcPr>
          <w:p>
            <w:pPr>
              <w:jc w:val="center"/>
              <w:ind w:left="218"/>
              <w:spacing w:after="0"/>
              <w:rPr>
                <w:sz w:val="20"/>
                <w:szCs w:val="20"/>
                <w:color w:val="auto"/>
              </w:rPr>
            </w:pPr>
            <w:r>
              <w:rPr>
                <w:rFonts w:ascii="Arial" w:cs="Arial" w:eastAsia="Arial" w:hAnsi="Arial"/>
                <w:sz w:val="12"/>
                <w:szCs w:val="12"/>
                <w:b w:val="1"/>
                <w:bCs w:val="1"/>
                <w:color w:val="FFFFFF"/>
                <w:w w:val="96"/>
              </w:rPr>
              <w:t>Number of</w:t>
            </w:r>
          </w:p>
        </w:tc>
        <w:tc>
          <w:tcPr>
            <w:tcW w:w="1740" w:type="dxa"/>
            <w:vAlign w:val="bottom"/>
            <w:tcBorders>
              <w:top w:val="single" w:sz="8" w:color="auto"/>
            </w:tcBorders>
            <w:shd w:val="clear" w:color="auto" w:fill="086FB8"/>
          </w:tcPr>
          <w:p>
            <w:pPr>
              <w:jc w:val="center"/>
              <w:ind w:right="78"/>
              <w:spacing w:after="0"/>
              <w:rPr>
                <w:sz w:val="20"/>
                <w:szCs w:val="20"/>
                <w:color w:val="auto"/>
              </w:rPr>
            </w:pPr>
            <w:r>
              <w:rPr>
                <w:rFonts w:ascii="Arial" w:cs="Arial" w:eastAsia="Arial" w:hAnsi="Arial"/>
                <w:sz w:val="12"/>
                <w:szCs w:val="12"/>
                <w:b w:val="1"/>
                <w:bCs w:val="1"/>
                <w:color w:val="FFFFFF"/>
                <w:w w:val="90"/>
              </w:rPr>
              <w:t>Present</w:t>
            </w:r>
          </w:p>
        </w:tc>
        <w:tc>
          <w:tcPr>
            <w:tcW w:w="1380" w:type="dxa"/>
            <w:vAlign w:val="bottom"/>
            <w:tcBorders>
              <w:top w:val="single" w:sz="8" w:color="auto"/>
              <w:right w:val="single" w:sz="8" w:color="auto"/>
            </w:tcBorders>
            <w:shd w:val="clear" w:color="auto" w:fill="086FB8"/>
          </w:tcPr>
          <w:p>
            <w:pPr>
              <w:jc w:val="center"/>
              <w:ind w:right="78"/>
              <w:spacing w:after="0"/>
              <w:rPr>
                <w:sz w:val="20"/>
                <w:szCs w:val="20"/>
                <w:color w:val="auto"/>
              </w:rPr>
            </w:pPr>
            <w:r>
              <w:rPr>
                <w:rFonts w:ascii="Arial" w:cs="Arial" w:eastAsia="Arial" w:hAnsi="Arial"/>
                <w:sz w:val="12"/>
                <w:szCs w:val="12"/>
                <w:b w:val="1"/>
                <w:bCs w:val="1"/>
                <w:color w:val="FFFFFF"/>
                <w:w w:val="91"/>
              </w:rPr>
              <w:t>Payments</w:t>
            </w:r>
          </w:p>
        </w:tc>
      </w:tr>
      <w:tr>
        <w:trPr>
          <w:trHeight w:val="134"/>
        </w:trPr>
        <w:tc>
          <w:tcPr>
            <w:tcW w:w="2060" w:type="dxa"/>
            <w:vAlign w:val="bottom"/>
            <w:tcBorders>
              <w:left w:val="single" w:sz="8" w:color="auto"/>
            </w:tcBorders>
            <w:shd w:val="clear" w:color="auto" w:fill="086FB8"/>
          </w:tcPr>
          <w:p>
            <w:pPr>
              <w:spacing w:after="0"/>
              <w:rPr>
                <w:sz w:val="11"/>
                <w:szCs w:val="11"/>
                <w:color w:val="auto"/>
              </w:rPr>
            </w:pPr>
          </w:p>
        </w:tc>
        <w:tc>
          <w:tcPr>
            <w:tcW w:w="4280" w:type="dxa"/>
            <w:vAlign w:val="bottom"/>
            <w:shd w:val="clear" w:color="auto" w:fill="086FB8"/>
          </w:tcPr>
          <w:p>
            <w:pPr>
              <w:spacing w:after="0"/>
              <w:rPr>
                <w:sz w:val="11"/>
                <w:szCs w:val="11"/>
                <w:color w:val="auto"/>
              </w:rPr>
            </w:pPr>
          </w:p>
        </w:tc>
        <w:tc>
          <w:tcPr>
            <w:tcW w:w="1780" w:type="dxa"/>
            <w:vAlign w:val="bottom"/>
            <w:shd w:val="clear" w:color="auto" w:fill="086FB8"/>
          </w:tcPr>
          <w:p>
            <w:pPr>
              <w:jc w:val="center"/>
              <w:ind w:left="218"/>
              <w:spacing w:after="0" w:line="134" w:lineRule="exact"/>
              <w:rPr>
                <w:sz w:val="20"/>
                <w:szCs w:val="20"/>
                <w:color w:val="auto"/>
              </w:rPr>
            </w:pPr>
            <w:r>
              <w:rPr>
                <w:rFonts w:ascii="Arial" w:cs="Arial" w:eastAsia="Arial" w:hAnsi="Arial"/>
                <w:sz w:val="12"/>
                <w:szCs w:val="12"/>
                <w:b w:val="1"/>
                <w:bCs w:val="1"/>
                <w:color w:val="FFFFFF"/>
                <w:w w:val="97"/>
              </w:rPr>
              <w:t>Years of</w:t>
            </w:r>
          </w:p>
        </w:tc>
        <w:tc>
          <w:tcPr>
            <w:tcW w:w="1740" w:type="dxa"/>
            <w:vAlign w:val="bottom"/>
            <w:shd w:val="clear" w:color="auto" w:fill="086FB8"/>
          </w:tcPr>
          <w:p>
            <w:pPr>
              <w:jc w:val="center"/>
              <w:ind w:right="78"/>
              <w:spacing w:after="0" w:line="134" w:lineRule="exact"/>
              <w:rPr>
                <w:sz w:val="20"/>
                <w:szCs w:val="20"/>
                <w:color w:val="auto"/>
              </w:rPr>
            </w:pPr>
            <w:r>
              <w:rPr>
                <w:rFonts w:ascii="Arial" w:cs="Arial" w:eastAsia="Arial" w:hAnsi="Arial"/>
                <w:sz w:val="12"/>
                <w:szCs w:val="12"/>
                <w:b w:val="1"/>
                <w:bCs w:val="1"/>
                <w:color w:val="FFFFFF"/>
                <w:w w:val="94"/>
              </w:rPr>
              <w:t>Value of</w:t>
            </w:r>
          </w:p>
        </w:tc>
        <w:tc>
          <w:tcPr>
            <w:tcW w:w="1380" w:type="dxa"/>
            <w:vAlign w:val="bottom"/>
            <w:tcBorders>
              <w:right w:val="single" w:sz="8" w:color="auto"/>
            </w:tcBorders>
            <w:shd w:val="clear" w:color="auto" w:fill="086FB8"/>
          </w:tcPr>
          <w:p>
            <w:pPr>
              <w:jc w:val="center"/>
              <w:ind w:right="98"/>
              <w:spacing w:after="0" w:line="134" w:lineRule="exact"/>
              <w:rPr>
                <w:sz w:val="20"/>
                <w:szCs w:val="20"/>
                <w:color w:val="auto"/>
              </w:rPr>
            </w:pPr>
            <w:r>
              <w:rPr>
                <w:rFonts w:ascii="Arial" w:cs="Arial" w:eastAsia="Arial" w:hAnsi="Arial"/>
                <w:sz w:val="12"/>
                <w:szCs w:val="12"/>
                <w:b w:val="1"/>
                <w:bCs w:val="1"/>
                <w:color w:val="FFFFFF"/>
                <w:w w:val="98"/>
              </w:rPr>
              <w:t>During</w:t>
            </w:r>
          </w:p>
        </w:tc>
      </w:tr>
      <w:tr>
        <w:trPr>
          <w:trHeight w:val="134"/>
        </w:trPr>
        <w:tc>
          <w:tcPr>
            <w:tcW w:w="2060" w:type="dxa"/>
            <w:vAlign w:val="bottom"/>
            <w:tcBorders>
              <w:left w:val="single" w:sz="8" w:color="auto"/>
            </w:tcBorders>
            <w:shd w:val="clear" w:color="auto" w:fill="086FB8"/>
          </w:tcPr>
          <w:p>
            <w:pPr>
              <w:spacing w:after="0"/>
              <w:rPr>
                <w:sz w:val="11"/>
                <w:szCs w:val="11"/>
                <w:color w:val="auto"/>
              </w:rPr>
            </w:pPr>
          </w:p>
        </w:tc>
        <w:tc>
          <w:tcPr>
            <w:tcW w:w="4280" w:type="dxa"/>
            <w:vAlign w:val="bottom"/>
            <w:shd w:val="clear" w:color="auto" w:fill="086FB8"/>
          </w:tcPr>
          <w:p>
            <w:pPr>
              <w:spacing w:after="0"/>
              <w:rPr>
                <w:sz w:val="11"/>
                <w:szCs w:val="11"/>
                <w:color w:val="auto"/>
              </w:rPr>
            </w:pPr>
          </w:p>
        </w:tc>
        <w:tc>
          <w:tcPr>
            <w:tcW w:w="1780" w:type="dxa"/>
            <w:vAlign w:val="bottom"/>
            <w:shd w:val="clear" w:color="auto" w:fill="086FB8"/>
          </w:tcPr>
          <w:p>
            <w:pPr>
              <w:jc w:val="center"/>
              <w:ind w:left="238"/>
              <w:spacing w:after="0" w:line="134" w:lineRule="exact"/>
              <w:rPr>
                <w:sz w:val="20"/>
                <w:szCs w:val="20"/>
                <w:color w:val="auto"/>
              </w:rPr>
            </w:pPr>
            <w:r>
              <w:rPr>
                <w:rFonts w:ascii="Arial" w:cs="Arial" w:eastAsia="Arial" w:hAnsi="Arial"/>
                <w:sz w:val="12"/>
                <w:szCs w:val="12"/>
                <w:b w:val="1"/>
                <w:bCs w:val="1"/>
                <w:color w:val="FFFFFF"/>
                <w:w w:val="98"/>
              </w:rPr>
              <w:t>Credited</w:t>
            </w:r>
          </w:p>
        </w:tc>
        <w:tc>
          <w:tcPr>
            <w:tcW w:w="1740" w:type="dxa"/>
            <w:vAlign w:val="bottom"/>
            <w:shd w:val="clear" w:color="auto" w:fill="086FB8"/>
          </w:tcPr>
          <w:p>
            <w:pPr>
              <w:jc w:val="center"/>
              <w:ind w:right="78"/>
              <w:spacing w:after="0" w:line="134" w:lineRule="exact"/>
              <w:rPr>
                <w:sz w:val="20"/>
                <w:szCs w:val="20"/>
                <w:color w:val="auto"/>
              </w:rPr>
            </w:pPr>
            <w:r>
              <w:rPr>
                <w:rFonts w:ascii="Arial" w:cs="Arial" w:eastAsia="Arial" w:hAnsi="Arial"/>
                <w:sz w:val="12"/>
                <w:szCs w:val="12"/>
                <w:b w:val="1"/>
                <w:bCs w:val="1"/>
                <w:color w:val="FFFFFF"/>
                <w:w w:val="95"/>
              </w:rPr>
              <w:t>Accumulated</w:t>
            </w:r>
          </w:p>
        </w:tc>
        <w:tc>
          <w:tcPr>
            <w:tcW w:w="1380" w:type="dxa"/>
            <w:vAlign w:val="bottom"/>
            <w:tcBorders>
              <w:right w:val="single" w:sz="8" w:color="auto"/>
            </w:tcBorders>
            <w:shd w:val="clear" w:color="auto" w:fill="086FB8"/>
          </w:tcPr>
          <w:p>
            <w:pPr>
              <w:jc w:val="center"/>
              <w:ind w:right="98"/>
              <w:spacing w:after="0" w:line="134" w:lineRule="exact"/>
              <w:rPr>
                <w:sz w:val="20"/>
                <w:szCs w:val="20"/>
                <w:color w:val="auto"/>
              </w:rPr>
            </w:pPr>
            <w:r>
              <w:rPr>
                <w:rFonts w:ascii="Arial" w:cs="Arial" w:eastAsia="Arial" w:hAnsi="Arial"/>
                <w:sz w:val="12"/>
                <w:szCs w:val="12"/>
                <w:b w:val="1"/>
                <w:bCs w:val="1"/>
                <w:color w:val="FFFFFF"/>
                <w:w w:val="93"/>
              </w:rPr>
              <w:t>Last Fiscal</w:t>
            </w:r>
          </w:p>
        </w:tc>
      </w:tr>
      <w:tr>
        <w:trPr>
          <w:trHeight w:val="134"/>
        </w:trPr>
        <w:tc>
          <w:tcPr>
            <w:tcW w:w="2060" w:type="dxa"/>
            <w:vAlign w:val="bottom"/>
            <w:tcBorders>
              <w:left w:val="single" w:sz="8" w:color="auto"/>
            </w:tcBorders>
            <w:shd w:val="clear" w:color="auto" w:fill="086FB8"/>
          </w:tcPr>
          <w:p>
            <w:pPr>
              <w:spacing w:after="0"/>
              <w:rPr>
                <w:sz w:val="11"/>
                <w:szCs w:val="11"/>
                <w:color w:val="auto"/>
              </w:rPr>
            </w:pPr>
          </w:p>
        </w:tc>
        <w:tc>
          <w:tcPr>
            <w:tcW w:w="4280" w:type="dxa"/>
            <w:vAlign w:val="bottom"/>
            <w:shd w:val="clear" w:color="auto" w:fill="086FB8"/>
          </w:tcPr>
          <w:p>
            <w:pPr>
              <w:spacing w:after="0"/>
              <w:rPr>
                <w:sz w:val="11"/>
                <w:szCs w:val="11"/>
                <w:color w:val="auto"/>
              </w:rPr>
            </w:pPr>
          </w:p>
        </w:tc>
        <w:tc>
          <w:tcPr>
            <w:tcW w:w="1780" w:type="dxa"/>
            <w:vAlign w:val="bottom"/>
            <w:shd w:val="clear" w:color="auto" w:fill="086FB8"/>
          </w:tcPr>
          <w:p>
            <w:pPr>
              <w:jc w:val="center"/>
              <w:ind w:left="238"/>
              <w:spacing w:after="0" w:line="134" w:lineRule="exact"/>
              <w:rPr>
                <w:sz w:val="20"/>
                <w:szCs w:val="20"/>
                <w:color w:val="auto"/>
              </w:rPr>
            </w:pPr>
            <w:r>
              <w:rPr>
                <w:rFonts w:ascii="Arial" w:cs="Arial" w:eastAsia="Arial" w:hAnsi="Arial"/>
                <w:sz w:val="12"/>
                <w:szCs w:val="12"/>
                <w:b w:val="1"/>
                <w:bCs w:val="1"/>
                <w:color w:val="FFFFFF"/>
                <w:w w:val="93"/>
              </w:rPr>
              <w:t>Service</w:t>
            </w:r>
          </w:p>
        </w:tc>
        <w:tc>
          <w:tcPr>
            <w:tcW w:w="1740" w:type="dxa"/>
            <w:vAlign w:val="bottom"/>
            <w:shd w:val="clear" w:color="auto" w:fill="086FB8"/>
          </w:tcPr>
          <w:p>
            <w:pPr>
              <w:jc w:val="center"/>
              <w:ind w:right="78"/>
              <w:spacing w:after="0" w:line="134" w:lineRule="exact"/>
              <w:rPr>
                <w:sz w:val="20"/>
                <w:szCs w:val="20"/>
                <w:color w:val="auto"/>
              </w:rPr>
            </w:pPr>
            <w:r>
              <w:rPr>
                <w:rFonts w:ascii="Arial" w:cs="Arial" w:eastAsia="Arial" w:hAnsi="Arial"/>
                <w:sz w:val="12"/>
                <w:szCs w:val="12"/>
                <w:b w:val="1"/>
                <w:bCs w:val="1"/>
                <w:color w:val="FFFFFF"/>
                <w:w w:val="92"/>
              </w:rPr>
              <w:t>Benefits</w:t>
            </w:r>
          </w:p>
        </w:tc>
        <w:tc>
          <w:tcPr>
            <w:tcW w:w="1380" w:type="dxa"/>
            <w:vAlign w:val="bottom"/>
            <w:tcBorders>
              <w:right w:val="single" w:sz="8" w:color="auto"/>
            </w:tcBorders>
            <w:shd w:val="clear" w:color="auto" w:fill="086FB8"/>
          </w:tcPr>
          <w:p>
            <w:pPr>
              <w:jc w:val="center"/>
              <w:ind w:right="98"/>
              <w:spacing w:after="0" w:line="134" w:lineRule="exact"/>
              <w:rPr>
                <w:sz w:val="20"/>
                <w:szCs w:val="20"/>
                <w:color w:val="auto"/>
              </w:rPr>
            </w:pPr>
            <w:r>
              <w:rPr>
                <w:rFonts w:ascii="Arial" w:cs="Arial" w:eastAsia="Arial" w:hAnsi="Arial"/>
                <w:sz w:val="12"/>
                <w:szCs w:val="12"/>
                <w:b w:val="1"/>
                <w:bCs w:val="1"/>
                <w:color w:val="FFFFFF"/>
                <w:w w:val="99"/>
              </w:rPr>
              <w:t>Year</w:t>
            </w:r>
          </w:p>
        </w:tc>
      </w:tr>
      <w:tr>
        <w:trPr>
          <w:trHeight w:val="152"/>
        </w:trPr>
        <w:tc>
          <w:tcPr>
            <w:tcW w:w="2060" w:type="dxa"/>
            <w:vAlign w:val="bottom"/>
            <w:tcBorders>
              <w:left w:val="single" w:sz="8" w:color="auto"/>
              <w:bottom w:val="single" w:sz="8" w:color="auto"/>
            </w:tcBorders>
            <w:shd w:val="clear" w:color="auto" w:fill="086FB8"/>
          </w:tcPr>
          <w:p>
            <w:pPr>
              <w:ind w:left="140"/>
              <w:spacing w:after="0"/>
              <w:rPr>
                <w:sz w:val="20"/>
                <w:szCs w:val="20"/>
                <w:color w:val="auto"/>
              </w:rPr>
            </w:pPr>
            <w:r>
              <w:rPr>
                <w:rFonts w:ascii="Arial" w:cs="Arial" w:eastAsia="Arial" w:hAnsi="Arial"/>
                <w:sz w:val="12"/>
                <w:szCs w:val="12"/>
                <w:b w:val="1"/>
                <w:bCs w:val="1"/>
                <w:color w:val="FFFFFF"/>
              </w:rPr>
              <w:t>Name</w:t>
            </w:r>
          </w:p>
        </w:tc>
        <w:tc>
          <w:tcPr>
            <w:tcW w:w="4280" w:type="dxa"/>
            <w:vAlign w:val="bottom"/>
            <w:tcBorders>
              <w:bottom w:val="single" w:sz="8" w:color="auto"/>
            </w:tcBorders>
            <w:shd w:val="clear" w:color="auto" w:fill="086FB8"/>
          </w:tcPr>
          <w:p>
            <w:pPr>
              <w:jc w:val="center"/>
              <w:ind w:left="298"/>
              <w:spacing w:after="0"/>
              <w:rPr>
                <w:sz w:val="20"/>
                <w:szCs w:val="20"/>
                <w:color w:val="auto"/>
              </w:rPr>
            </w:pPr>
            <w:r>
              <w:rPr>
                <w:rFonts w:ascii="Arial" w:cs="Arial" w:eastAsia="Arial" w:hAnsi="Arial"/>
                <w:sz w:val="12"/>
                <w:szCs w:val="12"/>
                <w:b w:val="1"/>
                <w:bCs w:val="1"/>
                <w:color w:val="FFFFFF"/>
                <w:w w:val="97"/>
              </w:rPr>
              <w:t>Plan Name</w:t>
            </w:r>
          </w:p>
        </w:tc>
        <w:tc>
          <w:tcPr>
            <w:tcW w:w="1780" w:type="dxa"/>
            <w:vAlign w:val="bottom"/>
            <w:tcBorders>
              <w:bottom w:val="single" w:sz="8" w:color="auto"/>
            </w:tcBorders>
            <w:shd w:val="clear" w:color="auto" w:fill="086FB8"/>
          </w:tcPr>
          <w:p>
            <w:pPr>
              <w:jc w:val="center"/>
              <w:ind w:left="218"/>
              <w:spacing w:after="0"/>
              <w:rPr>
                <w:sz w:val="20"/>
                <w:szCs w:val="20"/>
                <w:color w:val="auto"/>
              </w:rPr>
            </w:pPr>
            <w:r>
              <w:rPr>
                <w:rFonts w:ascii="Arial" w:cs="Arial" w:eastAsia="Arial" w:hAnsi="Arial"/>
                <w:sz w:val="12"/>
                <w:szCs w:val="12"/>
                <w:b w:val="1"/>
                <w:bCs w:val="1"/>
                <w:color w:val="FFFFFF"/>
                <w:w w:val="95"/>
              </w:rPr>
              <w:t>(#)</w:t>
            </w:r>
          </w:p>
        </w:tc>
        <w:tc>
          <w:tcPr>
            <w:tcW w:w="1740" w:type="dxa"/>
            <w:vAlign w:val="bottom"/>
            <w:tcBorders>
              <w:bottom w:val="single" w:sz="8" w:color="auto"/>
            </w:tcBorders>
            <w:shd w:val="clear" w:color="auto" w:fill="086FB8"/>
          </w:tcPr>
          <w:p>
            <w:pPr>
              <w:jc w:val="center"/>
              <w:ind w:right="78"/>
              <w:spacing w:after="0"/>
              <w:rPr>
                <w:sz w:val="20"/>
                <w:szCs w:val="20"/>
                <w:color w:val="auto"/>
              </w:rPr>
            </w:pPr>
            <w:r>
              <w:rPr>
                <w:rFonts w:ascii="Arial" w:cs="Arial" w:eastAsia="Arial" w:hAnsi="Arial"/>
                <w:sz w:val="12"/>
                <w:szCs w:val="12"/>
                <w:b w:val="1"/>
                <w:bCs w:val="1"/>
                <w:color w:val="FFFFFF"/>
              </w:rPr>
              <w:t>($)</w:t>
            </w:r>
          </w:p>
        </w:tc>
        <w:tc>
          <w:tcPr>
            <w:tcW w:w="1380" w:type="dxa"/>
            <w:vAlign w:val="bottom"/>
            <w:tcBorders>
              <w:bottom w:val="single" w:sz="8" w:color="auto"/>
              <w:right w:val="single" w:sz="8" w:color="auto"/>
            </w:tcBorders>
            <w:shd w:val="clear" w:color="auto" w:fill="086FB8"/>
          </w:tcPr>
          <w:p>
            <w:pPr>
              <w:jc w:val="center"/>
              <w:ind w:right="98"/>
              <w:spacing w:after="0"/>
              <w:rPr>
                <w:sz w:val="20"/>
                <w:szCs w:val="20"/>
                <w:color w:val="auto"/>
              </w:rPr>
            </w:pPr>
            <w:r>
              <w:rPr>
                <w:rFonts w:ascii="Arial" w:cs="Arial" w:eastAsia="Arial" w:hAnsi="Arial"/>
                <w:sz w:val="12"/>
                <w:szCs w:val="12"/>
                <w:b w:val="1"/>
                <w:bCs w:val="1"/>
                <w:color w:val="FFFFFF"/>
                <w:w w:val="95"/>
              </w:rPr>
              <w:t>($)</w:t>
            </w:r>
          </w:p>
        </w:tc>
      </w:tr>
      <w:tr>
        <w:trPr>
          <w:trHeight w:val="140"/>
        </w:trPr>
        <w:tc>
          <w:tcPr>
            <w:tcW w:w="206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Peter S. Ho</w:t>
            </w:r>
          </w:p>
        </w:tc>
        <w:tc>
          <w:tcPr>
            <w:tcW w:w="4280" w:type="dxa"/>
            <w:vAlign w:val="bottom"/>
          </w:tcPr>
          <w:p>
            <w:pPr>
              <w:jc w:val="center"/>
              <w:ind w:left="298"/>
              <w:spacing w:after="0"/>
              <w:rPr>
                <w:sz w:val="20"/>
                <w:szCs w:val="20"/>
                <w:color w:val="auto"/>
              </w:rPr>
            </w:pPr>
            <w:r>
              <w:rPr>
                <w:rFonts w:ascii="Arial" w:cs="Arial" w:eastAsia="Arial" w:hAnsi="Arial"/>
                <w:sz w:val="12"/>
                <w:szCs w:val="12"/>
                <w:color w:val="auto"/>
                <w:w w:val="96"/>
              </w:rPr>
              <w:t>Employees’ Retirement Plan of Bank of Hawaii</w:t>
            </w:r>
          </w:p>
        </w:tc>
        <w:tc>
          <w:tcPr>
            <w:tcW w:w="1780" w:type="dxa"/>
            <w:vAlign w:val="bottom"/>
          </w:tcPr>
          <w:p>
            <w:pPr>
              <w:jc w:val="right"/>
              <w:ind w:right="598"/>
              <w:spacing w:after="0"/>
              <w:rPr>
                <w:sz w:val="20"/>
                <w:szCs w:val="20"/>
                <w:color w:val="auto"/>
              </w:rPr>
            </w:pPr>
            <w:r>
              <w:rPr>
                <w:rFonts w:ascii="Arial" w:cs="Arial" w:eastAsia="Arial" w:hAnsi="Arial"/>
                <w:sz w:val="12"/>
                <w:szCs w:val="12"/>
                <w:color w:val="auto"/>
              </w:rPr>
              <w:t>2</w:t>
            </w:r>
          </w:p>
        </w:tc>
        <w:tc>
          <w:tcPr>
            <w:tcW w:w="1740" w:type="dxa"/>
            <w:vAlign w:val="bottom"/>
          </w:tcPr>
          <w:p>
            <w:pPr>
              <w:jc w:val="right"/>
              <w:ind w:right="258"/>
              <w:spacing w:after="0"/>
              <w:rPr>
                <w:sz w:val="20"/>
                <w:szCs w:val="20"/>
                <w:color w:val="auto"/>
              </w:rPr>
            </w:pPr>
            <w:r>
              <w:rPr>
                <w:rFonts w:ascii="Arial" w:cs="Arial" w:eastAsia="Arial" w:hAnsi="Arial"/>
                <w:sz w:val="12"/>
                <w:szCs w:val="12"/>
                <w:color w:val="auto"/>
              </w:rPr>
              <w:t>19,459</w:t>
            </w:r>
          </w:p>
        </w:tc>
        <w:tc>
          <w:tcPr>
            <w:tcW w:w="1380" w:type="dxa"/>
            <w:vAlign w:val="bottom"/>
            <w:tcBorders>
              <w:right w:val="single" w:sz="8" w:color="auto"/>
            </w:tcBorders>
          </w:tcPr>
          <w:p>
            <w:pPr>
              <w:ind w:left="1100"/>
              <w:spacing w:after="0"/>
              <w:rPr>
                <w:sz w:val="20"/>
                <w:szCs w:val="20"/>
                <w:color w:val="auto"/>
              </w:rPr>
            </w:pPr>
            <w:r>
              <w:rPr>
                <w:rFonts w:ascii="Arial" w:cs="Arial" w:eastAsia="Arial" w:hAnsi="Arial"/>
                <w:sz w:val="12"/>
                <w:szCs w:val="12"/>
                <w:color w:val="auto"/>
              </w:rPr>
              <w:t>—</w:t>
            </w:r>
          </w:p>
        </w:tc>
      </w:tr>
      <w:tr>
        <w:trPr>
          <w:trHeight w:val="148"/>
        </w:trPr>
        <w:tc>
          <w:tcPr>
            <w:tcW w:w="206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2"/>
                <w:szCs w:val="12"/>
                <w:color w:val="auto"/>
              </w:rPr>
              <w:t>Mary E. Sellers</w:t>
            </w:r>
          </w:p>
        </w:tc>
        <w:tc>
          <w:tcPr>
            <w:tcW w:w="4280" w:type="dxa"/>
            <w:vAlign w:val="bottom"/>
            <w:tcBorders>
              <w:bottom w:val="single" w:sz="8" w:color="auto"/>
            </w:tcBorders>
          </w:tcPr>
          <w:p>
            <w:pPr>
              <w:jc w:val="center"/>
              <w:ind w:left="298"/>
              <w:spacing w:after="0"/>
              <w:rPr>
                <w:sz w:val="20"/>
                <w:szCs w:val="20"/>
                <w:color w:val="auto"/>
              </w:rPr>
            </w:pPr>
            <w:r>
              <w:rPr>
                <w:rFonts w:ascii="Arial" w:cs="Arial" w:eastAsia="Arial" w:hAnsi="Arial"/>
                <w:sz w:val="12"/>
                <w:szCs w:val="12"/>
                <w:color w:val="auto"/>
                <w:w w:val="96"/>
              </w:rPr>
              <w:t>Employees’ Retirement Plan of Bank of Hawaii</w:t>
            </w:r>
          </w:p>
        </w:tc>
        <w:tc>
          <w:tcPr>
            <w:tcW w:w="1780" w:type="dxa"/>
            <w:vAlign w:val="bottom"/>
            <w:tcBorders>
              <w:bottom w:val="single" w:sz="8" w:color="auto"/>
            </w:tcBorders>
          </w:tcPr>
          <w:p>
            <w:pPr>
              <w:jc w:val="right"/>
              <w:ind w:right="598"/>
              <w:spacing w:after="0"/>
              <w:rPr>
                <w:sz w:val="20"/>
                <w:szCs w:val="20"/>
                <w:color w:val="auto"/>
              </w:rPr>
            </w:pPr>
            <w:r>
              <w:rPr>
                <w:rFonts w:ascii="Arial" w:cs="Arial" w:eastAsia="Arial" w:hAnsi="Arial"/>
                <w:sz w:val="12"/>
                <w:szCs w:val="12"/>
                <w:color w:val="auto"/>
              </w:rPr>
              <w:t>7</w:t>
            </w:r>
          </w:p>
        </w:tc>
        <w:tc>
          <w:tcPr>
            <w:tcW w:w="174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101,370</w:t>
            </w:r>
          </w:p>
        </w:tc>
        <w:tc>
          <w:tcPr>
            <w:tcW w:w="13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2"/>
                <w:szCs w:val="1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CHANGE-IN-CONTROL, TERMINATION, AND OTHER ARRANGEMENTS</w:t>
      </w:r>
    </w:p>
    <w:p>
      <w:pPr>
        <w:spacing w:after="0" w:line="235" w:lineRule="exact"/>
        <w:rPr>
          <w:sz w:val="20"/>
          <w:szCs w:val="20"/>
          <w:color w:val="auto"/>
        </w:rPr>
      </w:pPr>
    </w:p>
    <w:p>
      <w:pPr>
        <w:ind w:right="240" w:firstLine="546"/>
        <w:spacing w:after="0" w:line="285" w:lineRule="auto"/>
        <w:rPr>
          <w:sz w:val="20"/>
          <w:szCs w:val="20"/>
          <w:color w:val="auto"/>
        </w:rPr>
      </w:pPr>
      <w:r>
        <w:rPr>
          <w:rFonts w:ascii="Arial" w:cs="Arial" w:eastAsia="Arial" w:hAnsi="Arial"/>
          <w:sz w:val="15"/>
          <w:szCs w:val="15"/>
          <w:color w:val="auto"/>
        </w:rPr>
        <w:t>Bank of Hawaii’s Change-in-Control Retention Plan (the “Retention Plan”) provides a participant with benefits in the event of a change-in-control of the Company. The Retention Plan includes a “Double-Trigger” payout requirement; there must be a change-in-control of the Company, and a termination of the participant’s employment with the Company either by the Company without cause or by the participant for “good reason” in each case within 24 months following the change-in-control. All of the current named executive officers are participants in the Retention Plan. Two levels of benefits are payable to participants in the Retention Plan, with executives holding the position of Vice Chair or above being eligible for the higher tier of benefits. Messrs. Ho, Shigemura, and Polk, and Mmes. Crofts and Sellers are eligible for the higher tier of benefits (described in the table below). In consideration of the benefits payable under the Retention Plan, participants are, for 12 months following termination of employment, subject to non-disclosure, non-competition (generally with respect to any other financial institution doing business in Hawaii), non-solicitation of business and employees, and non-disparagement restrictions.</w:t>
      </w:r>
    </w:p>
    <w:p>
      <w:pPr>
        <w:spacing w:after="0" w:line="180" w:lineRule="exact"/>
        <w:rPr>
          <w:sz w:val="20"/>
          <w:szCs w:val="20"/>
          <w:color w:val="auto"/>
        </w:rPr>
      </w:pPr>
    </w:p>
    <w:p>
      <w:pPr>
        <w:ind w:right="120" w:firstLine="546"/>
        <w:spacing w:after="0" w:line="275" w:lineRule="auto"/>
        <w:rPr>
          <w:sz w:val="20"/>
          <w:szCs w:val="20"/>
          <w:color w:val="auto"/>
        </w:rPr>
      </w:pPr>
      <w:r>
        <w:rPr>
          <w:rFonts w:ascii="Arial" w:cs="Arial" w:eastAsia="Arial" w:hAnsi="Arial"/>
          <w:sz w:val="16"/>
          <w:szCs w:val="16"/>
          <w:color w:val="auto"/>
        </w:rPr>
        <w:t>The Retention Plan limits any payment or benefit under the Plan to an amount that would not be subject to Excise Tax even if the benefits would be substantially eliminated as a result of this limit, and prohibits the payment under the Plan of any tax gross up payments to executives in connection with any payment or benefit under the Plan.</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Under the Retention Plan, a “change-in-control” will be deemed to have occurred if:</w:t>
      </w:r>
    </w:p>
    <w:p>
      <w:pPr>
        <w:spacing w:after="0" w:line="124" w:lineRule="exact"/>
        <w:rPr>
          <w:sz w:val="20"/>
          <w:szCs w:val="20"/>
          <w:color w:val="auto"/>
        </w:rPr>
      </w:pPr>
    </w:p>
    <w:p>
      <w:pPr>
        <w:ind w:left="1080" w:right="40" w:hanging="538"/>
        <w:spacing w:after="0" w:line="289"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any person or group becomes the beneficial owner of 25% or more of the combined voting power of the Company’s securities that are entitled to vote for the election of directors;</w:t>
      </w:r>
    </w:p>
    <w:p>
      <w:pPr>
        <w:spacing w:after="0" w:line="65" w:lineRule="exact"/>
        <w:rPr>
          <w:rFonts w:ascii="Arial" w:cs="Arial" w:eastAsia="Arial" w:hAnsi="Arial"/>
          <w:sz w:val="16"/>
          <w:szCs w:val="16"/>
          <w:color w:val="auto"/>
        </w:rPr>
      </w:pPr>
    </w:p>
    <w:p>
      <w:pPr>
        <w:ind w:left="1080" w:right="140" w:hanging="538"/>
        <w:spacing w:after="0" w:line="275"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reorganization, merger or consolidation of the Company or the sale of substantially all of its assets occurs (excluding a transaction in which beneficial owners of the Company immediately prior to the transaction continue to own more than 60% of the total outstanding stock of the resulting entity and of the combined voting power of the entity’s securities that are entitled to vote for the election of directors); or</w:t>
      </w:r>
    </w:p>
    <w:p>
      <w:pPr>
        <w:spacing w:after="0" w:line="76" w:lineRule="exact"/>
        <w:rPr>
          <w:rFonts w:ascii="Arial" w:cs="Arial" w:eastAsia="Arial" w:hAnsi="Arial"/>
          <w:sz w:val="16"/>
          <w:szCs w:val="16"/>
          <w:color w:val="auto"/>
        </w:rPr>
      </w:pPr>
    </w:p>
    <w:p>
      <w:pPr>
        <w:ind w:left="1080" w:right="40" w:hanging="538"/>
        <w:spacing w:after="0" w:line="275"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individuals who constituted the Board of Directors as of April 30, 2004, cease to constitute a majority of the Board, including as a result of actual or threatened election contests or through consents by or on behalf of a party other than the Board (but disregarding directors whose nomination or election was approved by at least a majority of the directors as of April 30, 2004, or other directors approved by them).</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participant is deemed to have “good reason” if one or more of the following occur after a change-in-control without the participant’s written consent:</w:t>
      </w:r>
    </w:p>
    <w:p>
      <w:pPr>
        <w:spacing w:after="0" w:line="124" w:lineRule="exact"/>
        <w:rPr>
          <w:sz w:val="20"/>
          <w:szCs w:val="20"/>
          <w:color w:val="auto"/>
        </w:rPr>
      </w:pPr>
    </w:p>
    <w:p>
      <w:pPr>
        <w:ind w:left="1080" w:hanging="538"/>
        <w:spacing w:after="0"/>
        <w:tabs>
          <w:tab w:leader="none" w:pos="1080" w:val="left"/>
        </w:tabs>
        <w:numPr>
          <w:ilvl w:val="0"/>
          <w:numId w:val="88"/>
        </w:numPr>
        <w:rPr>
          <w:rFonts w:ascii="Arial" w:cs="Arial" w:eastAsia="Arial" w:hAnsi="Arial"/>
          <w:sz w:val="15"/>
          <w:szCs w:val="15"/>
          <w:color w:val="auto"/>
        </w:rPr>
      </w:pPr>
      <w:r>
        <w:rPr>
          <w:rFonts w:ascii="Arial" w:cs="Arial" w:eastAsia="Arial" w:hAnsi="Arial"/>
          <w:sz w:val="15"/>
          <w:szCs w:val="15"/>
          <w:color w:val="auto"/>
        </w:rPr>
        <w:t>a material reduction in the participant’s base salary, authority, duties or responsibilities, or in the budget over which the participant has authority;</w:t>
      </w:r>
    </w:p>
    <w:p>
      <w:pPr>
        <w:spacing w:after="0" w:line="175" w:lineRule="exact"/>
        <w:rPr>
          <w:rFonts w:ascii="Arial" w:cs="Arial" w:eastAsia="Arial" w:hAnsi="Arial"/>
          <w:sz w:val="15"/>
          <w:szCs w:val="15"/>
          <w:color w:val="auto"/>
        </w:rPr>
      </w:pPr>
    </w:p>
    <w:p>
      <w:pPr>
        <w:ind w:left="1080" w:hanging="538"/>
        <w:spacing w:after="0"/>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material reduction in the authority, duties or responsibilities of the participant’s supervisor;</w:t>
      </w:r>
    </w:p>
    <w:p>
      <w:pPr>
        <w:spacing w:after="0" w:line="163" w:lineRule="exact"/>
        <w:rPr>
          <w:rFonts w:ascii="Arial" w:cs="Arial" w:eastAsia="Arial" w:hAnsi="Arial"/>
          <w:sz w:val="16"/>
          <w:szCs w:val="16"/>
          <w:color w:val="auto"/>
        </w:rPr>
      </w:pPr>
    </w:p>
    <w:p>
      <w:pPr>
        <w:ind w:left="1080" w:right="720" w:hanging="538"/>
        <w:spacing w:after="0" w:line="289"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participant is required to relocate to a different Hawaiian Island for employment or to a place more than 50 miles from the participant’s base of employment immediately prior to the change-in-control; or</w:t>
      </w:r>
    </w:p>
    <w:p>
      <w:pPr>
        <w:spacing w:after="0" w:line="65" w:lineRule="exact"/>
        <w:rPr>
          <w:rFonts w:ascii="Arial" w:cs="Arial" w:eastAsia="Arial" w:hAnsi="Arial"/>
          <w:sz w:val="16"/>
          <w:szCs w:val="16"/>
          <w:color w:val="auto"/>
        </w:rPr>
      </w:pPr>
    </w:p>
    <w:p>
      <w:pPr>
        <w:ind w:left="1080" w:hanging="538"/>
        <w:spacing w:after="0"/>
        <w:tabs>
          <w:tab w:leader="none" w:pos="1080" w:val="left"/>
        </w:tabs>
        <w:numPr>
          <w:ilvl w:val="0"/>
          <w:numId w:val="88"/>
        </w:numPr>
        <w:rPr>
          <w:rFonts w:ascii="Arial" w:cs="Arial" w:eastAsia="Arial" w:hAnsi="Arial"/>
          <w:sz w:val="15"/>
          <w:szCs w:val="15"/>
          <w:color w:val="auto"/>
        </w:rPr>
      </w:pPr>
      <w:r>
        <w:rPr>
          <w:rFonts w:ascii="Arial" w:cs="Arial" w:eastAsia="Arial" w:hAnsi="Arial"/>
          <w:sz w:val="15"/>
          <w:szCs w:val="15"/>
          <w:color w:val="auto"/>
        </w:rPr>
        <w:t>any other action or inaction that constitutes a material breach by the Company of the Retention Plan or the participant’s employment agreement.</w:t>
      </w:r>
    </w:p>
    <w:p>
      <w:pPr>
        <w:spacing w:after="0" w:line="282" w:lineRule="exact"/>
        <w:rPr>
          <w:sz w:val="20"/>
          <w:szCs w:val="20"/>
          <w:color w:val="auto"/>
        </w:rPr>
      </w:pPr>
    </w:p>
    <w:p>
      <w:pPr>
        <w:ind w:firstLine="546"/>
        <w:spacing w:after="0" w:line="286" w:lineRule="auto"/>
        <w:rPr>
          <w:sz w:val="20"/>
          <w:szCs w:val="20"/>
          <w:color w:val="auto"/>
        </w:rPr>
      </w:pPr>
      <w:r>
        <w:rPr>
          <w:rFonts w:ascii="Arial" w:cs="Arial" w:eastAsia="Arial" w:hAnsi="Arial"/>
          <w:sz w:val="15"/>
          <w:szCs w:val="15"/>
          <w:color w:val="auto"/>
        </w:rPr>
        <w:t>The terms of the Company's 2014 Stock and Incentive Compensation Plan provide for full acceleration of vesting of restricted stock, restricted stock units, and stock options upon the occurrence of a change-in-control of the Company. We believe that it is generally appropriate to fully vest equity and incentive-based awards to employees in a change-in-control transaction because such a transaction may often cut short or reduce the employee's ability to realize value with respect to such awards. All restricted stock, restricted stock units and stock option agreements which, by their terms, provide for acceleration of vesting in the event of a change-in-control, require a “Double-Trigger” for acceleration to occur, as provided in the Retention Plan. The Executive Incentive Plan provides that incentive awards will, upon a change-in-control of the Company, be prorated as though the applicable performance period ended on the change-in-control date, and will be calculated as an amount equal to two times a participant’s incentive allocation for the prorated performance period.</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 w:firstLine="546"/>
        <w:spacing w:after="0" w:line="289" w:lineRule="auto"/>
        <w:rPr>
          <w:sz w:val="20"/>
          <w:szCs w:val="20"/>
          <w:color w:val="auto"/>
        </w:rPr>
      </w:pPr>
      <w:r>
        <w:rPr>
          <w:rFonts w:ascii="Arial" w:cs="Arial" w:eastAsia="Arial" w:hAnsi="Arial"/>
          <w:sz w:val="16"/>
          <w:szCs w:val="16"/>
          <w:color w:val="auto"/>
        </w:rPr>
        <w:t>The table below sets forth the benefits that would have been payable to each of the named executive officers had a qualifying termination occurred under the terms of the Retention Plan or plans with change-in-control provisions on December 31, 2021.</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42"/>
        </w:trPr>
        <w:tc>
          <w:tcPr>
            <w:tcW w:w="1700" w:type="dxa"/>
            <w:vAlign w:val="bottom"/>
            <w:tcBorders>
              <w:top w:val="single" w:sz="8" w:color="auto"/>
              <w:left w:val="single" w:sz="8" w:color="auto"/>
            </w:tcBorders>
            <w:shd w:val="clear" w:color="auto" w:fill="086FB8"/>
          </w:tcPr>
          <w:p>
            <w:pPr>
              <w:spacing w:after="0"/>
              <w:rPr>
                <w:sz w:val="12"/>
                <w:szCs w:val="12"/>
                <w:color w:val="auto"/>
              </w:rPr>
            </w:pPr>
          </w:p>
        </w:tc>
        <w:tc>
          <w:tcPr>
            <w:tcW w:w="1560" w:type="dxa"/>
            <w:vAlign w:val="bottom"/>
            <w:tcBorders>
              <w:top w:val="single" w:sz="8" w:color="auto"/>
            </w:tcBorders>
            <w:shd w:val="clear" w:color="auto" w:fill="086FB8"/>
          </w:tcPr>
          <w:p>
            <w:pPr>
              <w:jc w:val="center"/>
              <w:ind w:left="318"/>
              <w:spacing w:after="0"/>
              <w:rPr>
                <w:sz w:val="20"/>
                <w:szCs w:val="20"/>
                <w:color w:val="auto"/>
              </w:rPr>
            </w:pPr>
            <w:r>
              <w:rPr>
                <w:rFonts w:ascii="Arial" w:cs="Arial" w:eastAsia="Arial" w:hAnsi="Arial"/>
                <w:sz w:val="12"/>
                <w:szCs w:val="12"/>
                <w:b w:val="1"/>
                <w:bCs w:val="1"/>
                <w:color w:val="FFFFFF"/>
                <w:w w:val="91"/>
              </w:rPr>
              <w:t>Base Salary</w:t>
            </w:r>
          </w:p>
        </w:tc>
        <w:tc>
          <w:tcPr>
            <w:tcW w:w="1200" w:type="dxa"/>
            <w:vAlign w:val="bottom"/>
            <w:tcBorders>
              <w:top w:val="single" w:sz="8" w:color="auto"/>
            </w:tcBorders>
            <w:shd w:val="clear" w:color="auto" w:fill="086FB8"/>
          </w:tcPr>
          <w:p>
            <w:pPr>
              <w:jc w:val="center"/>
              <w:ind w:right="58"/>
              <w:spacing w:after="0"/>
              <w:rPr>
                <w:sz w:val="20"/>
                <w:szCs w:val="20"/>
                <w:color w:val="auto"/>
              </w:rPr>
            </w:pPr>
            <w:r>
              <w:rPr>
                <w:rFonts w:ascii="Arial" w:cs="Arial" w:eastAsia="Arial" w:hAnsi="Arial"/>
                <w:sz w:val="12"/>
                <w:szCs w:val="12"/>
                <w:b w:val="1"/>
                <w:bCs w:val="1"/>
                <w:color w:val="FFFFFF"/>
                <w:w w:val="92"/>
              </w:rPr>
              <w:t>Executive</w:t>
            </w:r>
          </w:p>
        </w:tc>
        <w:tc>
          <w:tcPr>
            <w:tcW w:w="1060" w:type="dxa"/>
            <w:vAlign w:val="bottom"/>
            <w:tcBorders>
              <w:top w:val="single" w:sz="8" w:color="auto"/>
            </w:tcBorders>
            <w:shd w:val="clear" w:color="auto" w:fill="086FB8"/>
          </w:tcPr>
          <w:p>
            <w:pPr>
              <w:spacing w:after="0"/>
              <w:rPr>
                <w:sz w:val="12"/>
                <w:szCs w:val="12"/>
                <w:color w:val="auto"/>
              </w:rPr>
            </w:pPr>
          </w:p>
        </w:tc>
        <w:tc>
          <w:tcPr>
            <w:tcW w:w="1180" w:type="dxa"/>
            <w:vAlign w:val="bottom"/>
            <w:tcBorders>
              <w:top w:val="single" w:sz="8" w:color="auto"/>
            </w:tcBorders>
            <w:shd w:val="clear" w:color="auto" w:fill="086FB8"/>
          </w:tcPr>
          <w:p>
            <w:pPr>
              <w:spacing w:after="0"/>
              <w:rPr>
                <w:sz w:val="12"/>
                <w:szCs w:val="12"/>
                <w:color w:val="auto"/>
              </w:rPr>
            </w:pPr>
          </w:p>
        </w:tc>
        <w:tc>
          <w:tcPr>
            <w:tcW w:w="1100" w:type="dxa"/>
            <w:vAlign w:val="bottom"/>
            <w:tcBorders>
              <w:top w:val="single" w:sz="8" w:color="auto"/>
            </w:tcBorders>
            <w:shd w:val="clear" w:color="auto" w:fill="086FB8"/>
          </w:tcPr>
          <w:p>
            <w:pPr>
              <w:spacing w:after="0"/>
              <w:rPr>
                <w:sz w:val="12"/>
                <w:szCs w:val="12"/>
                <w:color w:val="auto"/>
              </w:rPr>
            </w:pPr>
          </w:p>
        </w:tc>
        <w:tc>
          <w:tcPr>
            <w:tcW w:w="1160" w:type="dxa"/>
            <w:vAlign w:val="bottom"/>
            <w:tcBorders>
              <w:top w:val="single" w:sz="8" w:color="auto"/>
            </w:tcBorders>
            <w:shd w:val="clear" w:color="auto" w:fill="086FB8"/>
          </w:tcPr>
          <w:p>
            <w:pPr>
              <w:jc w:val="center"/>
              <w:ind w:right="58"/>
              <w:spacing w:after="0"/>
              <w:rPr>
                <w:sz w:val="20"/>
                <w:szCs w:val="20"/>
                <w:color w:val="auto"/>
              </w:rPr>
            </w:pPr>
            <w:r>
              <w:rPr>
                <w:rFonts w:ascii="Arial" w:cs="Arial" w:eastAsia="Arial" w:hAnsi="Arial"/>
                <w:sz w:val="12"/>
                <w:szCs w:val="12"/>
                <w:b w:val="1"/>
                <w:bCs w:val="1"/>
                <w:color w:val="FFFFFF"/>
                <w:w w:val="94"/>
              </w:rPr>
              <w:t>Acceleration</w:t>
            </w:r>
          </w:p>
        </w:tc>
        <w:tc>
          <w:tcPr>
            <w:tcW w:w="1200" w:type="dxa"/>
            <w:vAlign w:val="bottom"/>
            <w:tcBorders>
              <w:top w:val="single" w:sz="8" w:color="auto"/>
            </w:tcBorders>
            <w:shd w:val="clear" w:color="auto" w:fill="086FB8"/>
          </w:tcPr>
          <w:p>
            <w:pPr>
              <w:jc w:val="center"/>
              <w:ind w:right="118"/>
              <w:spacing w:after="0"/>
              <w:rPr>
                <w:sz w:val="20"/>
                <w:szCs w:val="20"/>
                <w:color w:val="auto"/>
              </w:rPr>
            </w:pPr>
            <w:r>
              <w:rPr>
                <w:rFonts w:ascii="Arial" w:cs="Arial" w:eastAsia="Arial" w:hAnsi="Arial"/>
                <w:sz w:val="12"/>
                <w:szCs w:val="12"/>
                <w:b w:val="1"/>
                <w:bCs w:val="1"/>
                <w:color w:val="FFFFFF"/>
                <w:w w:val="94"/>
              </w:rPr>
              <w:t>Non-</w:t>
            </w:r>
          </w:p>
        </w:tc>
        <w:tc>
          <w:tcPr>
            <w:tcW w:w="1080" w:type="dxa"/>
            <w:vAlign w:val="bottom"/>
            <w:tcBorders>
              <w:top w:val="single" w:sz="8" w:color="auto"/>
              <w:right w:val="single" w:sz="8" w:color="auto"/>
            </w:tcBorders>
            <w:shd w:val="clear" w:color="auto" w:fill="086FB8"/>
          </w:tcPr>
          <w:p>
            <w:pPr>
              <w:spacing w:after="0"/>
              <w:rPr>
                <w:sz w:val="12"/>
                <w:szCs w:val="12"/>
                <w:color w:val="auto"/>
              </w:rPr>
            </w:pPr>
          </w:p>
        </w:tc>
      </w:tr>
      <w:tr>
        <w:trPr>
          <w:trHeight w:val="134"/>
        </w:trPr>
        <w:tc>
          <w:tcPr>
            <w:tcW w:w="1700" w:type="dxa"/>
            <w:vAlign w:val="bottom"/>
            <w:tcBorders>
              <w:left w:val="single" w:sz="8" w:color="auto"/>
            </w:tcBorders>
            <w:shd w:val="clear" w:color="auto" w:fill="086FB8"/>
          </w:tcPr>
          <w:p>
            <w:pPr>
              <w:spacing w:after="0"/>
              <w:rPr>
                <w:sz w:val="11"/>
                <w:szCs w:val="11"/>
                <w:color w:val="auto"/>
              </w:rPr>
            </w:pPr>
          </w:p>
        </w:tc>
        <w:tc>
          <w:tcPr>
            <w:tcW w:w="1560" w:type="dxa"/>
            <w:vAlign w:val="bottom"/>
            <w:shd w:val="clear" w:color="auto" w:fill="086FB8"/>
          </w:tcPr>
          <w:p>
            <w:pPr>
              <w:jc w:val="center"/>
              <w:ind w:left="318"/>
              <w:spacing w:after="0" w:line="134" w:lineRule="exact"/>
              <w:rPr>
                <w:sz w:val="20"/>
                <w:szCs w:val="20"/>
                <w:color w:val="auto"/>
              </w:rPr>
            </w:pPr>
            <w:r>
              <w:rPr>
                <w:rFonts w:ascii="Arial" w:cs="Arial" w:eastAsia="Arial" w:hAnsi="Arial"/>
                <w:sz w:val="12"/>
                <w:szCs w:val="12"/>
                <w:b w:val="1"/>
                <w:bCs w:val="1"/>
                <w:color w:val="FFFFFF"/>
                <w:w w:val="93"/>
              </w:rPr>
              <w:t>and Bonus</w:t>
            </w:r>
          </w:p>
        </w:tc>
        <w:tc>
          <w:tcPr>
            <w:tcW w:w="1200" w:type="dxa"/>
            <w:vAlign w:val="bottom"/>
            <w:shd w:val="clear" w:color="auto" w:fill="086FB8"/>
          </w:tcPr>
          <w:p>
            <w:pPr>
              <w:jc w:val="center"/>
              <w:ind w:right="78"/>
              <w:spacing w:after="0" w:line="134" w:lineRule="exact"/>
              <w:rPr>
                <w:sz w:val="20"/>
                <w:szCs w:val="20"/>
                <w:color w:val="auto"/>
              </w:rPr>
            </w:pPr>
            <w:r>
              <w:rPr>
                <w:rFonts w:ascii="Arial" w:cs="Arial" w:eastAsia="Arial" w:hAnsi="Arial"/>
                <w:sz w:val="12"/>
                <w:szCs w:val="12"/>
                <w:b w:val="1"/>
                <w:bCs w:val="1"/>
                <w:color w:val="FFFFFF"/>
                <w:w w:val="96"/>
              </w:rPr>
              <w:t>Incentive Plan</w:t>
            </w:r>
          </w:p>
        </w:tc>
        <w:tc>
          <w:tcPr>
            <w:tcW w:w="1060" w:type="dxa"/>
            <w:vAlign w:val="bottom"/>
            <w:shd w:val="clear" w:color="auto" w:fill="086FB8"/>
          </w:tcPr>
          <w:p>
            <w:pPr>
              <w:jc w:val="center"/>
              <w:ind w:right="78"/>
              <w:spacing w:after="0" w:line="134" w:lineRule="exact"/>
              <w:rPr>
                <w:sz w:val="20"/>
                <w:szCs w:val="20"/>
                <w:color w:val="auto"/>
              </w:rPr>
            </w:pPr>
            <w:r>
              <w:rPr>
                <w:rFonts w:ascii="Arial" w:cs="Arial" w:eastAsia="Arial" w:hAnsi="Arial"/>
                <w:sz w:val="12"/>
                <w:szCs w:val="12"/>
                <w:b w:val="1"/>
                <w:bCs w:val="1"/>
                <w:color w:val="FFFFFF"/>
                <w:w w:val="98"/>
              </w:rPr>
              <w:t>Health</w:t>
            </w:r>
          </w:p>
        </w:tc>
        <w:tc>
          <w:tcPr>
            <w:tcW w:w="1180" w:type="dxa"/>
            <w:vAlign w:val="bottom"/>
            <w:shd w:val="clear" w:color="auto" w:fill="086FB8"/>
          </w:tcPr>
          <w:p>
            <w:pPr>
              <w:spacing w:after="0"/>
              <w:rPr>
                <w:sz w:val="11"/>
                <w:szCs w:val="11"/>
                <w:color w:val="auto"/>
              </w:rPr>
            </w:pPr>
          </w:p>
        </w:tc>
        <w:tc>
          <w:tcPr>
            <w:tcW w:w="1100" w:type="dxa"/>
            <w:vAlign w:val="bottom"/>
            <w:shd w:val="clear" w:color="auto" w:fill="086FB8"/>
          </w:tcPr>
          <w:p>
            <w:pPr>
              <w:jc w:val="center"/>
              <w:ind w:right="78"/>
              <w:spacing w:after="0" w:line="134" w:lineRule="exact"/>
              <w:rPr>
                <w:sz w:val="20"/>
                <w:szCs w:val="20"/>
                <w:color w:val="auto"/>
              </w:rPr>
            </w:pPr>
            <w:r>
              <w:rPr>
                <w:rFonts w:ascii="Arial" w:cs="Arial" w:eastAsia="Arial" w:hAnsi="Arial"/>
                <w:sz w:val="12"/>
                <w:szCs w:val="12"/>
                <w:b w:val="1"/>
                <w:bCs w:val="1"/>
                <w:color w:val="FFFFFF"/>
                <w:w w:val="91"/>
              </w:rPr>
              <w:t>Relocation</w:t>
            </w:r>
          </w:p>
        </w:tc>
        <w:tc>
          <w:tcPr>
            <w:tcW w:w="1160" w:type="dxa"/>
            <w:vAlign w:val="bottom"/>
            <w:shd w:val="clear" w:color="auto" w:fill="086FB8"/>
          </w:tcPr>
          <w:p>
            <w:pPr>
              <w:jc w:val="center"/>
              <w:ind w:right="58"/>
              <w:spacing w:after="0" w:line="134" w:lineRule="exact"/>
              <w:rPr>
                <w:sz w:val="20"/>
                <w:szCs w:val="20"/>
                <w:color w:val="auto"/>
              </w:rPr>
            </w:pPr>
            <w:r>
              <w:rPr>
                <w:rFonts w:ascii="Arial" w:cs="Arial" w:eastAsia="Arial" w:hAnsi="Arial"/>
                <w:sz w:val="12"/>
                <w:szCs w:val="12"/>
                <w:b w:val="1"/>
                <w:bCs w:val="1"/>
                <w:color w:val="FFFFFF"/>
                <w:w w:val="92"/>
              </w:rPr>
              <w:t>of Restricted</w:t>
            </w:r>
          </w:p>
        </w:tc>
        <w:tc>
          <w:tcPr>
            <w:tcW w:w="1200" w:type="dxa"/>
            <w:vAlign w:val="bottom"/>
            <w:shd w:val="clear" w:color="auto" w:fill="086FB8"/>
          </w:tcPr>
          <w:p>
            <w:pPr>
              <w:jc w:val="center"/>
              <w:ind w:right="138"/>
              <w:spacing w:after="0" w:line="134" w:lineRule="exact"/>
              <w:rPr>
                <w:sz w:val="20"/>
                <w:szCs w:val="20"/>
                <w:color w:val="auto"/>
              </w:rPr>
            </w:pPr>
            <w:r>
              <w:rPr>
                <w:rFonts w:ascii="Arial" w:cs="Arial" w:eastAsia="Arial" w:hAnsi="Arial"/>
                <w:sz w:val="12"/>
                <w:szCs w:val="12"/>
                <w:b w:val="1"/>
                <w:bCs w:val="1"/>
                <w:color w:val="FFFFFF"/>
                <w:w w:val="94"/>
              </w:rPr>
              <w:t>competition</w:t>
            </w:r>
          </w:p>
        </w:tc>
        <w:tc>
          <w:tcPr>
            <w:tcW w:w="1080" w:type="dxa"/>
            <w:vAlign w:val="bottom"/>
            <w:tcBorders>
              <w:right w:val="single" w:sz="8" w:color="auto"/>
            </w:tcBorders>
            <w:shd w:val="clear" w:color="auto" w:fill="086FB8"/>
          </w:tcPr>
          <w:p>
            <w:pPr>
              <w:spacing w:after="0"/>
              <w:rPr>
                <w:sz w:val="11"/>
                <w:szCs w:val="11"/>
                <w:color w:val="auto"/>
              </w:rPr>
            </w:pPr>
          </w:p>
        </w:tc>
      </w:tr>
      <w:tr>
        <w:trPr>
          <w:trHeight w:val="134"/>
        </w:trPr>
        <w:tc>
          <w:tcPr>
            <w:tcW w:w="1700" w:type="dxa"/>
            <w:vAlign w:val="bottom"/>
            <w:tcBorders>
              <w:left w:val="single" w:sz="8" w:color="auto"/>
            </w:tcBorders>
            <w:shd w:val="clear" w:color="auto" w:fill="086FB8"/>
          </w:tcPr>
          <w:p>
            <w:pPr>
              <w:spacing w:after="0"/>
              <w:rPr>
                <w:sz w:val="11"/>
                <w:szCs w:val="11"/>
                <w:color w:val="auto"/>
              </w:rPr>
            </w:pPr>
          </w:p>
        </w:tc>
        <w:tc>
          <w:tcPr>
            <w:tcW w:w="1560" w:type="dxa"/>
            <w:vAlign w:val="bottom"/>
            <w:shd w:val="clear" w:color="auto" w:fill="086FB8"/>
          </w:tcPr>
          <w:p>
            <w:pPr>
              <w:jc w:val="center"/>
              <w:ind w:left="318"/>
              <w:spacing w:after="0" w:line="134" w:lineRule="exact"/>
              <w:rPr>
                <w:sz w:val="20"/>
                <w:szCs w:val="20"/>
                <w:color w:val="auto"/>
              </w:rPr>
            </w:pPr>
            <w:r>
              <w:rPr>
                <w:rFonts w:ascii="Arial" w:cs="Arial" w:eastAsia="Arial" w:hAnsi="Arial"/>
                <w:sz w:val="12"/>
                <w:szCs w:val="12"/>
                <w:b w:val="1"/>
                <w:bCs w:val="1"/>
                <w:color w:val="FFFFFF"/>
              </w:rPr>
              <w:t>Payment   ($)</w:t>
            </w:r>
          </w:p>
        </w:tc>
        <w:tc>
          <w:tcPr>
            <w:tcW w:w="1200" w:type="dxa"/>
            <w:vAlign w:val="bottom"/>
            <w:shd w:val="clear" w:color="auto" w:fill="086FB8"/>
          </w:tcPr>
          <w:p>
            <w:pPr>
              <w:jc w:val="center"/>
              <w:ind w:right="78"/>
              <w:spacing w:after="0" w:line="134" w:lineRule="exact"/>
              <w:rPr>
                <w:sz w:val="20"/>
                <w:szCs w:val="20"/>
                <w:color w:val="auto"/>
              </w:rPr>
            </w:pPr>
            <w:r>
              <w:rPr>
                <w:rFonts w:ascii="Arial" w:cs="Arial" w:eastAsia="Arial" w:hAnsi="Arial"/>
                <w:sz w:val="12"/>
                <w:szCs w:val="12"/>
                <w:b w:val="1"/>
                <w:bCs w:val="1"/>
                <w:color w:val="FFFFFF"/>
                <w:w w:val="91"/>
              </w:rPr>
              <w:t>Payment</w:t>
            </w:r>
          </w:p>
        </w:tc>
        <w:tc>
          <w:tcPr>
            <w:tcW w:w="1060" w:type="dxa"/>
            <w:vAlign w:val="bottom"/>
            <w:shd w:val="clear" w:color="auto" w:fill="086FB8"/>
          </w:tcPr>
          <w:p>
            <w:pPr>
              <w:jc w:val="center"/>
              <w:ind w:right="78"/>
              <w:spacing w:after="0" w:line="134" w:lineRule="exact"/>
              <w:rPr>
                <w:sz w:val="20"/>
                <w:szCs w:val="20"/>
                <w:color w:val="auto"/>
              </w:rPr>
            </w:pPr>
            <w:r>
              <w:rPr>
                <w:rFonts w:ascii="Arial" w:cs="Arial" w:eastAsia="Arial" w:hAnsi="Arial"/>
                <w:sz w:val="12"/>
                <w:szCs w:val="12"/>
                <w:b w:val="1"/>
                <w:bCs w:val="1"/>
                <w:color w:val="FFFFFF"/>
                <w:w w:val="92"/>
              </w:rPr>
              <w:t>Benefits</w:t>
            </w:r>
          </w:p>
        </w:tc>
        <w:tc>
          <w:tcPr>
            <w:tcW w:w="1180" w:type="dxa"/>
            <w:vAlign w:val="bottom"/>
            <w:shd w:val="clear" w:color="auto" w:fill="086FB8"/>
          </w:tcPr>
          <w:p>
            <w:pPr>
              <w:jc w:val="right"/>
              <w:ind w:right="218"/>
              <w:spacing w:after="0" w:line="134" w:lineRule="exact"/>
              <w:rPr>
                <w:sz w:val="20"/>
                <w:szCs w:val="20"/>
                <w:color w:val="auto"/>
              </w:rPr>
            </w:pPr>
            <w:r>
              <w:rPr>
                <w:rFonts w:ascii="Arial" w:cs="Arial" w:eastAsia="Arial" w:hAnsi="Arial"/>
                <w:sz w:val="12"/>
                <w:szCs w:val="12"/>
                <w:b w:val="1"/>
                <w:bCs w:val="1"/>
                <w:color w:val="FFFFFF"/>
              </w:rPr>
              <w:t>Outplacement</w:t>
            </w:r>
          </w:p>
        </w:tc>
        <w:tc>
          <w:tcPr>
            <w:tcW w:w="1100" w:type="dxa"/>
            <w:vAlign w:val="bottom"/>
            <w:shd w:val="clear" w:color="auto" w:fill="086FB8"/>
          </w:tcPr>
          <w:p>
            <w:pPr>
              <w:jc w:val="center"/>
              <w:ind w:right="78"/>
              <w:spacing w:after="0" w:line="134" w:lineRule="exact"/>
              <w:rPr>
                <w:sz w:val="20"/>
                <w:szCs w:val="20"/>
                <w:color w:val="auto"/>
              </w:rPr>
            </w:pPr>
            <w:r>
              <w:rPr>
                <w:rFonts w:ascii="Arial" w:cs="Arial" w:eastAsia="Arial" w:hAnsi="Arial"/>
                <w:sz w:val="12"/>
                <w:szCs w:val="12"/>
                <w:b w:val="1"/>
                <w:bCs w:val="1"/>
                <w:color w:val="FFFFFF"/>
                <w:w w:val="95"/>
              </w:rPr>
              <w:t>Payment</w:t>
            </w:r>
          </w:p>
        </w:tc>
        <w:tc>
          <w:tcPr>
            <w:tcW w:w="1160" w:type="dxa"/>
            <w:vAlign w:val="bottom"/>
            <w:shd w:val="clear" w:color="auto" w:fill="086FB8"/>
          </w:tcPr>
          <w:p>
            <w:pPr>
              <w:jc w:val="center"/>
              <w:ind w:right="78"/>
              <w:spacing w:after="0" w:line="134" w:lineRule="exact"/>
              <w:rPr>
                <w:sz w:val="20"/>
                <w:szCs w:val="20"/>
                <w:color w:val="auto"/>
              </w:rPr>
            </w:pPr>
            <w:r>
              <w:rPr>
                <w:rFonts w:ascii="Arial" w:cs="Arial" w:eastAsia="Arial" w:hAnsi="Arial"/>
                <w:sz w:val="12"/>
                <w:szCs w:val="12"/>
                <w:b w:val="1"/>
                <w:bCs w:val="1"/>
                <w:color w:val="FFFFFF"/>
                <w:w w:val="91"/>
              </w:rPr>
              <w:t>Stock</w:t>
            </w:r>
          </w:p>
        </w:tc>
        <w:tc>
          <w:tcPr>
            <w:tcW w:w="1200" w:type="dxa"/>
            <w:vAlign w:val="bottom"/>
            <w:shd w:val="clear" w:color="auto" w:fill="086FB8"/>
          </w:tcPr>
          <w:p>
            <w:pPr>
              <w:jc w:val="center"/>
              <w:ind w:right="138"/>
              <w:spacing w:after="0" w:line="134" w:lineRule="exact"/>
              <w:rPr>
                <w:sz w:val="20"/>
                <w:szCs w:val="20"/>
                <w:color w:val="auto"/>
              </w:rPr>
            </w:pPr>
            <w:r>
              <w:rPr>
                <w:rFonts w:ascii="Arial" w:cs="Arial" w:eastAsia="Arial" w:hAnsi="Arial"/>
                <w:sz w:val="12"/>
                <w:szCs w:val="12"/>
                <w:b w:val="1"/>
                <w:bCs w:val="1"/>
                <w:color w:val="FFFFFF"/>
                <w:w w:val="95"/>
              </w:rPr>
              <w:t>Payment</w:t>
            </w:r>
          </w:p>
        </w:tc>
        <w:tc>
          <w:tcPr>
            <w:tcW w:w="1080" w:type="dxa"/>
            <w:vAlign w:val="bottom"/>
            <w:tcBorders>
              <w:right w:val="single" w:sz="8" w:color="auto"/>
            </w:tcBorders>
            <w:shd w:val="clear" w:color="auto" w:fill="086FB8"/>
          </w:tcPr>
          <w:p>
            <w:pPr>
              <w:spacing w:after="0"/>
              <w:rPr>
                <w:sz w:val="11"/>
                <w:szCs w:val="11"/>
                <w:color w:val="auto"/>
              </w:rPr>
            </w:pPr>
          </w:p>
        </w:tc>
      </w:tr>
      <w:tr>
        <w:trPr>
          <w:trHeight w:val="152"/>
        </w:trPr>
        <w:tc>
          <w:tcPr>
            <w:tcW w:w="1700" w:type="dxa"/>
            <w:vAlign w:val="bottom"/>
            <w:tcBorders>
              <w:left w:val="single" w:sz="8" w:color="auto"/>
              <w:bottom w:val="single" w:sz="8" w:color="auto"/>
            </w:tcBorders>
            <w:shd w:val="clear" w:color="auto" w:fill="086FB8"/>
          </w:tcPr>
          <w:p>
            <w:pPr>
              <w:ind w:left="140"/>
              <w:spacing w:after="0"/>
              <w:rPr>
                <w:sz w:val="20"/>
                <w:szCs w:val="20"/>
                <w:color w:val="auto"/>
              </w:rPr>
            </w:pPr>
            <w:r>
              <w:rPr>
                <w:rFonts w:ascii="Arial" w:cs="Arial" w:eastAsia="Arial" w:hAnsi="Arial"/>
                <w:sz w:val="12"/>
                <w:szCs w:val="12"/>
                <w:b w:val="1"/>
                <w:bCs w:val="1"/>
                <w:color w:val="FFFFFF"/>
              </w:rPr>
              <w:t>Name</w:t>
            </w:r>
          </w:p>
        </w:tc>
        <w:tc>
          <w:tcPr>
            <w:tcW w:w="1560" w:type="dxa"/>
            <w:vAlign w:val="bottom"/>
            <w:tcBorders>
              <w:bottom w:val="single" w:sz="8" w:color="auto"/>
            </w:tcBorders>
            <w:shd w:val="clear" w:color="auto" w:fill="086FB8"/>
          </w:tcPr>
          <w:p>
            <w:pPr>
              <w:jc w:val="center"/>
              <w:ind w:left="318"/>
              <w:spacing w:after="0"/>
              <w:rPr>
                <w:sz w:val="20"/>
                <w:szCs w:val="20"/>
                <w:color w:val="auto"/>
              </w:rPr>
            </w:pPr>
            <w:r>
              <w:rPr>
                <w:rFonts w:ascii="Arial" w:cs="Arial" w:eastAsia="Arial" w:hAnsi="Arial"/>
                <w:sz w:val="12"/>
                <w:szCs w:val="12"/>
                <w:b w:val="1"/>
                <w:bCs w:val="1"/>
                <w:color w:val="FFFFFF"/>
              </w:rPr>
              <w:t>(1)(8)</w:t>
            </w:r>
          </w:p>
        </w:tc>
        <w:tc>
          <w:tcPr>
            <w:tcW w:w="1200" w:type="dxa"/>
            <w:vAlign w:val="bottom"/>
            <w:tcBorders>
              <w:bottom w:val="single" w:sz="8" w:color="auto"/>
            </w:tcBorders>
            <w:shd w:val="clear" w:color="auto" w:fill="086FB8"/>
          </w:tcPr>
          <w:p>
            <w:pPr>
              <w:jc w:val="center"/>
              <w:ind w:right="58"/>
              <w:spacing w:after="0"/>
              <w:rPr>
                <w:sz w:val="20"/>
                <w:szCs w:val="20"/>
                <w:color w:val="auto"/>
              </w:rPr>
            </w:pPr>
            <w:r>
              <w:rPr>
                <w:rFonts w:ascii="Arial" w:cs="Arial" w:eastAsia="Arial" w:hAnsi="Arial"/>
                <w:sz w:val="12"/>
                <w:szCs w:val="12"/>
                <w:b w:val="1"/>
                <w:bCs w:val="1"/>
                <w:color w:val="FFFFFF"/>
                <w:w w:val="99"/>
              </w:rPr>
              <w:t>($)(2)(8)</w:t>
            </w:r>
          </w:p>
        </w:tc>
        <w:tc>
          <w:tcPr>
            <w:tcW w:w="1060" w:type="dxa"/>
            <w:vAlign w:val="bottom"/>
            <w:tcBorders>
              <w:bottom w:val="single" w:sz="8" w:color="auto"/>
            </w:tcBorders>
            <w:shd w:val="clear" w:color="auto" w:fill="086FB8"/>
          </w:tcPr>
          <w:p>
            <w:pPr>
              <w:jc w:val="center"/>
              <w:ind w:right="98"/>
              <w:spacing w:after="0"/>
              <w:rPr>
                <w:sz w:val="20"/>
                <w:szCs w:val="20"/>
                <w:color w:val="auto"/>
              </w:rPr>
            </w:pPr>
            <w:r>
              <w:rPr>
                <w:rFonts w:ascii="Arial" w:cs="Arial" w:eastAsia="Arial" w:hAnsi="Arial"/>
                <w:sz w:val="12"/>
                <w:szCs w:val="12"/>
                <w:b w:val="1"/>
                <w:bCs w:val="1"/>
                <w:color w:val="FFFFFF"/>
              </w:rPr>
              <w:t>($)(3)</w:t>
            </w:r>
          </w:p>
        </w:tc>
        <w:tc>
          <w:tcPr>
            <w:tcW w:w="1180" w:type="dxa"/>
            <w:vAlign w:val="bottom"/>
            <w:tcBorders>
              <w:bottom w:val="single" w:sz="8" w:color="auto"/>
            </w:tcBorders>
            <w:shd w:val="clear" w:color="auto" w:fill="086FB8"/>
          </w:tcPr>
          <w:p>
            <w:pPr>
              <w:jc w:val="right"/>
              <w:ind w:right="438"/>
              <w:spacing w:after="0"/>
              <w:rPr>
                <w:sz w:val="20"/>
                <w:szCs w:val="20"/>
                <w:color w:val="auto"/>
              </w:rPr>
            </w:pPr>
            <w:r>
              <w:rPr>
                <w:rFonts w:ascii="Arial" w:cs="Arial" w:eastAsia="Arial" w:hAnsi="Arial"/>
                <w:sz w:val="12"/>
                <w:szCs w:val="12"/>
                <w:b w:val="1"/>
                <w:bCs w:val="1"/>
                <w:color w:val="FFFFFF"/>
              </w:rPr>
              <w:t>($)(4)</w:t>
            </w:r>
          </w:p>
        </w:tc>
        <w:tc>
          <w:tcPr>
            <w:tcW w:w="1100" w:type="dxa"/>
            <w:vAlign w:val="bottom"/>
            <w:tcBorders>
              <w:bottom w:val="single" w:sz="8" w:color="auto"/>
            </w:tcBorders>
            <w:shd w:val="clear" w:color="auto" w:fill="086FB8"/>
          </w:tcPr>
          <w:p>
            <w:pPr>
              <w:jc w:val="center"/>
              <w:ind w:right="78"/>
              <w:spacing w:after="0"/>
              <w:rPr>
                <w:sz w:val="20"/>
                <w:szCs w:val="20"/>
                <w:color w:val="auto"/>
              </w:rPr>
            </w:pPr>
            <w:r>
              <w:rPr>
                <w:rFonts w:ascii="Arial" w:cs="Arial" w:eastAsia="Arial" w:hAnsi="Arial"/>
                <w:sz w:val="12"/>
                <w:szCs w:val="12"/>
                <w:b w:val="1"/>
                <w:bCs w:val="1"/>
                <w:color w:val="FFFFFF"/>
                <w:w w:val="95"/>
              </w:rPr>
              <w:t>($)(5)</w:t>
            </w:r>
          </w:p>
        </w:tc>
        <w:tc>
          <w:tcPr>
            <w:tcW w:w="1160" w:type="dxa"/>
            <w:vAlign w:val="bottom"/>
            <w:tcBorders>
              <w:bottom w:val="single" w:sz="8" w:color="auto"/>
            </w:tcBorders>
            <w:shd w:val="clear" w:color="auto" w:fill="086FB8"/>
          </w:tcPr>
          <w:p>
            <w:pPr>
              <w:jc w:val="center"/>
              <w:ind w:right="58"/>
              <w:spacing w:after="0"/>
              <w:rPr>
                <w:sz w:val="20"/>
                <w:szCs w:val="20"/>
                <w:color w:val="auto"/>
              </w:rPr>
            </w:pPr>
            <w:r>
              <w:rPr>
                <w:rFonts w:ascii="Arial" w:cs="Arial" w:eastAsia="Arial" w:hAnsi="Arial"/>
                <w:sz w:val="12"/>
                <w:szCs w:val="12"/>
                <w:b w:val="1"/>
                <w:bCs w:val="1"/>
                <w:color w:val="FFFFFF"/>
                <w:w w:val="99"/>
              </w:rPr>
              <w:t>($)(6)(8)</w:t>
            </w:r>
          </w:p>
        </w:tc>
        <w:tc>
          <w:tcPr>
            <w:tcW w:w="1200" w:type="dxa"/>
            <w:vAlign w:val="bottom"/>
            <w:tcBorders>
              <w:bottom w:val="single" w:sz="8" w:color="auto"/>
            </w:tcBorders>
            <w:shd w:val="clear" w:color="auto" w:fill="086FB8"/>
          </w:tcPr>
          <w:p>
            <w:pPr>
              <w:jc w:val="center"/>
              <w:ind w:right="138"/>
              <w:spacing w:after="0"/>
              <w:rPr>
                <w:sz w:val="20"/>
                <w:szCs w:val="20"/>
                <w:color w:val="auto"/>
              </w:rPr>
            </w:pPr>
            <w:r>
              <w:rPr>
                <w:rFonts w:ascii="Arial" w:cs="Arial" w:eastAsia="Arial" w:hAnsi="Arial"/>
                <w:sz w:val="12"/>
                <w:szCs w:val="12"/>
                <w:b w:val="1"/>
                <w:bCs w:val="1"/>
                <w:color w:val="FFFFFF"/>
                <w:w w:val="95"/>
              </w:rPr>
              <w:t>($)(7)</w:t>
            </w:r>
          </w:p>
        </w:tc>
        <w:tc>
          <w:tcPr>
            <w:tcW w:w="1080" w:type="dxa"/>
            <w:vAlign w:val="bottom"/>
            <w:tcBorders>
              <w:bottom w:val="single" w:sz="8" w:color="auto"/>
              <w:right w:val="single" w:sz="8" w:color="auto"/>
            </w:tcBorders>
            <w:shd w:val="clear" w:color="auto" w:fill="086FB8"/>
          </w:tcPr>
          <w:p>
            <w:pPr>
              <w:jc w:val="right"/>
              <w:ind w:right="318"/>
              <w:spacing w:after="0"/>
              <w:rPr>
                <w:sz w:val="20"/>
                <w:szCs w:val="20"/>
                <w:color w:val="auto"/>
              </w:rPr>
            </w:pPr>
            <w:r>
              <w:rPr>
                <w:rFonts w:ascii="Arial" w:cs="Arial" w:eastAsia="Arial" w:hAnsi="Arial"/>
                <w:sz w:val="12"/>
                <w:szCs w:val="12"/>
                <w:b w:val="1"/>
                <w:bCs w:val="1"/>
                <w:color w:val="FFFFFF"/>
              </w:rPr>
              <w:t>Total ($)</w:t>
            </w:r>
          </w:p>
        </w:tc>
      </w:tr>
      <w:tr>
        <w:trPr>
          <w:trHeight w:val="140"/>
        </w:trPr>
        <w:tc>
          <w:tcPr>
            <w:tcW w:w="170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Peter S. Ho</w:t>
            </w:r>
          </w:p>
        </w:tc>
        <w:tc>
          <w:tcPr>
            <w:tcW w:w="1560" w:type="dxa"/>
            <w:vAlign w:val="bottom"/>
          </w:tcPr>
          <w:p>
            <w:pPr>
              <w:jc w:val="right"/>
              <w:ind w:right="98"/>
              <w:spacing w:after="0"/>
              <w:rPr>
                <w:sz w:val="20"/>
                <w:szCs w:val="20"/>
                <w:color w:val="auto"/>
              </w:rPr>
            </w:pPr>
            <w:r>
              <w:rPr>
                <w:rFonts w:ascii="Arial" w:cs="Arial" w:eastAsia="Arial" w:hAnsi="Arial"/>
                <w:sz w:val="12"/>
                <w:szCs w:val="12"/>
                <w:color w:val="auto"/>
              </w:rPr>
              <w:t>3,440,000</w:t>
            </w:r>
          </w:p>
        </w:tc>
        <w:tc>
          <w:tcPr>
            <w:tcW w:w="1200" w:type="dxa"/>
            <w:vAlign w:val="bottom"/>
          </w:tcPr>
          <w:p>
            <w:pPr>
              <w:jc w:val="right"/>
              <w:ind w:right="158"/>
              <w:spacing w:after="0"/>
              <w:rPr>
                <w:sz w:val="20"/>
                <w:szCs w:val="20"/>
                <w:color w:val="auto"/>
              </w:rPr>
            </w:pPr>
            <w:r>
              <w:rPr>
                <w:rFonts w:ascii="Arial" w:cs="Arial" w:eastAsia="Arial" w:hAnsi="Arial"/>
                <w:sz w:val="12"/>
                <w:szCs w:val="12"/>
                <w:color w:val="auto"/>
              </w:rPr>
              <w:t>1,720,000</w:t>
            </w:r>
          </w:p>
        </w:tc>
        <w:tc>
          <w:tcPr>
            <w:tcW w:w="1060" w:type="dxa"/>
            <w:vAlign w:val="bottom"/>
          </w:tcPr>
          <w:p>
            <w:pPr>
              <w:jc w:val="right"/>
              <w:ind w:right="98"/>
              <w:spacing w:after="0"/>
              <w:rPr>
                <w:sz w:val="20"/>
                <w:szCs w:val="20"/>
                <w:color w:val="auto"/>
              </w:rPr>
            </w:pPr>
            <w:r>
              <w:rPr>
                <w:rFonts w:ascii="Arial" w:cs="Arial" w:eastAsia="Arial" w:hAnsi="Arial"/>
                <w:sz w:val="12"/>
                <w:szCs w:val="12"/>
                <w:color w:val="auto"/>
              </w:rPr>
              <w:t>80,679</w:t>
            </w:r>
          </w:p>
        </w:tc>
        <w:tc>
          <w:tcPr>
            <w:tcW w:w="1180" w:type="dxa"/>
            <w:vAlign w:val="bottom"/>
          </w:tcPr>
          <w:p>
            <w:pPr>
              <w:jc w:val="right"/>
              <w:ind w:right="138"/>
              <w:spacing w:after="0"/>
              <w:rPr>
                <w:sz w:val="20"/>
                <w:szCs w:val="20"/>
                <w:color w:val="auto"/>
              </w:rPr>
            </w:pPr>
            <w:r>
              <w:rPr>
                <w:rFonts w:ascii="Arial" w:cs="Arial" w:eastAsia="Arial" w:hAnsi="Arial"/>
                <w:sz w:val="12"/>
                <w:szCs w:val="12"/>
                <w:color w:val="auto"/>
              </w:rPr>
              <w:t>27,100</w:t>
            </w:r>
          </w:p>
        </w:tc>
        <w:tc>
          <w:tcPr>
            <w:tcW w:w="1100" w:type="dxa"/>
            <w:vAlign w:val="bottom"/>
          </w:tcPr>
          <w:p>
            <w:pPr>
              <w:jc w:val="right"/>
              <w:ind w:right="98"/>
              <w:spacing w:after="0"/>
              <w:rPr>
                <w:sz w:val="20"/>
                <w:szCs w:val="20"/>
                <w:color w:val="auto"/>
              </w:rPr>
            </w:pPr>
            <w:r>
              <w:rPr>
                <w:rFonts w:ascii="Arial" w:cs="Arial" w:eastAsia="Arial" w:hAnsi="Arial"/>
                <w:sz w:val="12"/>
                <w:szCs w:val="12"/>
                <w:color w:val="auto"/>
              </w:rPr>
              <w:t>150,000</w:t>
            </w:r>
          </w:p>
        </w:tc>
        <w:tc>
          <w:tcPr>
            <w:tcW w:w="1160" w:type="dxa"/>
            <w:vAlign w:val="bottom"/>
          </w:tcPr>
          <w:p>
            <w:pPr>
              <w:jc w:val="right"/>
              <w:ind w:right="138"/>
              <w:spacing w:after="0"/>
              <w:rPr>
                <w:sz w:val="20"/>
                <w:szCs w:val="20"/>
                <w:color w:val="auto"/>
              </w:rPr>
            </w:pPr>
            <w:r>
              <w:rPr>
                <w:rFonts w:ascii="Arial" w:cs="Arial" w:eastAsia="Arial" w:hAnsi="Arial"/>
                <w:sz w:val="12"/>
                <w:szCs w:val="12"/>
                <w:color w:val="auto"/>
              </w:rPr>
              <w:t>8,522,915</w:t>
            </w:r>
          </w:p>
        </w:tc>
        <w:tc>
          <w:tcPr>
            <w:tcW w:w="1200" w:type="dxa"/>
            <w:vAlign w:val="bottom"/>
          </w:tcPr>
          <w:p>
            <w:pPr>
              <w:jc w:val="right"/>
              <w:ind w:right="178"/>
              <w:spacing w:after="0"/>
              <w:rPr>
                <w:sz w:val="20"/>
                <w:szCs w:val="20"/>
                <w:color w:val="auto"/>
              </w:rPr>
            </w:pPr>
            <w:r>
              <w:rPr>
                <w:rFonts w:ascii="Arial" w:cs="Arial" w:eastAsia="Arial" w:hAnsi="Arial"/>
                <w:sz w:val="12"/>
                <w:szCs w:val="12"/>
                <w:color w:val="auto"/>
              </w:rPr>
              <w:t>1,720,000</w:t>
            </w:r>
          </w:p>
        </w:tc>
        <w:tc>
          <w:tcPr>
            <w:tcW w:w="1080" w:type="dxa"/>
            <w:vAlign w:val="bottom"/>
            <w:tcBorders>
              <w:right w:val="single" w:sz="8" w:color="auto"/>
            </w:tcBorders>
          </w:tcPr>
          <w:p>
            <w:pPr>
              <w:jc w:val="right"/>
              <w:ind w:right="78"/>
              <w:spacing w:after="0"/>
              <w:rPr>
                <w:sz w:val="20"/>
                <w:szCs w:val="20"/>
                <w:color w:val="auto"/>
              </w:rPr>
            </w:pPr>
            <w:r>
              <w:rPr>
                <w:rFonts w:ascii="Arial" w:cs="Arial" w:eastAsia="Arial" w:hAnsi="Arial"/>
                <w:sz w:val="12"/>
                <w:szCs w:val="12"/>
                <w:color w:val="auto"/>
              </w:rPr>
              <w:t>15,660,694</w:t>
            </w:r>
          </w:p>
        </w:tc>
      </w:tr>
      <w:tr>
        <w:trPr>
          <w:trHeight w:val="147"/>
        </w:trPr>
        <w:tc>
          <w:tcPr>
            <w:tcW w:w="170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Dean Y. Shigemura</w:t>
            </w:r>
          </w:p>
        </w:tc>
        <w:tc>
          <w:tcPr>
            <w:tcW w:w="1560" w:type="dxa"/>
            <w:vAlign w:val="bottom"/>
          </w:tcPr>
          <w:p>
            <w:pPr>
              <w:jc w:val="right"/>
              <w:ind w:right="98"/>
              <w:spacing w:after="0"/>
              <w:rPr>
                <w:sz w:val="20"/>
                <w:szCs w:val="20"/>
                <w:color w:val="auto"/>
              </w:rPr>
            </w:pPr>
            <w:r>
              <w:rPr>
                <w:rFonts w:ascii="Arial" w:cs="Arial" w:eastAsia="Arial" w:hAnsi="Arial"/>
                <w:sz w:val="12"/>
                <w:szCs w:val="12"/>
                <w:color w:val="auto"/>
              </w:rPr>
              <w:t>1,566,000</w:t>
            </w:r>
          </w:p>
        </w:tc>
        <w:tc>
          <w:tcPr>
            <w:tcW w:w="1200" w:type="dxa"/>
            <w:vAlign w:val="bottom"/>
          </w:tcPr>
          <w:p>
            <w:pPr>
              <w:jc w:val="right"/>
              <w:ind w:right="158"/>
              <w:spacing w:after="0"/>
              <w:rPr>
                <w:sz w:val="20"/>
                <w:szCs w:val="20"/>
                <w:color w:val="auto"/>
              </w:rPr>
            </w:pPr>
            <w:r>
              <w:rPr>
                <w:rFonts w:ascii="Arial" w:cs="Arial" w:eastAsia="Arial" w:hAnsi="Arial"/>
                <w:sz w:val="12"/>
                <w:szCs w:val="12"/>
                <w:color w:val="auto"/>
              </w:rPr>
              <w:t>696,000</w:t>
            </w:r>
          </w:p>
        </w:tc>
        <w:tc>
          <w:tcPr>
            <w:tcW w:w="1060" w:type="dxa"/>
            <w:vAlign w:val="bottom"/>
          </w:tcPr>
          <w:p>
            <w:pPr>
              <w:jc w:val="right"/>
              <w:ind w:right="98"/>
              <w:spacing w:after="0"/>
              <w:rPr>
                <w:sz w:val="20"/>
                <w:szCs w:val="20"/>
                <w:color w:val="auto"/>
              </w:rPr>
            </w:pPr>
            <w:r>
              <w:rPr>
                <w:rFonts w:ascii="Arial" w:cs="Arial" w:eastAsia="Arial" w:hAnsi="Arial"/>
                <w:sz w:val="12"/>
                <w:szCs w:val="12"/>
                <w:color w:val="auto"/>
              </w:rPr>
              <w:t>63,437</w:t>
            </w:r>
          </w:p>
        </w:tc>
        <w:tc>
          <w:tcPr>
            <w:tcW w:w="1180" w:type="dxa"/>
            <w:vAlign w:val="bottom"/>
          </w:tcPr>
          <w:p>
            <w:pPr>
              <w:jc w:val="right"/>
              <w:ind w:right="138"/>
              <w:spacing w:after="0"/>
              <w:rPr>
                <w:sz w:val="20"/>
                <w:szCs w:val="20"/>
                <w:color w:val="auto"/>
              </w:rPr>
            </w:pPr>
            <w:r>
              <w:rPr>
                <w:rFonts w:ascii="Arial" w:cs="Arial" w:eastAsia="Arial" w:hAnsi="Arial"/>
                <w:sz w:val="12"/>
                <w:szCs w:val="12"/>
                <w:color w:val="auto"/>
              </w:rPr>
              <w:t>27,100</w:t>
            </w:r>
          </w:p>
        </w:tc>
        <w:tc>
          <w:tcPr>
            <w:tcW w:w="1100" w:type="dxa"/>
            <w:vAlign w:val="bottom"/>
          </w:tcPr>
          <w:p>
            <w:pPr>
              <w:jc w:val="right"/>
              <w:ind w:right="98"/>
              <w:spacing w:after="0"/>
              <w:rPr>
                <w:sz w:val="20"/>
                <w:szCs w:val="20"/>
                <w:color w:val="auto"/>
              </w:rPr>
            </w:pPr>
            <w:r>
              <w:rPr>
                <w:rFonts w:ascii="Arial" w:cs="Arial" w:eastAsia="Arial" w:hAnsi="Arial"/>
                <w:sz w:val="12"/>
                <w:szCs w:val="12"/>
                <w:color w:val="auto"/>
              </w:rPr>
              <w:t>150,000</w:t>
            </w:r>
          </w:p>
        </w:tc>
        <w:tc>
          <w:tcPr>
            <w:tcW w:w="1160" w:type="dxa"/>
            <w:vAlign w:val="bottom"/>
          </w:tcPr>
          <w:p>
            <w:pPr>
              <w:jc w:val="right"/>
              <w:ind w:right="138"/>
              <w:spacing w:after="0"/>
              <w:rPr>
                <w:sz w:val="20"/>
                <w:szCs w:val="20"/>
                <w:color w:val="auto"/>
              </w:rPr>
            </w:pPr>
            <w:r>
              <w:rPr>
                <w:rFonts w:ascii="Arial" w:cs="Arial" w:eastAsia="Arial" w:hAnsi="Arial"/>
                <w:sz w:val="12"/>
                <w:szCs w:val="12"/>
                <w:color w:val="auto"/>
              </w:rPr>
              <w:t>2,060,667</w:t>
            </w:r>
          </w:p>
        </w:tc>
        <w:tc>
          <w:tcPr>
            <w:tcW w:w="1200" w:type="dxa"/>
            <w:vAlign w:val="bottom"/>
          </w:tcPr>
          <w:p>
            <w:pPr>
              <w:jc w:val="right"/>
              <w:ind w:right="178"/>
              <w:spacing w:after="0"/>
              <w:rPr>
                <w:sz w:val="20"/>
                <w:szCs w:val="20"/>
                <w:color w:val="auto"/>
              </w:rPr>
            </w:pPr>
            <w:r>
              <w:rPr>
                <w:rFonts w:ascii="Arial" w:cs="Arial" w:eastAsia="Arial" w:hAnsi="Arial"/>
                <w:sz w:val="12"/>
                <w:szCs w:val="12"/>
                <w:color w:val="auto"/>
              </w:rPr>
              <w:t>783,000</w:t>
            </w:r>
          </w:p>
        </w:tc>
        <w:tc>
          <w:tcPr>
            <w:tcW w:w="1080" w:type="dxa"/>
            <w:vAlign w:val="bottom"/>
            <w:tcBorders>
              <w:right w:val="single" w:sz="8" w:color="auto"/>
            </w:tcBorders>
          </w:tcPr>
          <w:p>
            <w:pPr>
              <w:jc w:val="right"/>
              <w:ind w:right="78"/>
              <w:spacing w:after="0"/>
              <w:rPr>
                <w:sz w:val="20"/>
                <w:szCs w:val="20"/>
                <w:color w:val="auto"/>
              </w:rPr>
            </w:pPr>
            <w:r>
              <w:rPr>
                <w:rFonts w:ascii="Arial" w:cs="Arial" w:eastAsia="Arial" w:hAnsi="Arial"/>
                <w:sz w:val="12"/>
                <w:szCs w:val="12"/>
                <w:color w:val="auto"/>
              </w:rPr>
              <w:t>5,346,204</w:t>
            </w:r>
          </w:p>
        </w:tc>
      </w:tr>
      <w:tr>
        <w:trPr>
          <w:trHeight w:val="147"/>
        </w:trPr>
        <w:tc>
          <w:tcPr>
            <w:tcW w:w="170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Sharon M. Crofts</w:t>
            </w:r>
          </w:p>
        </w:tc>
        <w:tc>
          <w:tcPr>
            <w:tcW w:w="1560" w:type="dxa"/>
            <w:vAlign w:val="bottom"/>
          </w:tcPr>
          <w:p>
            <w:pPr>
              <w:jc w:val="right"/>
              <w:ind w:right="98"/>
              <w:spacing w:after="0"/>
              <w:rPr>
                <w:sz w:val="20"/>
                <w:szCs w:val="20"/>
                <w:color w:val="auto"/>
              </w:rPr>
            </w:pPr>
            <w:r>
              <w:rPr>
                <w:rFonts w:ascii="Arial" w:cs="Arial" w:eastAsia="Arial" w:hAnsi="Arial"/>
                <w:sz w:val="12"/>
                <w:szCs w:val="12"/>
                <w:color w:val="auto"/>
              </w:rPr>
              <w:t>1,566,000</w:t>
            </w:r>
          </w:p>
        </w:tc>
        <w:tc>
          <w:tcPr>
            <w:tcW w:w="1200" w:type="dxa"/>
            <w:vAlign w:val="bottom"/>
          </w:tcPr>
          <w:p>
            <w:pPr>
              <w:jc w:val="right"/>
              <w:ind w:right="158"/>
              <w:spacing w:after="0"/>
              <w:rPr>
                <w:sz w:val="20"/>
                <w:szCs w:val="20"/>
                <w:color w:val="auto"/>
              </w:rPr>
            </w:pPr>
            <w:r>
              <w:rPr>
                <w:rFonts w:ascii="Arial" w:cs="Arial" w:eastAsia="Arial" w:hAnsi="Arial"/>
                <w:sz w:val="12"/>
                <w:szCs w:val="12"/>
                <w:color w:val="auto"/>
              </w:rPr>
              <w:t>696,000</w:t>
            </w:r>
          </w:p>
        </w:tc>
        <w:tc>
          <w:tcPr>
            <w:tcW w:w="1060" w:type="dxa"/>
            <w:vAlign w:val="bottom"/>
          </w:tcPr>
          <w:p>
            <w:pPr>
              <w:jc w:val="right"/>
              <w:ind w:right="98"/>
              <w:spacing w:after="0"/>
              <w:rPr>
                <w:sz w:val="20"/>
                <w:szCs w:val="20"/>
                <w:color w:val="auto"/>
              </w:rPr>
            </w:pPr>
            <w:r>
              <w:rPr>
                <w:rFonts w:ascii="Arial" w:cs="Arial" w:eastAsia="Arial" w:hAnsi="Arial"/>
                <w:sz w:val="12"/>
                <w:szCs w:val="12"/>
                <w:color w:val="auto"/>
              </w:rPr>
              <w:t>53,766</w:t>
            </w:r>
          </w:p>
        </w:tc>
        <w:tc>
          <w:tcPr>
            <w:tcW w:w="1180" w:type="dxa"/>
            <w:vAlign w:val="bottom"/>
          </w:tcPr>
          <w:p>
            <w:pPr>
              <w:jc w:val="right"/>
              <w:ind w:right="138"/>
              <w:spacing w:after="0"/>
              <w:rPr>
                <w:sz w:val="20"/>
                <w:szCs w:val="20"/>
                <w:color w:val="auto"/>
              </w:rPr>
            </w:pPr>
            <w:r>
              <w:rPr>
                <w:rFonts w:ascii="Arial" w:cs="Arial" w:eastAsia="Arial" w:hAnsi="Arial"/>
                <w:sz w:val="12"/>
                <w:szCs w:val="12"/>
                <w:color w:val="auto"/>
              </w:rPr>
              <w:t>27,100</w:t>
            </w:r>
          </w:p>
        </w:tc>
        <w:tc>
          <w:tcPr>
            <w:tcW w:w="1100" w:type="dxa"/>
            <w:vAlign w:val="bottom"/>
          </w:tcPr>
          <w:p>
            <w:pPr>
              <w:jc w:val="right"/>
              <w:ind w:right="98"/>
              <w:spacing w:after="0"/>
              <w:rPr>
                <w:sz w:val="20"/>
                <w:szCs w:val="20"/>
                <w:color w:val="auto"/>
              </w:rPr>
            </w:pPr>
            <w:r>
              <w:rPr>
                <w:rFonts w:ascii="Arial" w:cs="Arial" w:eastAsia="Arial" w:hAnsi="Arial"/>
                <w:sz w:val="12"/>
                <w:szCs w:val="12"/>
                <w:color w:val="auto"/>
              </w:rPr>
              <w:t>150,000</w:t>
            </w:r>
          </w:p>
        </w:tc>
        <w:tc>
          <w:tcPr>
            <w:tcW w:w="1160" w:type="dxa"/>
            <w:vAlign w:val="bottom"/>
          </w:tcPr>
          <w:p>
            <w:pPr>
              <w:jc w:val="right"/>
              <w:ind w:right="138"/>
              <w:spacing w:after="0"/>
              <w:rPr>
                <w:sz w:val="20"/>
                <w:szCs w:val="20"/>
                <w:color w:val="auto"/>
              </w:rPr>
            </w:pPr>
            <w:r>
              <w:rPr>
                <w:rFonts w:ascii="Arial" w:cs="Arial" w:eastAsia="Arial" w:hAnsi="Arial"/>
                <w:sz w:val="12"/>
                <w:szCs w:val="12"/>
                <w:color w:val="auto"/>
              </w:rPr>
              <w:t>2,585,420</w:t>
            </w:r>
          </w:p>
        </w:tc>
        <w:tc>
          <w:tcPr>
            <w:tcW w:w="1200" w:type="dxa"/>
            <w:vAlign w:val="bottom"/>
          </w:tcPr>
          <w:p>
            <w:pPr>
              <w:jc w:val="right"/>
              <w:ind w:right="178"/>
              <w:spacing w:after="0"/>
              <w:rPr>
                <w:sz w:val="20"/>
                <w:szCs w:val="20"/>
                <w:color w:val="auto"/>
              </w:rPr>
            </w:pPr>
            <w:r>
              <w:rPr>
                <w:rFonts w:ascii="Arial" w:cs="Arial" w:eastAsia="Arial" w:hAnsi="Arial"/>
                <w:sz w:val="12"/>
                <w:szCs w:val="12"/>
                <w:color w:val="auto"/>
              </w:rPr>
              <w:t>783,000</w:t>
            </w:r>
          </w:p>
        </w:tc>
        <w:tc>
          <w:tcPr>
            <w:tcW w:w="1080" w:type="dxa"/>
            <w:vAlign w:val="bottom"/>
            <w:tcBorders>
              <w:right w:val="single" w:sz="8" w:color="auto"/>
            </w:tcBorders>
          </w:tcPr>
          <w:p>
            <w:pPr>
              <w:jc w:val="right"/>
              <w:ind w:right="78"/>
              <w:spacing w:after="0"/>
              <w:rPr>
                <w:sz w:val="20"/>
                <w:szCs w:val="20"/>
                <w:color w:val="auto"/>
              </w:rPr>
            </w:pPr>
            <w:r>
              <w:rPr>
                <w:rFonts w:ascii="Arial" w:cs="Arial" w:eastAsia="Arial" w:hAnsi="Arial"/>
                <w:sz w:val="12"/>
                <w:szCs w:val="12"/>
                <w:color w:val="auto"/>
              </w:rPr>
              <w:t>5,861,286</w:t>
            </w:r>
          </w:p>
        </w:tc>
      </w:tr>
      <w:tr>
        <w:trPr>
          <w:trHeight w:val="147"/>
        </w:trPr>
        <w:tc>
          <w:tcPr>
            <w:tcW w:w="170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James C. Polk</w:t>
            </w:r>
          </w:p>
        </w:tc>
        <w:tc>
          <w:tcPr>
            <w:tcW w:w="1560" w:type="dxa"/>
            <w:vAlign w:val="bottom"/>
          </w:tcPr>
          <w:p>
            <w:pPr>
              <w:jc w:val="right"/>
              <w:ind w:right="98"/>
              <w:spacing w:after="0"/>
              <w:rPr>
                <w:sz w:val="20"/>
                <w:szCs w:val="20"/>
                <w:color w:val="auto"/>
              </w:rPr>
            </w:pPr>
            <w:r>
              <w:rPr>
                <w:rFonts w:ascii="Arial" w:cs="Arial" w:eastAsia="Arial" w:hAnsi="Arial"/>
                <w:sz w:val="12"/>
                <w:szCs w:val="12"/>
                <w:color w:val="auto"/>
              </w:rPr>
              <w:t>1,566,000</w:t>
            </w:r>
          </w:p>
        </w:tc>
        <w:tc>
          <w:tcPr>
            <w:tcW w:w="1200" w:type="dxa"/>
            <w:vAlign w:val="bottom"/>
          </w:tcPr>
          <w:p>
            <w:pPr>
              <w:jc w:val="right"/>
              <w:ind w:right="158"/>
              <w:spacing w:after="0"/>
              <w:rPr>
                <w:sz w:val="20"/>
                <w:szCs w:val="20"/>
                <w:color w:val="auto"/>
              </w:rPr>
            </w:pPr>
            <w:r>
              <w:rPr>
                <w:rFonts w:ascii="Arial" w:cs="Arial" w:eastAsia="Arial" w:hAnsi="Arial"/>
                <w:sz w:val="12"/>
                <w:szCs w:val="12"/>
                <w:color w:val="auto"/>
              </w:rPr>
              <w:t>696,000</w:t>
            </w:r>
          </w:p>
        </w:tc>
        <w:tc>
          <w:tcPr>
            <w:tcW w:w="1060" w:type="dxa"/>
            <w:vAlign w:val="bottom"/>
          </w:tcPr>
          <w:p>
            <w:pPr>
              <w:jc w:val="right"/>
              <w:ind w:right="98"/>
              <w:spacing w:after="0"/>
              <w:rPr>
                <w:sz w:val="20"/>
                <w:szCs w:val="20"/>
                <w:color w:val="auto"/>
              </w:rPr>
            </w:pPr>
            <w:r>
              <w:rPr>
                <w:rFonts w:ascii="Arial" w:cs="Arial" w:eastAsia="Arial" w:hAnsi="Arial"/>
                <w:sz w:val="12"/>
                <w:szCs w:val="12"/>
                <w:color w:val="auto"/>
              </w:rPr>
              <w:t>52,890</w:t>
            </w:r>
          </w:p>
        </w:tc>
        <w:tc>
          <w:tcPr>
            <w:tcW w:w="1180" w:type="dxa"/>
            <w:vAlign w:val="bottom"/>
          </w:tcPr>
          <w:p>
            <w:pPr>
              <w:jc w:val="right"/>
              <w:ind w:right="138"/>
              <w:spacing w:after="0"/>
              <w:rPr>
                <w:sz w:val="20"/>
                <w:szCs w:val="20"/>
                <w:color w:val="auto"/>
              </w:rPr>
            </w:pPr>
            <w:r>
              <w:rPr>
                <w:rFonts w:ascii="Arial" w:cs="Arial" w:eastAsia="Arial" w:hAnsi="Arial"/>
                <w:sz w:val="12"/>
                <w:szCs w:val="12"/>
                <w:color w:val="auto"/>
              </w:rPr>
              <w:t>27,100</w:t>
            </w:r>
          </w:p>
        </w:tc>
        <w:tc>
          <w:tcPr>
            <w:tcW w:w="1100" w:type="dxa"/>
            <w:vAlign w:val="bottom"/>
          </w:tcPr>
          <w:p>
            <w:pPr>
              <w:jc w:val="right"/>
              <w:ind w:right="98"/>
              <w:spacing w:after="0"/>
              <w:rPr>
                <w:sz w:val="20"/>
                <w:szCs w:val="20"/>
                <w:color w:val="auto"/>
              </w:rPr>
            </w:pPr>
            <w:r>
              <w:rPr>
                <w:rFonts w:ascii="Arial" w:cs="Arial" w:eastAsia="Arial" w:hAnsi="Arial"/>
                <w:sz w:val="12"/>
                <w:szCs w:val="12"/>
                <w:color w:val="auto"/>
              </w:rPr>
              <w:t>150,000</w:t>
            </w:r>
          </w:p>
        </w:tc>
        <w:tc>
          <w:tcPr>
            <w:tcW w:w="1160" w:type="dxa"/>
            <w:vAlign w:val="bottom"/>
          </w:tcPr>
          <w:p>
            <w:pPr>
              <w:jc w:val="right"/>
              <w:ind w:right="138"/>
              <w:spacing w:after="0"/>
              <w:rPr>
                <w:sz w:val="20"/>
                <w:szCs w:val="20"/>
                <w:color w:val="auto"/>
              </w:rPr>
            </w:pPr>
            <w:r>
              <w:rPr>
                <w:rFonts w:ascii="Arial" w:cs="Arial" w:eastAsia="Arial" w:hAnsi="Arial"/>
                <w:sz w:val="12"/>
                <w:szCs w:val="12"/>
                <w:color w:val="auto"/>
              </w:rPr>
              <w:t>2,912,754</w:t>
            </w:r>
          </w:p>
        </w:tc>
        <w:tc>
          <w:tcPr>
            <w:tcW w:w="1200" w:type="dxa"/>
            <w:vAlign w:val="bottom"/>
          </w:tcPr>
          <w:p>
            <w:pPr>
              <w:jc w:val="right"/>
              <w:ind w:right="178"/>
              <w:spacing w:after="0"/>
              <w:rPr>
                <w:sz w:val="20"/>
                <w:szCs w:val="20"/>
                <w:color w:val="auto"/>
              </w:rPr>
            </w:pPr>
            <w:r>
              <w:rPr>
                <w:rFonts w:ascii="Arial" w:cs="Arial" w:eastAsia="Arial" w:hAnsi="Arial"/>
                <w:sz w:val="12"/>
                <w:szCs w:val="12"/>
                <w:color w:val="auto"/>
              </w:rPr>
              <w:t>783,000</w:t>
            </w:r>
          </w:p>
        </w:tc>
        <w:tc>
          <w:tcPr>
            <w:tcW w:w="1080" w:type="dxa"/>
            <w:vAlign w:val="bottom"/>
            <w:tcBorders>
              <w:right w:val="single" w:sz="8" w:color="auto"/>
            </w:tcBorders>
          </w:tcPr>
          <w:p>
            <w:pPr>
              <w:jc w:val="right"/>
              <w:ind w:right="78"/>
              <w:spacing w:after="0"/>
              <w:rPr>
                <w:sz w:val="20"/>
                <w:szCs w:val="20"/>
                <w:color w:val="auto"/>
              </w:rPr>
            </w:pPr>
            <w:r>
              <w:rPr>
                <w:rFonts w:ascii="Arial" w:cs="Arial" w:eastAsia="Arial" w:hAnsi="Arial"/>
                <w:sz w:val="12"/>
                <w:szCs w:val="12"/>
                <w:color w:val="auto"/>
              </w:rPr>
              <w:t>6,187,744</w:t>
            </w:r>
          </w:p>
        </w:tc>
      </w:tr>
      <w:tr>
        <w:trPr>
          <w:trHeight w:val="148"/>
        </w:trPr>
        <w:tc>
          <w:tcPr>
            <w:tcW w:w="17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2"/>
                <w:szCs w:val="12"/>
                <w:color w:val="auto"/>
              </w:rPr>
              <w:t>Mary E. Sellers</w:t>
            </w:r>
          </w:p>
        </w:tc>
        <w:tc>
          <w:tcPr>
            <w:tcW w:w="15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1,569,600</w:t>
            </w:r>
          </w:p>
        </w:tc>
        <w:tc>
          <w:tcPr>
            <w:tcW w:w="120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697,600</w:t>
            </w:r>
          </w:p>
        </w:tc>
        <w:tc>
          <w:tcPr>
            <w:tcW w:w="10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26,874</w:t>
            </w:r>
          </w:p>
        </w:tc>
        <w:tc>
          <w:tcPr>
            <w:tcW w:w="118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27,100</w:t>
            </w:r>
          </w:p>
        </w:tc>
        <w:tc>
          <w:tcPr>
            <w:tcW w:w="11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150,000</w:t>
            </w:r>
          </w:p>
        </w:tc>
        <w:tc>
          <w:tcPr>
            <w:tcW w:w="116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3,394,960</w:t>
            </w:r>
          </w:p>
        </w:tc>
        <w:tc>
          <w:tcPr>
            <w:tcW w:w="12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784,800</w:t>
            </w:r>
          </w:p>
        </w:tc>
        <w:tc>
          <w:tcPr>
            <w:tcW w:w="1080" w:type="dxa"/>
            <w:vAlign w:val="bottom"/>
            <w:tcBorders>
              <w:bottom w:val="single" w:sz="8" w:color="auto"/>
              <w:right w:val="single" w:sz="8" w:color="auto"/>
            </w:tcBorders>
          </w:tcPr>
          <w:p>
            <w:pPr>
              <w:jc w:val="right"/>
              <w:ind w:right="78"/>
              <w:spacing w:after="0"/>
              <w:rPr>
                <w:sz w:val="20"/>
                <w:szCs w:val="20"/>
                <w:color w:val="auto"/>
              </w:rPr>
            </w:pPr>
            <w:r>
              <w:rPr>
                <w:rFonts w:ascii="Arial" w:cs="Arial" w:eastAsia="Arial" w:hAnsi="Arial"/>
                <w:sz w:val="12"/>
                <w:szCs w:val="12"/>
                <w:color w:val="auto"/>
              </w:rPr>
              <w:t>6,650,934</w:t>
            </w:r>
          </w:p>
        </w:tc>
      </w:tr>
    </w:tbl>
    <w:p>
      <w:pPr>
        <w:spacing w:after="0" w:line="110" w:lineRule="exact"/>
        <w:rPr>
          <w:sz w:val="20"/>
          <w:szCs w:val="20"/>
          <w:color w:val="auto"/>
        </w:rPr>
      </w:pPr>
    </w:p>
    <w:p>
      <w:pPr>
        <w:ind w:left="400" w:right="220" w:hanging="393"/>
        <w:spacing w:after="0" w:line="267" w:lineRule="auto"/>
        <w:tabs>
          <w:tab w:leader="none" w:pos="400" w:val="left"/>
        </w:tabs>
        <w:numPr>
          <w:ilvl w:val="0"/>
          <w:numId w:val="89"/>
        </w:numPr>
        <w:rPr>
          <w:rFonts w:ascii="Arial" w:cs="Arial" w:eastAsia="Arial" w:hAnsi="Arial"/>
          <w:sz w:val="13"/>
          <w:szCs w:val="13"/>
          <w:color w:val="auto"/>
        </w:rPr>
      </w:pPr>
      <w:r>
        <w:rPr>
          <w:rFonts w:ascii="Arial" w:cs="Arial" w:eastAsia="Arial" w:hAnsi="Arial"/>
          <w:sz w:val="12"/>
          <w:szCs w:val="12"/>
          <w:color w:val="auto"/>
        </w:rPr>
        <w:t>Under the Retention Plan, participants who hold the position of Vice Chair or above would be entitled to the sum of (a) two times the participant’s highest annual base salary in the three fiscal years preceding termination of employment (the “Highest Base Salary”), and (b) two times the product of the participant’s annual bonus target percentage under the Executive Incentive Plan in the year of termination and the participant’s Highest Base Salary. Amounts would be payable in a lump sum in the month following termination unless the participant is a “key employee” as defined in Treasury Regulation Section 416(i)(1)(A)(i), (ii) or (iii), in which case amounts would be payable in a lump sum on the first day of the seventh month following termination.</w:t>
      </w:r>
    </w:p>
    <w:p>
      <w:pPr>
        <w:spacing w:after="0" w:line="68" w:lineRule="exact"/>
        <w:rPr>
          <w:rFonts w:ascii="Arial" w:cs="Arial" w:eastAsia="Arial" w:hAnsi="Arial"/>
          <w:sz w:val="13"/>
          <w:szCs w:val="13"/>
          <w:color w:val="auto"/>
        </w:rPr>
      </w:pPr>
    </w:p>
    <w:p>
      <w:pPr>
        <w:jc w:val="both"/>
        <w:ind w:left="400" w:right="60" w:hanging="393"/>
        <w:spacing w:after="0" w:line="273" w:lineRule="auto"/>
        <w:tabs>
          <w:tab w:leader="none" w:pos="400" w:val="left"/>
        </w:tabs>
        <w:numPr>
          <w:ilvl w:val="0"/>
          <w:numId w:val="89"/>
        </w:numPr>
        <w:rPr>
          <w:rFonts w:ascii="Arial" w:cs="Arial" w:eastAsia="Arial" w:hAnsi="Arial"/>
          <w:sz w:val="13"/>
          <w:szCs w:val="13"/>
          <w:color w:val="auto"/>
        </w:rPr>
      </w:pPr>
      <w:r>
        <w:rPr>
          <w:rFonts w:ascii="Arial" w:cs="Arial" w:eastAsia="Arial" w:hAnsi="Arial"/>
          <w:sz w:val="12"/>
          <w:szCs w:val="12"/>
          <w:color w:val="auto"/>
        </w:rPr>
        <w:t>The Executive Incentive Plan provides that upon a change-in-control of the Company, a participant who would otherwise be entitled to a final award for a performance period ending after the date of the change-in-control will be entitled to an amount equal to two times the participant’s annual bonus target percentage under the plan (calculated based on the participant’s annualized salary), prorated to the number of months elapsed in the applicable performance period. The final award would be paid within ten days after the end of the shortened performance period.</w:t>
      </w:r>
    </w:p>
    <w:p>
      <w:pPr>
        <w:spacing w:after="0" w:line="64" w:lineRule="exact"/>
        <w:rPr>
          <w:rFonts w:ascii="Arial" w:cs="Arial" w:eastAsia="Arial" w:hAnsi="Arial"/>
          <w:sz w:val="13"/>
          <w:szCs w:val="13"/>
          <w:color w:val="auto"/>
        </w:rPr>
      </w:pPr>
    </w:p>
    <w:p>
      <w:pPr>
        <w:ind w:left="400" w:right="140" w:hanging="393"/>
        <w:spacing w:after="0" w:line="244" w:lineRule="auto"/>
        <w:tabs>
          <w:tab w:leader="none" w:pos="400" w:val="left"/>
        </w:tabs>
        <w:numPr>
          <w:ilvl w:val="0"/>
          <w:numId w:val="89"/>
        </w:numPr>
        <w:rPr>
          <w:rFonts w:ascii="Arial" w:cs="Arial" w:eastAsia="Arial" w:hAnsi="Arial"/>
          <w:sz w:val="14"/>
          <w:szCs w:val="14"/>
          <w:color w:val="auto"/>
        </w:rPr>
      </w:pPr>
      <w:r>
        <w:rPr>
          <w:rFonts w:ascii="Arial" w:cs="Arial" w:eastAsia="Arial" w:hAnsi="Arial"/>
          <w:sz w:val="13"/>
          <w:szCs w:val="13"/>
          <w:color w:val="auto"/>
        </w:rPr>
        <w:t>In lieu of Company-paid health benefits, Retention Plan participants who hold the position of Vice Chair or above would be entitled to an amount equal to three times the cost of annual COBRA premiums for the medical, dental and vision plan coverage that was provided to the participant immediately prior to termination (or coverage provided to employees generally if the participant was not covered by the Company’s health plans prior to termination). Amounts would be payable in a lump sum as described in (1) above.</w:t>
      </w:r>
    </w:p>
    <w:p>
      <w:pPr>
        <w:spacing w:after="0" w:line="80" w:lineRule="exact"/>
        <w:rPr>
          <w:rFonts w:ascii="Arial" w:cs="Arial" w:eastAsia="Arial" w:hAnsi="Arial"/>
          <w:sz w:val="14"/>
          <w:szCs w:val="14"/>
          <w:color w:val="auto"/>
        </w:rPr>
      </w:pPr>
    </w:p>
    <w:p>
      <w:pPr>
        <w:ind w:left="400" w:right="260" w:hanging="393"/>
        <w:spacing w:after="0" w:line="252" w:lineRule="auto"/>
        <w:tabs>
          <w:tab w:leader="none" w:pos="400" w:val="left"/>
        </w:tabs>
        <w:numPr>
          <w:ilvl w:val="0"/>
          <w:numId w:val="89"/>
        </w:numPr>
        <w:rPr>
          <w:rFonts w:ascii="Arial" w:cs="Arial" w:eastAsia="Arial" w:hAnsi="Arial"/>
          <w:sz w:val="14"/>
          <w:szCs w:val="14"/>
          <w:color w:val="auto"/>
        </w:rPr>
      </w:pPr>
      <w:r>
        <w:rPr>
          <w:rFonts w:ascii="Arial" w:cs="Arial" w:eastAsia="Arial" w:hAnsi="Arial"/>
          <w:sz w:val="13"/>
          <w:szCs w:val="13"/>
          <w:color w:val="auto"/>
        </w:rPr>
        <w:t>Under the Retention Plan, participants who hold the position of Vice Chair or above would be entitled to reimbursement for outplacement expenses not to exceed $20,000 (adjusted for inflation after 2007).</w:t>
      </w:r>
    </w:p>
    <w:p>
      <w:pPr>
        <w:spacing w:after="0" w:line="75" w:lineRule="exact"/>
        <w:rPr>
          <w:rFonts w:ascii="Arial" w:cs="Arial" w:eastAsia="Arial" w:hAnsi="Arial"/>
          <w:sz w:val="14"/>
          <w:szCs w:val="14"/>
          <w:color w:val="auto"/>
        </w:rPr>
      </w:pPr>
    </w:p>
    <w:p>
      <w:pPr>
        <w:ind w:left="400" w:hanging="393"/>
        <w:spacing w:after="0" w:line="244" w:lineRule="auto"/>
        <w:tabs>
          <w:tab w:leader="none" w:pos="400" w:val="left"/>
        </w:tabs>
        <w:numPr>
          <w:ilvl w:val="0"/>
          <w:numId w:val="89"/>
        </w:numPr>
        <w:rPr>
          <w:rFonts w:ascii="Arial" w:cs="Arial" w:eastAsia="Arial" w:hAnsi="Arial"/>
          <w:sz w:val="14"/>
          <w:szCs w:val="14"/>
          <w:color w:val="auto"/>
        </w:rPr>
      </w:pPr>
      <w:r>
        <w:rPr>
          <w:rFonts w:ascii="Arial" w:cs="Arial" w:eastAsia="Arial" w:hAnsi="Arial"/>
          <w:sz w:val="13"/>
          <w:szCs w:val="13"/>
          <w:color w:val="auto"/>
        </w:rPr>
        <w:t>For participants who hold the position of Vice Chair or above, the Retention Plan provides for reimbursement of reasonable moving expenses incurred by the participant within 24 months following a qualifying termination (to the extent not reimbursed by another employer). The maximum reimbursement for real estate transaction expenses shall not exceed $100,000 and the maximum reimbursement for all other reasonable moving expenses shall not exceed $50,000.</w:t>
      </w:r>
    </w:p>
    <w:p>
      <w:pPr>
        <w:spacing w:after="0" w:line="80" w:lineRule="exact"/>
        <w:rPr>
          <w:rFonts w:ascii="Arial" w:cs="Arial" w:eastAsia="Arial" w:hAnsi="Arial"/>
          <w:sz w:val="14"/>
          <w:szCs w:val="14"/>
          <w:color w:val="auto"/>
        </w:rPr>
      </w:pPr>
    </w:p>
    <w:p>
      <w:pPr>
        <w:ind w:left="400" w:right="100" w:hanging="393"/>
        <w:spacing w:after="0" w:line="244" w:lineRule="auto"/>
        <w:tabs>
          <w:tab w:leader="none" w:pos="400" w:val="left"/>
        </w:tabs>
        <w:numPr>
          <w:ilvl w:val="0"/>
          <w:numId w:val="89"/>
        </w:numPr>
        <w:rPr>
          <w:rFonts w:ascii="Arial" w:cs="Arial" w:eastAsia="Arial" w:hAnsi="Arial"/>
          <w:sz w:val="14"/>
          <w:szCs w:val="14"/>
          <w:color w:val="auto"/>
        </w:rPr>
      </w:pPr>
      <w:r>
        <w:rPr>
          <w:rFonts w:ascii="Arial" w:cs="Arial" w:eastAsia="Arial" w:hAnsi="Arial"/>
          <w:sz w:val="13"/>
          <w:szCs w:val="13"/>
          <w:color w:val="auto"/>
        </w:rPr>
        <w:t>Under the 2014 Stock and Incentive Plan, a change-in-control would accelerate the lapsing of restrictions applicable to any restricted stock, restricted stock units, and stock options granted under such plan. All restricted stock, restricted stock units and stock option agreements which, by their terms, provide for acceleration of vesting in the event of a change-in-control, require a “Double-Trigger” for acceleration to occur, as provided in the Retention Plan.</w:t>
      </w:r>
    </w:p>
    <w:p>
      <w:pPr>
        <w:spacing w:after="0" w:line="80" w:lineRule="exact"/>
        <w:rPr>
          <w:rFonts w:ascii="Arial" w:cs="Arial" w:eastAsia="Arial" w:hAnsi="Arial"/>
          <w:sz w:val="14"/>
          <w:szCs w:val="14"/>
          <w:color w:val="auto"/>
        </w:rPr>
      </w:pPr>
    </w:p>
    <w:p>
      <w:pPr>
        <w:ind w:left="400" w:right="120" w:hanging="393"/>
        <w:spacing w:after="0"/>
        <w:tabs>
          <w:tab w:leader="none" w:pos="400" w:val="left"/>
        </w:tabs>
        <w:numPr>
          <w:ilvl w:val="0"/>
          <w:numId w:val="89"/>
        </w:numPr>
        <w:rPr>
          <w:rFonts w:ascii="Arial" w:cs="Arial" w:eastAsia="Arial" w:hAnsi="Arial"/>
          <w:sz w:val="14"/>
          <w:szCs w:val="14"/>
          <w:color w:val="auto"/>
        </w:rPr>
      </w:pPr>
      <w:r>
        <w:rPr>
          <w:rFonts w:ascii="Arial" w:cs="Arial" w:eastAsia="Arial" w:hAnsi="Arial"/>
          <w:sz w:val="13"/>
          <w:szCs w:val="13"/>
          <w:color w:val="auto"/>
        </w:rPr>
        <w:t>Under the Retention Plan, a participant who holds the position of Vice Chair or above is eligible to receive an amount equal to the sum of (a) one times the participant’s Highest Base Salary, and (b) the product of the participant’s annual bonus target percentage under the Executive Incentive Plan in the year of termination and the participant’s Highest Base Salary, provided that the participant refrains from competing against the Company (generally with respect to any other financial institution doing business in Hawaii) and also complies with the non-solicitation, non-disclosures and non-disparagement provisions of the plan for twelve months following the date of termination. The payment described in this section would be paid in a lump sum in the thirteenth month following termination.</w:t>
      </w:r>
    </w:p>
    <w:p>
      <w:pPr>
        <w:spacing w:after="0" w:line="83" w:lineRule="exact"/>
        <w:rPr>
          <w:rFonts w:ascii="Arial" w:cs="Arial" w:eastAsia="Arial" w:hAnsi="Arial"/>
          <w:sz w:val="14"/>
          <w:szCs w:val="14"/>
          <w:color w:val="auto"/>
        </w:rPr>
      </w:pPr>
    </w:p>
    <w:p>
      <w:pPr>
        <w:ind w:left="400" w:right="160" w:hanging="393"/>
        <w:spacing w:after="0" w:line="273" w:lineRule="auto"/>
        <w:tabs>
          <w:tab w:leader="none" w:pos="400" w:val="left"/>
        </w:tabs>
        <w:numPr>
          <w:ilvl w:val="0"/>
          <w:numId w:val="89"/>
        </w:numPr>
        <w:rPr>
          <w:rFonts w:ascii="Arial" w:cs="Arial" w:eastAsia="Arial" w:hAnsi="Arial"/>
          <w:sz w:val="13"/>
          <w:szCs w:val="13"/>
          <w:color w:val="auto"/>
        </w:rPr>
      </w:pPr>
      <w:r>
        <w:rPr>
          <w:rFonts w:ascii="Arial" w:cs="Arial" w:eastAsia="Arial" w:hAnsi="Arial"/>
          <w:sz w:val="12"/>
          <w:szCs w:val="12"/>
          <w:color w:val="auto"/>
        </w:rPr>
        <w:t>In 2009, the Company amended the Retention Plan to limit any payment or benefit under the plan to an amount that would not be subject to Excise Tax even if the benefits would be substantially eliminated as a result of this limit. Under the terms of the Retention Plan, if it is determined that any payment or benefit would be subject to Excise Tax, then the benefit payments will be reduced first from equity compensation and then from salary and bonus to the extent that the value of the reduced benefit payments will not be subject to any Excise Tax.</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CEO PAY RATIO</w:t>
      </w:r>
    </w:p>
    <w:p>
      <w:pPr>
        <w:spacing w:after="0" w:line="235" w:lineRule="exact"/>
        <w:rPr>
          <w:sz w:val="20"/>
          <w:szCs w:val="20"/>
          <w:color w:val="auto"/>
        </w:rPr>
      </w:pPr>
    </w:p>
    <w:p>
      <w:pPr>
        <w:ind w:right="520" w:firstLine="546"/>
        <w:spacing w:after="0" w:line="289" w:lineRule="auto"/>
        <w:rPr>
          <w:sz w:val="20"/>
          <w:szCs w:val="20"/>
          <w:color w:val="auto"/>
        </w:rPr>
      </w:pPr>
      <w:r>
        <w:rPr>
          <w:rFonts w:ascii="Arial" w:cs="Arial" w:eastAsia="Arial" w:hAnsi="Arial"/>
          <w:sz w:val="16"/>
          <w:szCs w:val="16"/>
          <w:color w:val="auto"/>
        </w:rPr>
        <w:t>As required by Section 953(b) of the Dodd-Frank Wall Street Reform and Consumer Protection Act, and Item 402(u) of Regulation S-K, we are providing the following information:</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2021:</w:t>
      </w:r>
    </w:p>
    <w:p>
      <w:pPr>
        <w:spacing w:after="0" w:line="124" w:lineRule="exact"/>
        <w:rPr>
          <w:sz w:val="20"/>
          <w:szCs w:val="20"/>
          <w:color w:val="auto"/>
        </w:rPr>
      </w:pPr>
    </w:p>
    <w:p>
      <w:pPr>
        <w:ind w:left="1080" w:hanging="538"/>
        <w:spacing w:after="0"/>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median of the annual total compensation of all employees of our Company (other than our CEO), was $66,230; and</w:t>
      </w:r>
    </w:p>
    <w:p>
      <w:pPr>
        <w:spacing w:after="0" w:line="163" w:lineRule="exact"/>
        <w:rPr>
          <w:rFonts w:ascii="Arial" w:cs="Arial" w:eastAsia="Arial" w:hAnsi="Arial"/>
          <w:sz w:val="16"/>
          <w:szCs w:val="16"/>
          <w:color w:val="auto"/>
        </w:rPr>
      </w:pPr>
    </w:p>
    <w:p>
      <w:pPr>
        <w:ind w:left="1080" w:hanging="538"/>
        <w:spacing w:after="0"/>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annual total compensation of Mr. Ho, our Chairman, Chief Executive Officer, and President was $7,339,234.</w:t>
      </w:r>
    </w:p>
    <w:p>
      <w:pPr>
        <w:spacing w:after="0" w:line="271" w:lineRule="exact"/>
        <w:rPr>
          <w:sz w:val="20"/>
          <w:szCs w:val="20"/>
          <w:color w:val="auto"/>
        </w:rPr>
      </w:pPr>
    </w:p>
    <w:p>
      <w:pPr>
        <w:ind w:right="220" w:firstLine="546"/>
        <w:spacing w:after="0" w:line="289" w:lineRule="auto"/>
        <w:rPr>
          <w:sz w:val="20"/>
          <w:szCs w:val="20"/>
          <w:color w:val="auto"/>
        </w:rPr>
      </w:pPr>
      <w:r>
        <w:rPr>
          <w:rFonts w:ascii="Arial" w:cs="Arial" w:eastAsia="Arial" w:hAnsi="Arial"/>
          <w:sz w:val="16"/>
          <w:szCs w:val="16"/>
          <w:color w:val="auto"/>
        </w:rPr>
        <w:t>Based on this information, the ratio for 2021 of the annual total compensation of our Chairman, Chief Executive Officer, and President to the median of the annual total compensation of all employees is 111 to 1.</w:t>
      </w:r>
    </w:p>
    <w:p>
      <w:pPr>
        <w:spacing w:after="0" w:line="172" w:lineRule="exact"/>
        <w:rPr>
          <w:sz w:val="20"/>
          <w:szCs w:val="20"/>
          <w:color w:val="auto"/>
        </w:rPr>
      </w:pPr>
    </w:p>
    <w:p>
      <w:pPr>
        <w:ind w:right="40" w:firstLine="546"/>
        <w:spacing w:after="0" w:line="289" w:lineRule="auto"/>
        <w:rPr>
          <w:sz w:val="20"/>
          <w:szCs w:val="20"/>
          <w:color w:val="auto"/>
        </w:rPr>
      </w:pPr>
      <w:r>
        <w:rPr>
          <w:rFonts w:ascii="Arial" w:cs="Arial" w:eastAsia="Arial" w:hAnsi="Arial"/>
          <w:sz w:val="16"/>
          <w:szCs w:val="16"/>
          <w:color w:val="auto"/>
        </w:rPr>
        <w:t>We completed the following steps to identify the median of the annual total compensation of all our employees and to determine the annual total compensation of our median employee and CEO:</w:t>
      </w:r>
    </w:p>
    <w:p>
      <w:pPr>
        <w:spacing w:after="0" w:line="65" w:lineRule="exact"/>
        <w:rPr>
          <w:sz w:val="20"/>
          <w:szCs w:val="20"/>
          <w:color w:val="auto"/>
        </w:rPr>
      </w:pPr>
    </w:p>
    <w:p>
      <w:pPr>
        <w:ind w:left="1080" w:right="60" w:hanging="538"/>
        <w:spacing w:after="0" w:line="270" w:lineRule="auto"/>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As of October 8, 2021, our U.S. employee population consisted of 2,084 employees, including any full-time, part-time, temporary, or seasonal employees employed on that date. This date was selected because it aligned with a payroll cycle and allowed us to identify employees in a reasonably efficient manner. As permitted by SEC rules, we excluded approximately 14 employees located in Palau, which accounted for less than 1% of our total U.S. and non-U.S. employee population of 2,098.</w:t>
      </w:r>
    </w:p>
    <w:p>
      <w:pPr>
        <w:spacing w:after="0" w:line="81" w:lineRule="exact"/>
        <w:rPr>
          <w:rFonts w:ascii="Arial" w:cs="Arial" w:eastAsia="Arial" w:hAnsi="Arial"/>
          <w:sz w:val="16"/>
          <w:szCs w:val="16"/>
          <w:color w:val="auto"/>
        </w:rPr>
      </w:pPr>
    </w:p>
    <w:p>
      <w:pPr>
        <w:ind w:left="1080" w:right="80" w:hanging="538"/>
        <w:spacing w:after="0" w:line="270" w:lineRule="auto"/>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To find the median of the annual total compensation of our employees (other than our CEO), we used total earnings as reported to the Internal Revenue Service on Form W-2 plus nontaxable earnings from our payroll records for fiscal year 2021. In making this determination, we annualized compensation for full-time and part-time permanent employees who were employed on October 8, 2021, but did not work for us the entire year. No full-time equivalent adjustments were made for part-time employees.</w:t>
      </w:r>
    </w:p>
    <w:p>
      <w:pPr>
        <w:spacing w:after="0" w:line="81" w:lineRule="exact"/>
        <w:rPr>
          <w:rFonts w:ascii="Arial" w:cs="Arial" w:eastAsia="Arial" w:hAnsi="Arial"/>
          <w:sz w:val="16"/>
          <w:szCs w:val="16"/>
          <w:color w:val="auto"/>
        </w:rPr>
      </w:pPr>
    </w:p>
    <w:p>
      <w:pPr>
        <w:ind w:left="1080" w:right="120" w:hanging="538"/>
        <w:spacing w:after="0" w:line="289" w:lineRule="auto"/>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We identified our median employee using this compensation measure and methodology, which was consistently applied to all our employees included in the calculation.</w:t>
      </w:r>
    </w:p>
    <w:p>
      <w:pPr>
        <w:spacing w:after="0" w:line="65" w:lineRule="exact"/>
        <w:rPr>
          <w:rFonts w:ascii="Arial" w:cs="Arial" w:eastAsia="Arial" w:hAnsi="Arial"/>
          <w:sz w:val="16"/>
          <w:szCs w:val="16"/>
          <w:color w:val="auto"/>
        </w:rPr>
      </w:pPr>
    </w:p>
    <w:p>
      <w:pPr>
        <w:ind w:left="1080" w:hanging="538"/>
        <w:spacing w:after="0" w:line="289" w:lineRule="auto"/>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After identifying the median employee, we added together all of the elements of such employee’s compensation for 2021 in accordance with the requirements of Item 402(c)(2)(x) of Regulation S-K, resulting in the annual total compensation of $66,230.</w:t>
      </w:r>
    </w:p>
    <w:p>
      <w:pPr>
        <w:spacing w:after="0" w:line="65" w:lineRule="exact"/>
        <w:rPr>
          <w:rFonts w:ascii="Arial" w:cs="Arial" w:eastAsia="Arial" w:hAnsi="Arial"/>
          <w:sz w:val="16"/>
          <w:szCs w:val="16"/>
          <w:color w:val="auto"/>
        </w:rPr>
      </w:pPr>
    </w:p>
    <w:p>
      <w:pPr>
        <w:ind w:left="1080" w:right="200" w:hanging="538"/>
        <w:spacing w:after="0" w:line="289" w:lineRule="auto"/>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With respect to the annual total compensation of our CEO, we used the amount reported in the “Total” column of our 2021 Summary Compensation Table, prepared in accordance with the requirements of Item 402(c)(2)(x) of Regulation S-K.</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CERTAIN RELATIONSHIPS AND RELATED TRANSACTIONS</w:t>
      </w:r>
    </w:p>
    <w:p>
      <w:pPr>
        <w:spacing w:after="0" w:line="235" w:lineRule="exact"/>
        <w:rPr>
          <w:sz w:val="20"/>
          <w:szCs w:val="20"/>
          <w:color w:val="auto"/>
        </w:rPr>
      </w:pPr>
    </w:p>
    <w:p>
      <w:pPr>
        <w:ind w:right="60" w:firstLine="546"/>
        <w:spacing w:after="0" w:line="286" w:lineRule="auto"/>
        <w:rPr>
          <w:sz w:val="20"/>
          <w:szCs w:val="20"/>
          <w:color w:val="auto"/>
        </w:rPr>
      </w:pPr>
      <w:r>
        <w:rPr>
          <w:rFonts w:ascii="Arial" w:cs="Arial" w:eastAsia="Arial" w:hAnsi="Arial"/>
          <w:sz w:val="15"/>
          <w:szCs w:val="15"/>
          <w:color w:val="auto"/>
        </w:rPr>
        <w:t>The Company has written ethics and business conduct policies and procedures to monitor and approve related party transactions, including procedures related to any loans the Company makes to executive officers and directors. The Company also conducts ethics training for its officers and directors. In accordance with applicable NYSE listing standards, each related party transaction is reviewed and evaluated by an appropriate group, generally the Audit &amp; Risk Committee, to determine whether a particular relationship serves the best interest of the Company and its shareholders and whether the relationship should be continued. The Company also has adopted a written Code of Business Conduct and Ethics (the “Code”) for all directors, officers and employees to address, among other topics, possible conflicts of interest, corporate opportunities, compliance responsibilities, and reporting and accountability. The Code stresses personal accountability. Directors, officers, or employees who become aware of conflicts of interest or are concerned that a conflict might develop are required to disclose the matter promptly.</w:t>
      </w:r>
    </w:p>
    <w:p>
      <w:pPr>
        <w:spacing w:after="0" w:line="179" w:lineRule="exact"/>
        <w:rPr>
          <w:sz w:val="20"/>
          <w:szCs w:val="20"/>
          <w:color w:val="auto"/>
        </w:rPr>
      </w:pPr>
    </w:p>
    <w:p>
      <w:pPr>
        <w:ind w:right="60" w:firstLine="546"/>
        <w:spacing w:after="0" w:line="312" w:lineRule="auto"/>
        <w:rPr>
          <w:sz w:val="20"/>
          <w:szCs w:val="20"/>
          <w:color w:val="auto"/>
        </w:rPr>
      </w:pPr>
      <w:r>
        <w:rPr>
          <w:rFonts w:ascii="Arial" w:cs="Arial" w:eastAsia="Arial" w:hAnsi="Arial"/>
          <w:sz w:val="14"/>
          <w:szCs w:val="14"/>
          <w:color w:val="auto"/>
        </w:rPr>
        <w:t>In accordance with the applicable NYSE listing standards and the Code, any material transactions or relationships involving a director or executive officer that could reasonably be expected to give rise to a conflict of interest must be approved or ratified by the Audit &amp; Risk Committee and a list of those approvals and ratifications must be submitted semi-annually to the Board of Directors. The Audit &amp; Risk Committee approves or ratifies material transactions or relationships involving a director or executive officer based on the facts and circumstances of each case. In addition to self-reporting, information about potential conflicts of interest is obtained as part of the annual questionnaire process. In response to the annual Directors’ and Officers’ Questionnaire, each director and executive officer submits to the Corporate Secretary a description of any current or proposed related party transactions. These transactions are presented to the Audit &amp; Risk Committee for review and approval or ratification.</w:t>
      </w:r>
    </w:p>
    <w:p>
      <w:pPr>
        <w:spacing w:after="0" w:line="162" w:lineRule="exact"/>
        <w:rPr>
          <w:sz w:val="20"/>
          <w:szCs w:val="20"/>
          <w:color w:val="auto"/>
        </w:rPr>
      </w:pPr>
    </w:p>
    <w:p>
      <w:pPr>
        <w:ind w:right="340" w:firstLine="546"/>
        <w:spacing w:after="0" w:line="364" w:lineRule="auto"/>
        <w:rPr>
          <w:sz w:val="20"/>
          <w:szCs w:val="20"/>
          <w:color w:val="auto"/>
        </w:rPr>
      </w:pPr>
      <w:r>
        <w:rPr>
          <w:rFonts w:ascii="Arial" w:cs="Arial" w:eastAsia="Arial" w:hAnsi="Arial"/>
          <w:sz w:val="14"/>
          <w:szCs w:val="14"/>
          <w:color w:val="auto"/>
        </w:rPr>
        <w:t>The Company and its subsidiaries are also subject to extensive federal regulations regarding certain transactions, including banking regulations relating to the extension of credit by subsidiary banks to insiders, such as executive officers and directors, as well as entities in which these individuals have specified control positions.</w:t>
      </w:r>
    </w:p>
    <w:p>
      <w:pPr>
        <w:spacing w:after="0" w:line="127" w:lineRule="exact"/>
        <w:rPr>
          <w:sz w:val="20"/>
          <w:szCs w:val="20"/>
          <w:color w:val="auto"/>
        </w:rPr>
      </w:pPr>
    </w:p>
    <w:p>
      <w:pPr>
        <w:ind w:firstLine="546"/>
        <w:spacing w:after="0" w:line="315" w:lineRule="auto"/>
        <w:rPr>
          <w:sz w:val="20"/>
          <w:szCs w:val="20"/>
          <w:color w:val="auto"/>
        </w:rPr>
      </w:pPr>
      <w:r>
        <w:rPr>
          <w:rFonts w:ascii="Arial" w:cs="Arial" w:eastAsia="Arial" w:hAnsi="Arial"/>
          <w:sz w:val="14"/>
          <w:szCs w:val="14"/>
          <w:color w:val="auto"/>
        </w:rPr>
        <w:t>During 2021, the Company and its banking and investment subsidiaries engaged in transactions in the ordinary course of business with one or more of the Company’s directors and executive officers, members of their immediate families, corporations and organizations of which one or more of them was a beneficial owner of 10% or more of a class of equity securities, certain of their associates and affiliates, and certain trusts and estates of which one or more of them was a trustee or beneficiary. All loans to such persons were made in the ordinary course of business, were made on substantially the same terms, including interest rates and collateral, as those prevailing at the time for comparable loans with persons not related to the Company, and did not involve more than the normal risk of collectability or present of other unfavorable features.</w:t>
      </w:r>
    </w:p>
    <w:p>
      <w:pPr>
        <w:spacing w:after="0" w:line="160" w:lineRule="exact"/>
        <w:rPr>
          <w:sz w:val="20"/>
          <w:szCs w:val="20"/>
          <w:color w:val="auto"/>
        </w:rPr>
      </w:pPr>
    </w:p>
    <w:p>
      <w:pPr>
        <w:ind w:right="200" w:firstLine="546"/>
        <w:spacing w:after="0" w:line="320" w:lineRule="auto"/>
        <w:rPr>
          <w:sz w:val="20"/>
          <w:szCs w:val="20"/>
          <w:color w:val="auto"/>
        </w:rPr>
      </w:pPr>
      <w:r>
        <w:rPr>
          <w:rFonts w:ascii="Arial" w:cs="Arial" w:eastAsia="Arial" w:hAnsi="Arial"/>
          <w:sz w:val="14"/>
          <w:szCs w:val="14"/>
          <w:color w:val="auto"/>
        </w:rPr>
        <w:t>Ms. Dana M. Tokioka, a current director and director nominee, serves as a vice president of Atlas Insurance Agency, Inc. (“Atlas”), a Honolulu-based insurance agency which has provided insurance brokerage services to the Company since July 2009, predating Ms. Tokioka’s appointment to the Board. In 2021, the Company paid Atlas insurance brokerage fees in the amount of $454,799, relating to professional liability, property, casualty and other insurance related products and services. The above-mentioned transactions were made in the ordinary course of business and on terms and conditions comparable to contracts with other vendors not related to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spacing w:after="0" w:line="294" w:lineRule="auto"/>
        <w:rPr>
          <w:sz w:val="20"/>
          <w:szCs w:val="20"/>
          <w:color w:val="auto"/>
        </w:rPr>
      </w:pPr>
      <w:r>
        <w:rPr>
          <w:rFonts w:ascii="Arial" w:cs="Arial" w:eastAsia="Arial" w:hAnsi="Arial"/>
          <w:sz w:val="16"/>
          <w:szCs w:val="16"/>
          <w:b w:val="1"/>
          <w:bCs w:val="1"/>
          <w:color w:val="auto"/>
        </w:rPr>
        <w:t>PROPOSAL 3: RATIFICATION OF THE RE-APPOINTMENT OF ERNST &amp; YOUNG LLP AS THE COMPANY’S INDEPENDENT REGISTERED PUBLIC ACCOUNTING FIRM FOR THE 2022 FISCAL YEAR</w:t>
      </w:r>
    </w:p>
    <w:p>
      <w:pPr>
        <w:spacing w:after="0" w:line="168" w:lineRule="exact"/>
        <w:rPr>
          <w:sz w:val="20"/>
          <w:szCs w:val="20"/>
          <w:color w:val="auto"/>
        </w:rPr>
      </w:pPr>
    </w:p>
    <w:p>
      <w:pPr>
        <w:ind w:right="20" w:firstLine="546"/>
        <w:spacing w:after="0" w:line="268" w:lineRule="auto"/>
        <w:rPr>
          <w:sz w:val="20"/>
          <w:szCs w:val="20"/>
          <w:color w:val="auto"/>
        </w:rPr>
      </w:pPr>
      <w:r>
        <w:rPr>
          <w:rFonts w:ascii="Arial" w:cs="Arial" w:eastAsia="Arial" w:hAnsi="Arial"/>
          <w:sz w:val="16"/>
          <w:szCs w:val="16"/>
          <w:color w:val="auto"/>
        </w:rPr>
        <w:t>The Audit &amp; Risk Committee has appointed Ernst &amp; Young LLP as the Company’s independent registered public accounting firm for the 2022 fiscal year. The Board recommends that the shareholders ratify this appointment. Ernst &amp; Young LLP has been the Company’s independent registered public accounting firm since its incorporation in 1971. We expect representatives of Ernst &amp; Young LLP to attend the annual meeting. Ernst &amp; Young LLP has indicated that they will have no statement to make but will be available to respond to questions. If this Proposal does not pass, the appointment of the independent registered public accounting firm will be reconsidered by the Audit &amp; Risk Committee.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Board of Directors recommends a vote “FOR” the foregoing proposal.</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ERNST &amp; YOUNG LLP FEES</w:t>
      </w:r>
    </w:p>
    <w:p>
      <w:pPr>
        <w:spacing w:after="0" w:line="2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Ernst &amp; Young LLP’s fees for professional services rendered for 2021 and 2020 were as follows:</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174"/>
        </w:trPr>
        <w:tc>
          <w:tcPr>
            <w:tcW w:w="4640" w:type="dxa"/>
            <w:vAlign w:val="bottom"/>
            <w:tcBorders>
              <w:top w:val="single" w:sz="8" w:color="auto"/>
              <w:left w:val="single" w:sz="8" w:color="auto"/>
              <w:bottom w:val="single" w:sz="8" w:color="auto"/>
            </w:tcBorders>
            <w:shd w:val="clear" w:color="auto" w:fill="086FB8"/>
          </w:tcPr>
          <w:p>
            <w:pPr>
              <w:ind w:left="140"/>
              <w:spacing w:after="0"/>
              <w:rPr>
                <w:sz w:val="20"/>
                <w:szCs w:val="20"/>
                <w:color w:val="auto"/>
              </w:rPr>
            </w:pPr>
            <w:r>
              <w:rPr>
                <w:rFonts w:ascii="Arial" w:cs="Arial" w:eastAsia="Arial" w:hAnsi="Arial"/>
                <w:sz w:val="14"/>
                <w:szCs w:val="14"/>
                <w:b w:val="1"/>
                <w:bCs w:val="1"/>
                <w:color w:val="FFFFFF"/>
              </w:rPr>
              <w:t>Service</w:t>
            </w:r>
          </w:p>
        </w:tc>
        <w:tc>
          <w:tcPr>
            <w:tcW w:w="3560" w:type="dxa"/>
            <w:vAlign w:val="bottom"/>
            <w:tcBorders>
              <w:top w:val="single" w:sz="8" w:color="auto"/>
              <w:bottom w:val="single" w:sz="8" w:color="auto"/>
            </w:tcBorders>
            <w:shd w:val="clear" w:color="auto" w:fill="086FB8"/>
          </w:tcPr>
          <w:p>
            <w:pPr>
              <w:spacing w:after="0"/>
              <w:rPr>
                <w:sz w:val="15"/>
                <w:szCs w:val="15"/>
                <w:color w:val="auto"/>
              </w:rPr>
            </w:pPr>
          </w:p>
        </w:tc>
        <w:tc>
          <w:tcPr>
            <w:tcW w:w="1220" w:type="dxa"/>
            <w:vAlign w:val="bottom"/>
            <w:tcBorders>
              <w:top w:val="single" w:sz="8" w:color="auto"/>
              <w:bottom w:val="single" w:sz="8" w:color="auto"/>
            </w:tcBorders>
            <w:shd w:val="clear" w:color="auto" w:fill="086FB8"/>
          </w:tcPr>
          <w:p>
            <w:pPr>
              <w:jc w:val="right"/>
              <w:ind w:right="54"/>
              <w:spacing w:after="0"/>
              <w:rPr>
                <w:sz w:val="20"/>
                <w:szCs w:val="20"/>
                <w:color w:val="auto"/>
              </w:rPr>
            </w:pPr>
            <w:r>
              <w:rPr>
                <w:rFonts w:ascii="Arial" w:cs="Arial" w:eastAsia="Arial" w:hAnsi="Arial"/>
                <w:sz w:val="14"/>
                <w:szCs w:val="14"/>
                <w:b w:val="1"/>
                <w:bCs w:val="1"/>
                <w:color w:val="FFFFFF"/>
              </w:rPr>
              <w:t>2021</w:t>
            </w:r>
          </w:p>
        </w:tc>
        <w:tc>
          <w:tcPr>
            <w:tcW w:w="600" w:type="dxa"/>
            <w:vAlign w:val="bottom"/>
            <w:tcBorders>
              <w:top w:val="single" w:sz="8" w:color="auto"/>
              <w:bottom w:val="single" w:sz="8" w:color="auto"/>
            </w:tcBorders>
            <w:shd w:val="clear" w:color="auto" w:fill="086FB8"/>
          </w:tcPr>
          <w:p>
            <w:pPr>
              <w:spacing w:after="0"/>
              <w:rPr>
                <w:sz w:val="15"/>
                <w:szCs w:val="15"/>
                <w:color w:val="auto"/>
              </w:rPr>
            </w:pPr>
          </w:p>
        </w:tc>
        <w:tc>
          <w:tcPr>
            <w:tcW w:w="1220" w:type="dxa"/>
            <w:vAlign w:val="bottom"/>
            <w:tcBorders>
              <w:top w:val="single" w:sz="8" w:color="auto"/>
              <w:bottom w:val="single" w:sz="8" w:color="auto"/>
              <w:right w:val="single" w:sz="8" w:color="auto"/>
            </w:tcBorders>
            <w:shd w:val="clear" w:color="auto" w:fill="086FB8"/>
          </w:tcPr>
          <w:p>
            <w:pPr>
              <w:jc w:val="right"/>
              <w:ind w:right="54"/>
              <w:spacing w:after="0"/>
              <w:rPr>
                <w:sz w:val="20"/>
                <w:szCs w:val="20"/>
                <w:color w:val="auto"/>
              </w:rPr>
            </w:pPr>
            <w:r>
              <w:rPr>
                <w:rFonts w:ascii="Arial" w:cs="Arial" w:eastAsia="Arial" w:hAnsi="Arial"/>
                <w:sz w:val="14"/>
                <w:szCs w:val="14"/>
                <w:b w:val="1"/>
                <w:bCs w:val="1"/>
                <w:color w:val="FFFFFF"/>
              </w:rPr>
              <w:t>2020</w:t>
            </w:r>
          </w:p>
        </w:tc>
      </w:tr>
      <w:tr>
        <w:trPr>
          <w:trHeight w:val="220"/>
        </w:trPr>
        <w:tc>
          <w:tcPr>
            <w:tcW w:w="46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Audit Fees</w:t>
            </w:r>
          </w:p>
        </w:tc>
        <w:tc>
          <w:tcPr>
            <w:tcW w:w="35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1,706,000</w:t>
            </w:r>
          </w:p>
        </w:tc>
        <w:tc>
          <w:tcPr>
            <w:tcW w:w="60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1,799,500</w:t>
            </w:r>
          </w:p>
        </w:tc>
      </w:tr>
      <w:tr>
        <w:trPr>
          <w:trHeight w:val="227"/>
        </w:trPr>
        <w:tc>
          <w:tcPr>
            <w:tcW w:w="46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Audit-Related Fees</w:t>
            </w:r>
          </w:p>
        </w:tc>
        <w:tc>
          <w:tcPr>
            <w:tcW w:w="3560" w:type="dxa"/>
            <w:vAlign w:val="bottom"/>
          </w:tcPr>
          <w:p>
            <w:pPr>
              <w:spacing w:after="0"/>
              <w:rPr>
                <w:sz w:val="19"/>
                <w:szCs w:val="19"/>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379,000</w:t>
            </w:r>
          </w:p>
        </w:tc>
        <w:tc>
          <w:tcPr>
            <w:tcW w:w="600" w:type="dxa"/>
            <w:vAlign w:val="bottom"/>
          </w:tcPr>
          <w:p>
            <w:pPr>
              <w:spacing w:after="0"/>
              <w:rPr>
                <w:sz w:val="19"/>
                <w:szCs w:val="19"/>
                <w:color w:val="auto"/>
              </w:rPr>
            </w:pPr>
          </w:p>
        </w:tc>
        <w:tc>
          <w:tcPr>
            <w:tcW w:w="12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237,500</w:t>
            </w:r>
          </w:p>
        </w:tc>
      </w:tr>
      <w:tr>
        <w:trPr>
          <w:trHeight w:val="227"/>
        </w:trPr>
        <w:tc>
          <w:tcPr>
            <w:tcW w:w="46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Tax Fees</w:t>
            </w:r>
          </w:p>
        </w:tc>
        <w:tc>
          <w:tcPr>
            <w:tcW w:w="3560" w:type="dxa"/>
            <w:vAlign w:val="bottom"/>
          </w:tcPr>
          <w:p>
            <w:pPr>
              <w:spacing w:after="0"/>
              <w:rPr>
                <w:sz w:val="19"/>
                <w:szCs w:val="19"/>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81,588</w:t>
            </w:r>
          </w:p>
        </w:tc>
        <w:tc>
          <w:tcPr>
            <w:tcW w:w="600" w:type="dxa"/>
            <w:vAlign w:val="bottom"/>
          </w:tcPr>
          <w:p>
            <w:pPr>
              <w:spacing w:after="0"/>
              <w:rPr>
                <w:sz w:val="19"/>
                <w:szCs w:val="19"/>
                <w:color w:val="auto"/>
              </w:rPr>
            </w:pPr>
          </w:p>
        </w:tc>
        <w:tc>
          <w:tcPr>
            <w:tcW w:w="12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54,125</w:t>
            </w:r>
          </w:p>
        </w:tc>
      </w:tr>
      <w:tr>
        <w:trPr>
          <w:trHeight w:val="228"/>
        </w:trPr>
        <w:tc>
          <w:tcPr>
            <w:tcW w:w="464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All Other Fees</w:t>
            </w:r>
          </w:p>
        </w:tc>
        <w:tc>
          <w:tcPr>
            <w:tcW w:w="3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54"/>
              <w:spacing w:after="0"/>
              <w:rPr>
                <w:sz w:val="20"/>
                <w:szCs w:val="20"/>
                <w:color w:val="auto"/>
              </w:rPr>
            </w:pPr>
            <w:r>
              <w:rPr>
                <w:rFonts w:ascii="Arial" w:cs="Arial" w:eastAsia="Arial" w:hAnsi="Arial"/>
                <w:sz w:val="18"/>
                <w:szCs w:val="18"/>
                <w:color w:val="auto"/>
              </w:rPr>
              <w:t>—</w:t>
            </w:r>
          </w:p>
        </w:tc>
      </w:tr>
      <w:tr>
        <w:trPr>
          <w:trHeight w:val="221"/>
        </w:trPr>
        <w:tc>
          <w:tcPr>
            <w:tcW w:w="4640" w:type="dxa"/>
            <w:vAlign w:val="bottom"/>
            <w:tcBorders>
              <w:left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Total</w:t>
            </w:r>
          </w:p>
        </w:tc>
        <w:tc>
          <w:tcPr>
            <w:tcW w:w="35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2,166,588</w:t>
            </w:r>
          </w:p>
        </w:tc>
        <w:tc>
          <w:tcPr>
            <w:tcW w:w="6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2,091,125</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Fees</w:t>
      </w:r>
    </w:p>
    <w:p>
      <w:pPr>
        <w:spacing w:after="0" w:line="235" w:lineRule="exact"/>
        <w:rPr>
          <w:sz w:val="20"/>
          <w:szCs w:val="20"/>
          <w:color w:val="auto"/>
        </w:rPr>
      </w:pPr>
    </w:p>
    <w:p>
      <w:pPr>
        <w:ind w:right="500" w:firstLine="546"/>
        <w:spacing w:after="0" w:line="275" w:lineRule="auto"/>
        <w:rPr>
          <w:sz w:val="20"/>
          <w:szCs w:val="20"/>
          <w:color w:val="auto"/>
        </w:rPr>
      </w:pPr>
      <w:r>
        <w:rPr>
          <w:rFonts w:ascii="Arial" w:cs="Arial" w:eastAsia="Arial" w:hAnsi="Arial"/>
          <w:sz w:val="16"/>
          <w:szCs w:val="16"/>
          <w:color w:val="auto"/>
        </w:rPr>
        <w:t>The audit fees represent audit fees and administrative expenses for professional services rendered for the audit of the Company’s annual consolidated financial statements, the review of our quarterly financial statements included in our Quarterly Reports on Form 10-Q, and the audit of our internal control over financial reporting. Audit fees also represent fees for professional services rendered for statutory and subsidiary audits.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Audit-Related Fees</w:t>
      </w:r>
    </w:p>
    <w:p>
      <w:pPr>
        <w:spacing w:after="0" w:line="235" w:lineRule="exact"/>
        <w:rPr>
          <w:sz w:val="20"/>
          <w:szCs w:val="20"/>
          <w:color w:val="auto"/>
        </w:rPr>
      </w:pPr>
    </w:p>
    <w:p>
      <w:pPr>
        <w:ind w:right="120" w:firstLine="546"/>
        <w:spacing w:after="0" w:line="289" w:lineRule="auto"/>
        <w:rPr>
          <w:sz w:val="20"/>
          <w:szCs w:val="20"/>
          <w:color w:val="auto"/>
        </w:rPr>
      </w:pPr>
      <w:r>
        <w:rPr>
          <w:rFonts w:ascii="Arial" w:cs="Arial" w:eastAsia="Arial" w:hAnsi="Arial"/>
          <w:sz w:val="16"/>
          <w:szCs w:val="16"/>
          <w:color w:val="auto"/>
        </w:rPr>
        <w:t>The audit-related fees represent fees for employee benefit plan audits, services with respect to Statement on Standards for Attestation Engagements No. 18 related to the Company’s trust operations and mortgage compliance, and other attestation reports.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Fees</w:t>
      </w:r>
    </w:p>
    <w:p>
      <w:pPr>
        <w:spacing w:after="0" w:line="2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tax fees represent fees for tax advisory and compliance services.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Other Fees</w:t>
      </w:r>
    </w:p>
    <w:p>
      <w:pPr>
        <w:spacing w:after="0" w:line="2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all other fees represent fees for non-tax related advisory and consulting services.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AUDIT &amp; RISK COMMITTEE REPORT</w:t>
      </w:r>
    </w:p>
    <w:p>
      <w:pPr>
        <w:spacing w:after="0" w:line="235" w:lineRule="exact"/>
        <w:rPr>
          <w:sz w:val="20"/>
          <w:szCs w:val="20"/>
          <w:color w:val="auto"/>
        </w:rPr>
      </w:pPr>
    </w:p>
    <w:p>
      <w:pPr>
        <w:ind w:firstLine="546"/>
        <w:spacing w:after="0" w:line="312" w:lineRule="auto"/>
        <w:rPr>
          <w:sz w:val="20"/>
          <w:szCs w:val="20"/>
          <w:color w:val="auto"/>
        </w:rPr>
      </w:pPr>
      <w:r>
        <w:rPr>
          <w:rFonts w:ascii="Arial" w:cs="Arial" w:eastAsia="Arial" w:hAnsi="Arial"/>
          <w:sz w:val="14"/>
          <w:szCs w:val="14"/>
          <w:color w:val="auto"/>
        </w:rPr>
        <w:t>As members of the Audit &amp; Risk Committee, we review the Company’s financial reporting process on behalf of the Board of Directors. The Audit &amp; Risk Committee Charter, which outlines the Committee’s responsibilities, is available on the Company’s website at www.boh.com. Management has the primary responsibility for the financial statements and the reporting process, including the systems of internal controls and disclosure controls. In this context, we have met and held discussions with management and the independent registered public accounting firm. Management represented to us that the Company’s consolidated financial statements were prepared in accordance with U.S. generally accepted accounting principles, and we have reviewed and discussed the audited financial statements and related disclosures with management and the independent registered public accounting firm, including a review of the significant management judgments underlying the financial statements and disclosures.</w:t>
      </w:r>
    </w:p>
    <w:p>
      <w:pPr>
        <w:spacing w:after="0" w:line="162" w:lineRule="exact"/>
        <w:rPr>
          <w:sz w:val="20"/>
          <w:szCs w:val="20"/>
          <w:color w:val="auto"/>
        </w:rPr>
      </w:pPr>
    </w:p>
    <w:p>
      <w:pPr>
        <w:ind w:right="260" w:firstLine="546"/>
        <w:spacing w:after="0" w:line="364" w:lineRule="auto"/>
        <w:rPr>
          <w:sz w:val="20"/>
          <w:szCs w:val="20"/>
          <w:color w:val="auto"/>
        </w:rPr>
      </w:pPr>
      <w:r>
        <w:rPr>
          <w:rFonts w:ascii="Arial" w:cs="Arial" w:eastAsia="Arial" w:hAnsi="Arial"/>
          <w:sz w:val="14"/>
          <w:szCs w:val="14"/>
          <w:color w:val="auto"/>
        </w:rPr>
        <w:t>The independent registered public accounting firm reports to us. We have sole authority to appoint and to terminate the engagement of the independent registered public accounting firm. As a matter of best practice, we submit the appointment of the independent registered public accounting firm to shareholders for ratification.</w:t>
      </w:r>
    </w:p>
    <w:p>
      <w:pPr>
        <w:spacing w:after="0" w:line="127" w:lineRule="exact"/>
        <w:rPr>
          <w:sz w:val="20"/>
          <w:szCs w:val="20"/>
          <w:color w:val="auto"/>
        </w:rPr>
      </w:pPr>
    </w:p>
    <w:p>
      <w:pPr>
        <w:ind w:right="20" w:firstLine="546"/>
        <w:spacing w:after="0" w:line="284" w:lineRule="auto"/>
        <w:rPr>
          <w:sz w:val="20"/>
          <w:szCs w:val="20"/>
          <w:color w:val="auto"/>
        </w:rPr>
      </w:pPr>
      <w:r>
        <w:rPr>
          <w:rFonts w:ascii="Arial" w:cs="Arial" w:eastAsia="Arial" w:hAnsi="Arial"/>
          <w:sz w:val="15"/>
          <w:szCs w:val="15"/>
          <w:color w:val="auto"/>
        </w:rPr>
        <w:t>We have discussed with the independent registered public accounting firm the matters required to be discussed by the Public Company Accounting Oversight Board’s (“PCAOB”) Accounting Standard No. 1301, “Communications with Audit Committees,” including the quality, not just the acceptability, of the accounting principles, the reasonableness of significant judgments, and the clarity of the disclosures in the financial statements. In addition, we have received the written disclosures and the letter from the independent registered public accounting firm required by applicable requirements of the PCAOB regarding communications with the audit committee concerning independence, and have discussed with the independent registered public accounting firm its independence from the Company and its management. In concluding that the independent registered public accounting firm is independent, we determined, among other things, that the audit and non-audit services provided by Ernst &amp; Young LLP were compatible with its independence. Consistent with the requirements of the Sarbanes-Oxley Act of 2002, the Audit &amp; Risk Committee has adopted policies to avoid compromising the independence of the independent registered public accounting firm, such as prior committee approval of audit, non-audit, tax, and all other services, and required audit partner rotation.</w:t>
      </w:r>
    </w:p>
    <w:p>
      <w:pPr>
        <w:spacing w:after="0" w:line="183" w:lineRule="exact"/>
        <w:rPr>
          <w:sz w:val="20"/>
          <w:szCs w:val="20"/>
          <w:color w:val="auto"/>
        </w:rPr>
      </w:pPr>
    </w:p>
    <w:p>
      <w:pPr>
        <w:ind w:right="40" w:firstLine="546"/>
        <w:spacing w:after="0" w:line="294" w:lineRule="auto"/>
        <w:rPr>
          <w:sz w:val="20"/>
          <w:szCs w:val="20"/>
          <w:color w:val="auto"/>
        </w:rPr>
      </w:pPr>
      <w:r>
        <w:rPr>
          <w:rFonts w:ascii="Arial" w:cs="Arial" w:eastAsia="Arial" w:hAnsi="Arial"/>
          <w:sz w:val="15"/>
          <w:szCs w:val="15"/>
          <w:color w:val="auto"/>
        </w:rPr>
        <w:t>We discussed with the Company’s internal auditors and independent registered public accounting firm the overall scope and plans for their respective audits, including internal control testing under Section 404 of the Sarbanes-Oxley Act of 2002. We met with our internal auditors and independent registered public accounting firm, with and without management present, and in private sessions with members of senior management to discuss the results of their examinations, their evaluations of the Company’s internal controls, and the overall quality of the Company’s financial reporting. We also periodically met in executive session.</w:t>
      </w:r>
    </w:p>
    <w:p>
      <w:pPr>
        <w:spacing w:after="0" w:line="171" w:lineRule="exact"/>
        <w:rPr>
          <w:sz w:val="20"/>
          <w:szCs w:val="20"/>
          <w:color w:val="auto"/>
        </w:rPr>
      </w:pPr>
    </w:p>
    <w:p>
      <w:pPr>
        <w:ind w:right="40" w:firstLine="546"/>
        <w:spacing w:after="0" w:line="270" w:lineRule="auto"/>
        <w:rPr>
          <w:sz w:val="20"/>
          <w:szCs w:val="20"/>
          <w:color w:val="auto"/>
        </w:rPr>
      </w:pPr>
      <w:r>
        <w:rPr>
          <w:rFonts w:ascii="Arial" w:cs="Arial" w:eastAsia="Arial" w:hAnsi="Arial"/>
          <w:sz w:val="16"/>
          <w:szCs w:val="16"/>
          <w:color w:val="auto"/>
        </w:rPr>
        <w:t>In reliance on the reviews and discussions referred to above, as members of the Audit &amp; Risk Committee, we recommended to the Board of Directors (and the Board of Directors subsequently approved the recommendation) that the audited consolidated financial statements be included in the Company’s annual report on Form 10-K for the year ended December 31, 2021, for filing with the Securities and Exchange Commission. We have also appointed the Company’s independent registered public accounting firm, subject to shareholder ratification, for the 2022 fiscal year.</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submitted by the members of the Audit &amp; Risk Committee,</w:t>
      </w:r>
    </w:p>
    <w:p>
      <w:pPr>
        <w:spacing w:after="0" w:line="21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Mark A. Burak, Chairman</w:t>
      </w:r>
    </w:p>
    <w:p>
      <w:pPr>
        <w:spacing w:after="0" w:line="2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John C. Erickson, Vice Chairman</w:t>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Alicia E. Moy</w:t>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Victor K. Nichols</w:t>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Barbara J. Tanabe</w:t>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Raymond P. Vara, Jr.</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AUDIT &amp; RISK COMMITTEE PRE-APPROVAL POLICIES AND PROCEDURES</w:t>
      </w:r>
    </w:p>
    <w:p>
      <w:pPr>
        <w:spacing w:after="0" w:line="235" w:lineRule="exact"/>
        <w:rPr>
          <w:sz w:val="20"/>
          <w:szCs w:val="20"/>
          <w:color w:val="auto"/>
        </w:rPr>
      </w:pPr>
    </w:p>
    <w:p>
      <w:pPr>
        <w:ind w:firstLine="546"/>
        <w:spacing w:after="0" w:line="286" w:lineRule="auto"/>
        <w:rPr>
          <w:sz w:val="20"/>
          <w:szCs w:val="20"/>
          <w:color w:val="auto"/>
        </w:rPr>
      </w:pPr>
      <w:r>
        <w:rPr>
          <w:rFonts w:ascii="Arial" w:cs="Arial" w:eastAsia="Arial" w:hAnsi="Arial"/>
          <w:sz w:val="15"/>
          <w:szCs w:val="15"/>
          <w:color w:val="auto"/>
        </w:rPr>
        <w:t>On an annual basis, the Audit &amp; Risk Committee pre-approves all auditing and permitted non-audit services to be provided by Ernst &amp; Young LLP, except that the Audit &amp; Risk Committee need not pre-approve any permitted non-audit services that meet the requirements of any de minimis exception established by SEC rules. The pre-approved list of services consists of audit services, audit-related services, and tax services. The Audit &amp; Risk Committee or its designee, the Committee Chairman, must specifically approve any type of service that is not included on the pre-approved list of services, provided that any such pre-approval by the Committee Chairman is presented to the full Audit &amp; Risk Committee at its next meeting. Any proposed service that is included on the list of pre-approved services but will cause the pre-approved fee level to be exceeded also requires specific pre-approval by the Audit &amp; Risk Committee or its designee, the Committee Chairman, provided that any such pre-approval by the Committee Chairman is presented to the full Audit &amp; Risk Committee at its next meeting.</w:t>
      </w:r>
    </w:p>
    <w:p>
      <w:pPr>
        <w:spacing w:after="0" w:line="179" w:lineRule="exact"/>
        <w:rPr>
          <w:sz w:val="20"/>
          <w:szCs w:val="20"/>
          <w:color w:val="auto"/>
        </w:rPr>
      </w:pPr>
    </w:p>
    <w:p>
      <w:pPr>
        <w:ind w:right="340" w:firstLine="546"/>
        <w:spacing w:after="0" w:line="289" w:lineRule="auto"/>
        <w:rPr>
          <w:sz w:val="20"/>
          <w:szCs w:val="20"/>
          <w:color w:val="auto"/>
        </w:rPr>
      </w:pPr>
      <w:r>
        <w:rPr>
          <w:rFonts w:ascii="Arial" w:cs="Arial" w:eastAsia="Arial" w:hAnsi="Arial"/>
          <w:sz w:val="16"/>
          <w:szCs w:val="16"/>
          <w:color w:val="auto"/>
        </w:rPr>
        <w:t>All of the services provided by, and fees paid to, Ernst &amp; Young LLP in 2021 were pre-approved by the Audit &amp; Risk Committee, and there were no services for which the de minimis exception permitted in certain circumstances under SEC rules was utilized.</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OTHER BUSINESS</w:t>
      </w:r>
    </w:p>
    <w:p>
      <w:pPr>
        <w:spacing w:after="0" w:line="235" w:lineRule="exact"/>
        <w:rPr>
          <w:sz w:val="20"/>
          <w:szCs w:val="20"/>
          <w:color w:val="auto"/>
        </w:rPr>
      </w:pPr>
    </w:p>
    <w:p>
      <w:pPr>
        <w:ind w:right="40" w:firstLine="546"/>
        <w:spacing w:after="0" w:line="275" w:lineRule="auto"/>
        <w:rPr>
          <w:sz w:val="20"/>
          <w:szCs w:val="20"/>
          <w:color w:val="auto"/>
        </w:rPr>
      </w:pPr>
      <w:r>
        <w:rPr>
          <w:rFonts w:ascii="Arial" w:cs="Arial" w:eastAsia="Arial" w:hAnsi="Arial"/>
          <w:sz w:val="16"/>
          <w:szCs w:val="16"/>
          <w:color w:val="auto"/>
        </w:rPr>
        <w:t>The Board of Directors knows of no other business for consideration at the annual meeting. However, if other matters properly come before the meeting or any adjournment, the person or persons voting your shares pursuant to instructions by proxy card, telephone, or the Internet will vote as they deem in the best interests of Bank of Hawaii Corporation.</w:t>
      </w:r>
    </w:p>
    <w:p>
      <w:pPr>
        <w:spacing w:after="0" w:line="179" w:lineRule="exact"/>
        <w:rPr>
          <w:sz w:val="20"/>
          <w:szCs w:val="20"/>
          <w:color w:val="auto"/>
        </w:rPr>
      </w:pPr>
    </w:p>
    <w:p>
      <w:pPr>
        <w:ind w:right="20" w:firstLine="546"/>
        <w:spacing w:after="0" w:line="304" w:lineRule="auto"/>
        <w:rPr>
          <w:sz w:val="20"/>
          <w:szCs w:val="20"/>
          <w:color w:val="auto"/>
        </w:rPr>
      </w:pPr>
      <w:r>
        <w:rPr>
          <w:rFonts w:ascii="Arial" w:cs="Arial" w:eastAsia="Arial" w:hAnsi="Arial"/>
          <w:sz w:val="15"/>
          <w:szCs w:val="15"/>
          <w:b w:val="1"/>
          <w:bCs w:val="1"/>
          <w:color w:val="auto"/>
        </w:rPr>
        <w:t>A copy of the Company’s Annual Report on Form 10-K, including the related consolidated financial statements and schedules filed with the SEC, is available without charge to any shareholder who requests a copy in writing. Any exhibit to Form 10-K is also available upon written request at a reasonable charge for copying and mailing. Written requests should be made to the Corporate Secretary at 130 Merchant Street, Honolulu, Hawaii 96813.</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7613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539115</wp:posOffset>
            </wp:positionV>
            <wp:extent cx="7176135" cy="78765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135" cy="7876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352425</wp:posOffset>
            </wp:positionV>
            <wp:extent cx="7176135" cy="79190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836295</wp:posOffset>
            </wp:positionH>
            <wp:positionV relativeFrom="page">
              <wp:posOffset>88900</wp:posOffset>
            </wp:positionV>
            <wp:extent cx="5885180" cy="105156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851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836295</wp:posOffset>
            </wp:positionH>
            <wp:positionV relativeFrom="page">
              <wp:posOffset>88900</wp:posOffset>
            </wp:positionV>
            <wp:extent cx="5885180" cy="47980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5885180" cy="47980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1."/>
      <w:numFmt w:val="decimal"/>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1:"/>
      <w:numFmt w:val="upperLetter"/>
      <w:start w:val="17"/>
    </w:lvl>
  </w:abstractNum>
  <w:abstractNum w:abstractNumId="8">
    <w:nsid w:val="749ABB43"/>
    <w:multiLevelType w:val="hybridMultilevel"/>
    <w:lvl w:ilvl="0">
      <w:lvlJc w:val="left"/>
      <w:lvlText w:val="%1:"/>
      <w:numFmt w:val="upperLetter"/>
      <w:start w:val="1"/>
    </w:lvl>
  </w:abstractNum>
  <w:abstractNum w:abstractNumId="9">
    <w:nsid w:val="3DC240FB"/>
    <w:multiLevelType w:val="hybridMultilevel"/>
    <w:lvl w:ilvl="0">
      <w:lvlJc w:val="left"/>
      <w:lvlText w:val="%1:"/>
      <w:numFmt w:val="upperLetter"/>
      <w:start w:val="17"/>
    </w:lvl>
  </w:abstractNum>
  <w:abstractNum w:abstractNumId="10">
    <w:nsid w:val="1BA026FA"/>
    <w:multiLevelType w:val="hybridMultilevel"/>
    <w:lvl w:ilvl="0">
      <w:lvlJc w:val="left"/>
      <w:lvlText w:val="%1:"/>
      <w:numFmt w:val="upperLetter"/>
      <w:start w:val="1"/>
    </w:lvl>
  </w:abstractNum>
  <w:abstractNum w:abstractNumId="11">
    <w:nsid w:val="79A1DEAA"/>
    <w:multiLevelType w:val="hybridMultilevel"/>
    <w:lvl w:ilvl="0">
      <w:lvlJc w:val="left"/>
      <w:lvlText w:val="%1:"/>
      <w:numFmt w:val="upperLetter"/>
      <w:start w:val="17"/>
    </w:lvl>
  </w:abstractNum>
  <w:abstractNum w:abstractNumId="12">
    <w:nsid w:val="75C6C33A"/>
    <w:multiLevelType w:val="hybridMultilevel"/>
    <w:lvl w:ilvl="0">
      <w:lvlJc w:val="left"/>
      <w:lvlText w:val="%1:"/>
      <w:numFmt w:val="upperLetter"/>
      <w:start w:val="1"/>
    </w:lvl>
  </w:abstractNum>
  <w:abstractNum w:abstractNumId="13">
    <w:nsid w:val="12E685FB"/>
    <w:multiLevelType w:val="hybridMultilevel"/>
    <w:lvl w:ilvl="0">
      <w:lvlJc w:val="left"/>
      <w:lvlText w:val="%1:"/>
      <w:numFmt w:val="upperLetter"/>
      <w:start w:val="17"/>
    </w:lvl>
  </w:abstractNum>
  <w:abstractNum w:abstractNumId="14">
    <w:nsid w:val="70C6A529"/>
    <w:multiLevelType w:val="hybridMultilevel"/>
    <w:lvl w:ilvl="0">
      <w:lvlJc w:val="left"/>
      <w:lvlText w:val="%1:"/>
      <w:numFmt w:val="upperLetter"/>
      <w:start w:val="1"/>
    </w:lvl>
  </w:abstractNum>
  <w:abstractNum w:abstractNumId="15">
    <w:nsid w:val="520EEDD1"/>
    <w:multiLevelType w:val="hybridMultilevel"/>
    <w:lvl w:ilvl="0">
      <w:lvlJc w:val="left"/>
      <w:lvlText w:val="%1:"/>
      <w:numFmt w:val="upperLetter"/>
      <w:start w:val="17"/>
    </w:lvl>
  </w:abstractNum>
  <w:abstractNum w:abstractNumId="16">
    <w:nsid w:val="374A3FE6"/>
    <w:multiLevelType w:val="hybridMultilevel"/>
    <w:lvl w:ilvl="0">
      <w:lvlJc w:val="left"/>
      <w:lvlText w:val="%1:"/>
      <w:numFmt w:val="upperLetter"/>
      <w:start w:val="1"/>
    </w:lvl>
  </w:abstractNum>
  <w:abstractNum w:abstractNumId="17">
    <w:nsid w:val="4F4EF005"/>
    <w:multiLevelType w:val="hybridMultilevel"/>
    <w:lvl w:ilvl="0">
      <w:lvlJc w:val="left"/>
      <w:lvlText w:val="%1:"/>
      <w:numFmt w:val="upperLetter"/>
      <w:start w:val="17"/>
    </w:lvl>
  </w:abstractNum>
  <w:abstractNum w:abstractNumId="18">
    <w:nsid w:val="23F9C13C"/>
    <w:multiLevelType w:val="hybridMultilevel"/>
    <w:lvl w:ilvl="0">
      <w:lvlJc w:val="left"/>
      <w:lvlText w:val="%1:"/>
      <w:numFmt w:val="upperLetter"/>
      <w:start w:val="1"/>
    </w:lvl>
  </w:abstractNum>
  <w:abstractNum w:abstractNumId="19">
    <w:nsid w:val="649BB77C"/>
    <w:multiLevelType w:val="hybridMultilevel"/>
    <w:lvl w:ilvl="0">
      <w:lvlJc w:val="left"/>
      <w:lvlText w:val="%1:"/>
      <w:numFmt w:val="upperLetter"/>
      <w:start w:val="17"/>
    </w:lvl>
  </w:abstractNum>
  <w:abstractNum w:abstractNumId="20">
    <w:nsid w:val="275AC794"/>
    <w:multiLevelType w:val="hybridMultilevel"/>
    <w:lvl w:ilvl="0">
      <w:lvlJc w:val="left"/>
      <w:lvlText w:val="%1:"/>
      <w:numFmt w:val="upperLetter"/>
      <w:start w:val="1"/>
    </w:lvl>
  </w:abstractNum>
  <w:abstractNum w:abstractNumId="21">
    <w:nsid w:val="39386575"/>
    <w:multiLevelType w:val="hybridMultilevel"/>
    <w:lvl w:ilvl="0">
      <w:lvlJc w:val="left"/>
      <w:lvlText w:val="%1:"/>
      <w:numFmt w:val="upperLetter"/>
      <w:start w:val="17"/>
    </w:lvl>
  </w:abstractNum>
  <w:abstractNum w:abstractNumId="22">
    <w:nsid w:val="1CF10FD8"/>
    <w:multiLevelType w:val="hybridMultilevel"/>
    <w:lvl w:ilvl="0">
      <w:lvlJc w:val="left"/>
      <w:lvlText w:val="%1:"/>
      <w:numFmt w:val="upperLetter"/>
      <w:start w:val="1"/>
    </w:lvl>
    <w:lvl w:ilvl="1">
      <w:lvlJc w:val="left"/>
      <w:lvlText w:val="%2)"/>
      <w:numFmt w:val="decimal"/>
      <w:start w:val="1"/>
    </w:lvl>
  </w:abstractNum>
  <w:abstractNum w:abstractNumId="23">
    <w:nsid w:val="180115BE"/>
    <w:multiLevelType w:val="hybridMultilevel"/>
    <w:lvl w:ilvl="0">
      <w:lvlJc w:val="left"/>
      <w:lvlText w:val="%1)"/>
      <w:numFmt w:val="decimal"/>
      <w:start w:val="2"/>
    </w:lvl>
  </w:abstractNum>
  <w:abstractNum w:abstractNumId="24">
    <w:nsid w:val="235BA861"/>
    <w:multiLevelType w:val="hybridMultilevel"/>
    <w:lvl w:ilvl="0">
      <w:lvlJc w:val="left"/>
      <w:lvlText w:val="%1:"/>
      <w:numFmt w:val="upperLetter"/>
      <w:start w:val="17"/>
    </w:lvl>
  </w:abstractNum>
  <w:abstractNum w:abstractNumId="25">
    <w:nsid w:val="47398C89"/>
    <w:multiLevelType w:val="hybridMultilevel"/>
    <w:lvl w:ilvl="0">
      <w:lvlJc w:val="left"/>
      <w:lvlText w:val="%1:"/>
      <w:numFmt w:val="upperLetter"/>
      <w:start w:val="1"/>
    </w:lvl>
  </w:abstractNum>
  <w:abstractNum w:abstractNumId="26">
    <w:nsid w:val="354FE9F9"/>
    <w:multiLevelType w:val="hybridMultilevel"/>
    <w:lvl w:ilvl="0">
      <w:lvlJc w:val="left"/>
      <w:lvlText w:val="%1:"/>
      <w:numFmt w:val="upperLetter"/>
      <w:start w:val="17"/>
    </w:lvl>
  </w:abstractNum>
  <w:abstractNum w:abstractNumId="27">
    <w:nsid w:val="15B5AF5C"/>
    <w:multiLevelType w:val="hybridMultilevel"/>
    <w:lvl w:ilvl="0">
      <w:lvlJc w:val="left"/>
      <w:lvlText w:val="%1:"/>
      <w:numFmt w:val="upperLetter"/>
      <w:start w:val="1"/>
    </w:lvl>
  </w:abstractNum>
  <w:abstractNum w:abstractNumId="28">
    <w:nsid w:val="741226BB"/>
    <w:multiLevelType w:val="hybridMultilevel"/>
    <w:lvl w:ilvl="0">
      <w:lvlJc w:val="left"/>
      <w:lvlText w:val="%1:"/>
      <w:numFmt w:val="upperLetter"/>
      <w:start w:val="17"/>
    </w:lvl>
  </w:abstractNum>
  <w:abstractNum w:abstractNumId="29">
    <w:nsid w:val="D34B6A8"/>
    <w:multiLevelType w:val="hybridMultilevel"/>
    <w:lvl w:ilvl="0">
      <w:lvlJc w:val="left"/>
      <w:lvlText w:val="%1:"/>
      <w:numFmt w:val="upperLetter"/>
      <w:start w:val="1"/>
    </w:lvl>
  </w:abstractNum>
  <w:abstractNum w:abstractNumId="30">
    <w:nsid w:val="10233C99"/>
    <w:multiLevelType w:val="hybridMultilevel"/>
    <w:lvl w:ilvl="0">
      <w:lvlJc w:val="left"/>
      <w:lvlText w:val="%1:"/>
      <w:numFmt w:val="upperLetter"/>
      <w:start w:val="17"/>
    </w:lvl>
  </w:abstractNum>
  <w:abstractNum w:abstractNumId="31">
    <w:nsid w:val="3F6AB60F"/>
    <w:multiLevelType w:val="hybridMultilevel"/>
    <w:lvl w:ilvl="0">
      <w:lvlJc w:val="left"/>
      <w:lvlText w:val="%1:"/>
      <w:numFmt w:val="upperLetter"/>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1)"/>
      <w:numFmt w:val="decimal"/>
      <w:start w:val="1"/>
    </w:lvl>
  </w:abstractNum>
  <w:abstractNum w:abstractNumId="54">
    <w:nsid w:val="1EBA5D23"/>
    <w:multiLevelType w:val="hybridMultilevel"/>
    <w:lvl w:ilvl="0">
      <w:lvlJc w:val="left"/>
      <w:lvlText w:val="(%1)"/>
      <w:numFmt w:val="decimal"/>
      <w:start w:val="2"/>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1)"/>
      <w:numFmt w:val="lowerLetter"/>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amp;"/>
      <w:numFmt w:val="bullet"/>
      <w:start w:val="1"/>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1)"/>
      <w:numFmt w:val="decimal"/>
      <w:start w:val="1"/>
    </w:lvl>
  </w:abstractNum>
  <w:abstractNum w:abstractNumId="61">
    <w:nsid w:val="BF72B14"/>
    <w:multiLevelType w:val="hybridMultilevel"/>
    <w:lvl w:ilvl="0">
      <w:lvlJc w:val="left"/>
      <w:lvlText w:val="•"/>
      <w:numFmt w:val="bullet"/>
      <w:start w:val="1"/>
    </w:lvl>
    <w:lvl w:ilvl="1">
      <w:lvlJc w:val="left"/>
      <w:lvlText w:val="◦"/>
      <w:numFmt w:val="bullet"/>
      <w:start w:val="1"/>
    </w:lvl>
  </w:abstractNum>
  <w:abstractNum w:abstractNumId="62">
    <w:nsid w:val="11447B73"/>
    <w:multiLevelType w:val="hybridMultilevel"/>
    <w:lvl w:ilvl="0">
      <w:lvlJc w:val="left"/>
      <w:lvlText w:val="◦"/>
      <w:numFmt w:val="bullet"/>
      <w:start w:val="1"/>
    </w:lvl>
    <w:lvl w:ilvl="1">
      <w:lvlJc w:val="left"/>
      <w:lvlText w:val="▪"/>
      <w:numFmt w:val="bullet"/>
      <w:start w:val="1"/>
    </w:lvl>
  </w:abstractNum>
  <w:abstractNum w:abstractNumId="63">
    <w:nsid w:val="42963E5A"/>
    <w:multiLevelType w:val="hybridMultilevel"/>
    <w:lvl w:ilvl="0">
      <w:lvlJc w:val="left"/>
      <w:lvlText w:val="•"/>
      <w:numFmt w:val="bullet"/>
      <w:start w:val="1"/>
    </w:lvl>
    <w:lvl w:ilvl="1">
      <w:lvlJc w:val="left"/>
      <w:lvlText w:val="◦"/>
      <w:numFmt w:val="bullet"/>
      <w:start w:val="1"/>
    </w:lvl>
  </w:abstractNum>
  <w:abstractNum w:abstractNumId="64">
    <w:nsid w:val="A0382C5"/>
    <w:multiLevelType w:val="hybridMultilevel"/>
    <w:lvl w:ilvl="0">
      <w:lvlJc w:val="left"/>
      <w:lvlText w:val="•"/>
      <w:numFmt w:val="bullet"/>
      <w:start w:val="1"/>
    </w:lvl>
  </w:abstractNum>
  <w:abstractNum w:abstractNumId="65">
    <w:nsid w:val="8F2B15E"/>
    <w:multiLevelType w:val="hybridMultilevel"/>
    <w:lvl w:ilvl="0">
      <w:lvlJc w:val="left"/>
      <w:lvlText w:val="•"/>
      <w:numFmt w:val="bullet"/>
      <w:start w:val="1"/>
    </w:lvl>
  </w:abstractNum>
  <w:abstractNum w:abstractNumId="66">
    <w:nsid w:val="1A32234B"/>
    <w:multiLevelType w:val="hybridMultilevel"/>
    <w:lvl w:ilvl="0">
      <w:lvlJc w:val="left"/>
      <w:lvlText w:val="•"/>
      <w:numFmt w:val="bullet"/>
      <w:start w:val="1"/>
    </w:lvl>
  </w:abstractNum>
  <w:abstractNum w:abstractNumId="67">
    <w:nsid w:val="3B0FD379"/>
    <w:multiLevelType w:val="hybridMultilevel"/>
    <w:lvl w:ilvl="0">
      <w:lvlJc w:val="left"/>
      <w:lvlText w:val="◦"/>
      <w:numFmt w:val="bullet"/>
      <w:start w:val="1"/>
    </w:lvl>
  </w:abstractNum>
  <w:abstractNum w:abstractNumId="68">
    <w:nsid w:val="68EB2F63"/>
    <w:multiLevelType w:val="hybridMultilevel"/>
    <w:lvl w:ilvl="0">
      <w:lvlJc w:val="left"/>
      <w:lvlText w:val="(%1)"/>
      <w:numFmt w:val="decimal"/>
      <w:start w:val="1"/>
    </w:lvl>
  </w:abstractNum>
  <w:abstractNum w:abstractNumId="69">
    <w:nsid w:val="4962813B"/>
    <w:multiLevelType w:val="hybridMultilevel"/>
    <w:lvl w:ilvl="0">
      <w:lvlJc w:val="left"/>
      <w:lvlText w:val="(%1)"/>
      <w:numFmt w:val="decimal"/>
      <w:start w:val="2"/>
    </w:lvl>
  </w:abstractNum>
  <w:abstractNum w:abstractNumId="70">
    <w:nsid w:val="60B6DF70"/>
    <w:multiLevelType w:val="hybridMultilevel"/>
    <w:lvl w:ilvl="0">
      <w:lvlJc w:val="left"/>
      <w:lvlText w:val="(%1)"/>
      <w:numFmt w:val="decimal"/>
      <w:start w:val="3"/>
    </w:lvl>
  </w:abstractNum>
  <w:abstractNum w:abstractNumId="71">
    <w:nsid w:val="6A5EE64"/>
    <w:multiLevelType w:val="hybridMultilevel"/>
    <w:lvl w:ilvl="0">
      <w:lvlJc w:val="left"/>
      <w:lvlText w:val="◦"/>
      <w:numFmt w:val="bullet"/>
      <w:start w:val="1"/>
    </w:lvl>
    <w:lvl w:ilvl="1">
      <w:lvlJc w:val="left"/>
      <w:lvlText w:val="▪"/>
      <w:numFmt w:val="bullet"/>
      <w:start w:val="1"/>
    </w:lvl>
  </w:abstractNum>
  <w:abstractNum w:abstractNumId="72">
    <w:nsid w:val="14330624"/>
    <w:multiLevelType w:val="hybridMultilevel"/>
    <w:lvl w:ilvl="0">
      <w:lvlJc w:val="left"/>
      <w:lvlText w:val="*"/>
      <w:numFmt w:val="bullet"/>
      <w:start w:val="1"/>
    </w:lvl>
  </w:abstractNum>
  <w:abstractNum w:abstractNumId="73">
    <w:nsid w:val="7FFFCA11"/>
    <w:multiLevelType w:val="hybridMultilevel"/>
    <w:lvl w:ilvl="0">
      <w:lvlJc w:val="left"/>
      <w:lvlText w:val="*"/>
      <w:numFmt w:val="bullet"/>
      <w:start w:val="1"/>
    </w:lvl>
    <w:lvl w:ilvl="1">
      <w:lvlJc w:val="left"/>
      <w:lvlText w:val="◦"/>
      <w:numFmt w:val="bullet"/>
      <w:start w:val="1"/>
    </w:lvl>
  </w:abstractNum>
  <w:abstractNum w:abstractNumId="74">
    <w:nsid w:val="1A27709E"/>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75">
    <w:nsid w:val="71EA1109"/>
    <w:multiLevelType w:val="hybridMultilevel"/>
    <w:lvl w:ilvl="0">
      <w:lvlJc w:val="left"/>
      <w:lvlText w:val="•"/>
      <w:numFmt w:val="bullet"/>
      <w:start w:val="1"/>
    </w:lvl>
  </w:abstractNum>
  <w:abstractNum w:abstractNumId="76">
    <w:nsid w:val="100F59DC"/>
    <w:multiLevelType w:val="hybridMultilevel"/>
    <w:lvl w:ilvl="0">
      <w:lvlJc w:val="left"/>
      <w:lvlText w:val="•"/>
      <w:numFmt w:val="bullet"/>
      <w:start w:val="1"/>
    </w:lvl>
  </w:abstractNum>
  <w:abstractNum w:abstractNumId="77">
    <w:nsid w:val="7FB7E0AA"/>
    <w:multiLevelType w:val="hybridMultilevel"/>
    <w:lvl w:ilvl="0">
      <w:lvlJc w:val="left"/>
      <w:lvlText w:val="(%1)"/>
      <w:numFmt w:val="decimal"/>
      <w:start w:val="1"/>
    </w:lvl>
  </w:abstractNum>
  <w:abstractNum w:abstractNumId="78">
    <w:nsid w:val="6EB5BD4"/>
    <w:multiLevelType w:val="hybridMultilevel"/>
    <w:lvl w:ilvl="0">
      <w:lvlJc w:val="left"/>
      <w:lvlText w:val="(%1)"/>
      <w:numFmt w:val="decimal"/>
      <w:start w:val="1"/>
    </w:lvl>
  </w:abstractNum>
  <w:abstractNum w:abstractNumId="79">
    <w:nsid w:val="6F6DD9AC"/>
    <w:multiLevelType w:val="hybridMultilevel"/>
    <w:lvl w:ilvl="0">
      <w:lvlJc w:val="left"/>
      <w:lvlText w:val="(%1)"/>
      <w:numFmt w:val="decimal"/>
      <w:start w:val="17"/>
    </w:lvl>
  </w:abstractNum>
  <w:abstractNum w:abstractNumId="80">
    <w:nsid w:val="94211F2"/>
    <w:multiLevelType w:val="hybridMultilevel"/>
    <w:lvl w:ilvl="0">
      <w:lvlJc w:val="left"/>
      <w:lvlText w:val="•"/>
      <w:numFmt w:val="bullet"/>
      <w:start w:val="1"/>
    </w:lvl>
  </w:abstractNum>
  <w:abstractNum w:abstractNumId="81">
    <w:nsid w:val="885E1B"/>
    <w:multiLevelType w:val="hybridMultilevel"/>
    <w:lvl w:ilvl="0">
      <w:lvlJc w:val="left"/>
      <w:lvlText w:val="(%1)"/>
      <w:numFmt w:val="decimal"/>
      <w:start w:val="1"/>
    </w:lvl>
  </w:abstractNum>
  <w:abstractNum w:abstractNumId="82">
    <w:nsid w:val="76272110"/>
    <w:multiLevelType w:val="hybridMultilevel"/>
    <w:lvl w:ilvl="0">
      <w:lvlJc w:val="left"/>
      <w:lvlText w:val="(%1)"/>
      <w:numFmt w:val="decimal"/>
      <w:start w:val="2"/>
    </w:lvl>
  </w:abstractNum>
  <w:abstractNum w:abstractNumId="83">
    <w:nsid w:val="4C04A8AF"/>
    <w:multiLevelType w:val="hybridMultilevel"/>
    <w:lvl w:ilvl="0">
      <w:lvlJc w:val="left"/>
      <w:lvlText w:val="(%1)"/>
      <w:numFmt w:val="decimal"/>
      <w:start w:val="1"/>
    </w:lvl>
  </w:abstractNum>
  <w:abstractNum w:abstractNumId="84">
    <w:nsid w:val="1716703B"/>
    <w:multiLevelType w:val="hybridMultilevel"/>
    <w:lvl w:ilvl="0">
      <w:lvlJc w:val="left"/>
      <w:lvlText w:val="(%1)"/>
      <w:numFmt w:val="decimal"/>
      <w:start w:val="1"/>
    </w:lvl>
  </w:abstractNum>
  <w:abstractNum w:abstractNumId="85">
    <w:nsid w:val="14E17E33"/>
    <w:multiLevelType w:val="hybridMultilevel"/>
    <w:lvl w:ilvl="0">
      <w:lvlJc w:val="left"/>
      <w:lvlText w:val="(%1)"/>
      <w:numFmt w:val="decimal"/>
      <w:start w:val="1"/>
    </w:lvl>
  </w:abstractNum>
  <w:abstractNum w:abstractNumId="86">
    <w:nsid w:val="3222E7CD"/>
    <w:multiLevelType w:val="hybridMultilevel"/>
    <w:lvl w:ilvl="0">
      <w:lvlJc w:val="left"/>
      <w:lvlText w:val="•"/>
      <w:numFmt w:val="bullet"/>
      <w:start w:val="1"/>
    </w:lvl>
  </w:abstractNum>
  <w:abstractNum w:abstractNumId="87">
    <w:nsid w:val="74DE0EE3"/>
    <w:multiLevelType w:val="hybridMultilevel"/>
    <w:lvl w:ilvl="0">
      <w:lvlJc w:val="left"/>
      <w:lvlText w:val="•"/>
      <w:numFmt w:val="bullet"/>
      <w:start w:val="1"/>
    </w:lvl>
  </w:abstractNum>
  <w:abstractNum w:abstractNumId="88">
    <w:nsid w:val="68EBC550"/>
    <w:multiLevelType w:val="hybridMultilevel"/>
    <w:lvl w:ilvl="0">
      <w:lvlJc w:val="left"/>
      <w:lvlText w:val="(%1)"/>
      <w:numFmt w:val="decimal"/>
      <w:start w:val="1"/>
    </w:lvl>
  </w:abstractNum>
  <w:abstractNum w:abstractNumId="89">
    <w:nsid w:val="2DF6D648"/>
    <w:multiLevelType w:val="hybridMultilevel"/>
    <w:lvl w:ilvl="0">
      <w:lvlJc w:val="left"/>
      <w:lvlText w:val="•"/>
      <w:numFmt w:val="bullet"/>
      <w:start w:val="1"/>
    </w:lvl>
  </w:abstractNum>
  <w:abstractNum w:abstractNumId="90">
    <w:nsid w:val="46B7D4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2022-03-18T05:21:01Z</dcterms:created>
  <dcterms:modified xsi:type="dcterms:W3CDTF">2022-03-18T05:21:01Z</dcterms:modified>
</cp:coreProperties>
</file>