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4" w:lineRule="exact"/>
        <w:rPr>
          <w:sz w:val="24"/>
          <w:szCs w:val="24"/>
          <w:color w:val="auto"/>
        </w:rPr>
      </w:pPr>
    </w:p>
    <w:p>
      <w:pPr>
        <w:jc w:val="center"/>
        <w:ind w:left="5540" w:right="300" w:hanging="5532"/>
        <w:spacing w:after="0" w:line="335" w:lineRule="auto"/>
        <w:tabs>
          <w:tab w:leader="none" w:pos="6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 or</w:t>
      </w:r>
    </w:p>
    <w:p>
      <w:pPr>
        <w:spacing w:after="0" w:line="30"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77"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Borders>
              <w:bottom w:val="single" w:sz="8" w:color="auto"/>
            </w:tcBorders>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8"/>
                <w:szCs w:val="18"/>
                <w:b w:val="1"/>
                <w:bCs w:val="1"/>
                <w:color w:val="auto"/>
              </w:rPr>
              <w:t>to</w:t>
            </w:r>
          </w:p>
        </w:tc>
      </w:tr>
      <w:tr>
        <w:trPr>
          <w:trHeight w:val="237"/>
        </w:trPr>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780" w:type="dxa"/>
            <w:vAlign w:val="bottom"/>
          </w:tcPr>
          <w:p>
            <w:pPr>
              <w:ind w:left="22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BANK OF HAWAII CORP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Delaware</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60" w:type="dxa"/>
            <w:vAlign w:val="bottom"/>
            <w:gridSpan w:val="2"/>
          </w:tcPr>
          <w:p>
            <w:pPr>
              <w:ind w:left="800"/>
              <w:spacing w:after="0"/>
              <w:rPr>
                <w:sz w:val="20"/>
                <w:szCs w:val="20"/>
                <w:color w:val="auto"/>
              </w:rPr>
            </w:pPr>
            <w:r>
              <w:rPr>
                <w:rFonts w:ascii="Arial" w:cs="Arial" w:eastAsia="Arial" w:hAnsi="Arial"/>
                <w:sz w:val="16"/>
                <w:szCs w:val="16"/>
                <w:b w:val="1"/>
                <w:bCs w:val="1"/>
                <w:color w:val="auto"/>
              </w:rPr>
              <w:t>99-0148992</w:t>
            </w:r>
          </w:p>
        </w:tc>
      </w:tr>
      <w:tr>
        <w:trPr>
          <w:trHeight w:val="229"/>
        </w:trPr>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580" w:type="dxa"/>
            <w:vAlign w:val="bottom"/>
          </w:tcPr>
          <w:p>
            <w:pPr>
              <w:jc w:val="center"/>
              <w:ind w:left="419"/>
              <w:spacing w:after="0"/>
              <w:rPr>
                <w:sz w:val="20"/>
                <w:szCs w:val="20"/>
                <w:color w:val="auto"/>
              </w:rPr>
            </w:pPr>
            <w:r>
              <w:rPr>
                <w:rFonts w:ascii="Arial" w:cs="Arial" w:eastAsia="Arial" w:hAnsi="Arial"/>
                <w:sz w:val="16"/>
                <w:szCs w:val="16"/>
                <w:color w:val="auto"/>
                <w:w w:val="93"/>
              </w:rPr>
              <w:t>(State of incorporation)</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(I.R.S. Employer Identification No.)</w:t>
            </w:r>
          </w:p>
        </w:tc>
      </w:tr>
      <w:tr>
        <w:trPr>
          <w:trHeight w:val="324"/>
        </w:trPr>
        <w:tc>
          <w:tcPr>
            <w:tcW w:w="80" w:type="dxa"/>
            <w:vAlign w:val="bottom"/>
          </w:tcPr>
          <w:p>
            <w:pPr>
              <w:spacing w:after="0"/>
              <w:rPr>
                <w:sz w:val="24"/>
                <w:szCs w:val="24"/>
                <w:color w:val="auto"/>
              </w:rPr>
            </w:pPr>
          </w:p>
        </w:tc>
        <w:tc>
          <w:tcPr>
            <w:tcW w:w="3740" w:type="dxa"/>
            <w:vAlign w:val="bottom"/>
            <w:gridSpan w:val="2"/>
          </w:tcPr>
          <w:p>
            <w:pPr>
              <w:ind w:left="680"/>
              <w:spacing w:after="0"/>
              <w:rPr>
                <w:sz w:val="20"/>
                <w:szCs w:val="20"/>
                <w:color w:val="auto"/>
              </w:rPr>
            </w:pPr>
            <w:r>
              <w:rPr>
                <w:rFonts w:ascii="Arial" w:cs="Arial" w:eastAsia="Arial" w:hAnsi="Arial"/>
                <w:sz w:val="16"/>
                <w:szCs w:val="16"/>
                <w:b w:val="1"/>
                <w:bCs w:val="1"/>
                <w:color w:val="auto"/>
              </w:rPr>
              <w:t>130 Merchant Street</w:t>
            </w:r>
          </w:p>
        </w:tc>
        <w:tc>
          <w:tcPr>
            <w:tcW w:w="2120" w:type="dxa"/>
            <w:vAlign w:val="bottom"/>
          </w:tcPr>
          <w:p>
            <w:pPr>
              <w:jc w:val="center"/>
              <w:ind w:right="1081"/>
              <w:spacing w:after="0"/>
              <w:rPr>
                <w:sz w:val="20"/>
                <w:szCs w:val="20"/>
                <w:color w:val="auto"/>
              </w:rPr>
            </w:pPr>
            <w:r>
              <w:rPr>
                <w:rFonts w:ascii="Arial" w:cs="Arial" w:eastAsia="Arial" w:hAnsi="Arial"/>
                <w:sz w:val="16"/>
                <w:szCs w:val="16"/>
                <w:b w:val="1"/>
                <w:bCs w:val="1"/>
                <w:color w:val="auto"/>
                <w:w w:val="92"/>
              </w:rPr>
              <w:t>Honolulu</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Hawaii</w:t>
            </w:r>
          </w:p>
        </w:tc>
        <w:tc>
          <w:tcPr>
            <w:tcW w:w="3660" w:type="dxa"/>
            <w:vAlign w:val="bottom"/>
            <w:gridSpan w:val="2"/>
          </w:tcPr>
          <w:p>
            <w:pPr>
              <w:jc w:val="right"/>
              <w:ind w:right="801"/>
              <w:spacing w:after="0"/>
              <w:rPr>
                <w:sz w:val="20"/>
                <w:szCs w:val="20"/>
                <w:color w:val="auto"/>
              </w:rPr>
            </w:pPr>
            <w:r>
              <w:rPr>
                <w:rFonts w:ascii="Arial" w:cs="Arial" w:eastAsia="Arial" w:hAnsi="Arial"/>
                <w:sz w:val="16"/>
                <w:szCs w:val="16"/>
                <w:b w:val="1"/>
                <w:bCs w:val="1"/>
                <w:color w:val="auto"/>
              </w:rPr>
              <w:t>96813</w:t>
            </w:r>
          </w:p>
        </w:tc>
      </w:tr>
      <w:tr>
        <w:trPr>
          <w:trHeight w:val="229"/>
        </w:trPr>
        <w:tc>
          <w:tcPr>
            <w:tcW w:w="8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 xml:space="preserve">(Address of principal executive </w:t>
            </w:r>
            <w:r>
              <w:rPr>
                <w:rFonts w:ascii="Arial" w:cs="Arial" w:eastAsia="Arial" w:hAnsi="Arial"/>
                <w:sz w:val="16"/>
                <w:szCs w:val="16"/>
                <w:color w:val="auto"/>
              </w:rPr>
              <w:t>offices)</w:t>
            </w:r>
          </w:p>
        </w:tc>
        <w:tc>
          <w:tcPr>
            <w:tcW w:w="2120" w:type="dxa"/>
            <w:vAlign w:val="bottom"/>
          </w:tcPr>
          <w:p>
            <w:pPr>
              <w:jc w:val="center"/>
              <w:ind w:right="1101"/>
              <w:spacing w:after="0"/>
              <w:rPr>
                <w:sz w:val="20"/>
                <w:szCs w:val="20"/>
                <w:color w:val="auto"/>
              </w:rPr>
            </w:pPr>
            <w:r>
              <w:rPr>
                <w:rFonts w:ascii="Arial" w:cs="Arial" w:eastAsia="Arial" w:hAnsi="Arial"/>
                <w:sz w:val="14"/>
                <w:szCs w:val="14"/>
                <w:color w:val="auto"/>
              </w:rPr>
              <w:t>(City)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(State)</w:t>
            </w:r>
          </w:p>
        </w:tc>
        <w:tc>
          <w:tcPr>
            <w:tcW w:w="800" w:type="dxa"/>
            <w:vAlign w:val="bottom"/>
          </w:tcPr>
          <w:p>
            <w:pPr>
              <w:spacing w:after="0"/>
              <w:rPr>
                <w:sz w:val="19"/>
                <w:szCs w:val="19"/>
                <w:color w:val="auto"/>
              </w:rPr>
            </w:pPr>
          </w:p>
        </w:tc>
        <w:tc>
          <w:tcPr>
            <w:tcW w:w="2860" w:type="dxa"/>
            <w:vAlign w:val="bottom"/>
          </w:tcPr>
          <w:p>
            <w:pPr>
              <w:jc w:val="center"/>
              <w:ind w:left="621"/>
              <w:spacing w:after="0"/>
              <w:rPr>
                <w:sz w:val="20"/>
                <w:szCs w:val="20"/>
                <w:color w:val="auto"/>
              </w:rPr>
            </w:pPr>
            <w:r>
              <w:rPr>
                <w:rFonts w:ascii="Arial" w:cs="Arial" w:eastAsia="Arial" w:hAnsi="Arial"/>
                <w:sz w:val="14"/>
                <w:szCs w:val="14"/>
                <w:color w:val="auto"/>
                <w:w w:val="96"/>
              </w:rPr>
              <w:t>(Zip Code)</w:t>
            </w:r>
          </w:p>
        </w:tc>
      </w:tr>
      <w:tr>
        <w:trPr>
          <w:trHeight w:val="320"/>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1-888-643-3888</w:t>
            </w: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100" w:type="dxa"/>
            <w:vAlign w:val="bottom"/>
            <w:gridSpan w:val="5"/>
          </w:tcPr>
          <w:p>
            <w:pPr>
              <w:jc w:val="center"/>
              <w:ind w:right="3421"/>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66"/>
        </w:trPr>
        <w:tc>
          <w:tcPr>
            <w:tcW w:w="3820" w:type="dxa"/>
            <w:vAlign w:val="bottom"/>
            <w:gridSpan w:val="3"/>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2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172"/>
        </w:trPr>
        <w:tc>
          <w:tcPr>
            <w:tcW w:w="80" w:type="dxa"/>
            <w:vAlign w:val="bottom"/>
          </w:tcPr>
          <w:p>
            <w:pPr>
              <w:spacing w:after="0"/>
              <w:rPr>
                <w:sz w:val="14"/>
                <w:szCs w:val="14"/>
                <w:color w:val="auto"/>
              </w:rPr>
            </w:pPr>
          </w:p>
        </w:tc>
        <w:tc>
          <w:tcPr>
            <w:tcW w:w="3740" w:type="dxa"/>
            <w:vAlign w:val="bottom"/>
            <w:gridSpan w:val="2"/>
          </w:tcPr>
          <w:p>
            <w:pPr>
              <w:spacing w:after="0" w:line="172" w:lineRule="exact"/>
              <w:rPr>
                <w:sz w:val="20"/>
                <w:szCs w:val="20"/>
                <w:color w:val="auto"/>
              </w:rPr>
            </w:pPr>
            <w:r>
              <w:rPr>
                <w:rFonts w:ascii="Arial" w:cs="Arial" w:eastAsia="Arial" w:hAnsi="Arial"/>
                <w:sz w:val="16"/>
                <w:szCs w:val="16"/>
                <w:color w:val="auto"/>
              </w:rPr>
              <w:t>Title of each class</w:t>
            </w: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Arial" w:cs="Arial" w:eastAsia="Arial" w:hAnsi="Arial"/>
                <w:sz w:val="16"/>
                <w:szCs w:val="16"/>
                <w:color w:val="auto"/>
                <w:w w:val="92"/>
              </w:rPr>
              <w:t>Trading Symbol</w:t>
            </w:r>
          </w:p>
        </w:tc>
        <w:tc>
          <w:tcPr>
            <w:tcW w:w="800" w:type="dxa"/>
            <w:vAlign w:val="bottom"/>
          </w:tcPr>
          <w:p>
            <w:pPr>
              <w:spacing w:after="0"/>
              <w:rPr>
                <w:sz w:val="14"/>
                <w:szCs w:val="14"/>
                <w:color w:val="auto"/>
              </w:rPr>
            </w:pPr>
          </w:p>
        </w:tc>
        <w:tc>
          <w:tcPr>
            <w:tcW w:w="2860" w:type="dxa"/>
            <w:vAlign w:val="bottom"/>
          </w:tcPr>
          <w:p>
            <w:pPr>
              <w:spacing w:after="0" w:line="172" w:lineRule="exact"/>
              <w:rPr>
                <w:sz w:val="20"/>
                <w:szCs w:val="20"/>
                <w:color w:val="auto"/>
              </w:rPr>
            </w:pPr>
            <w:r>
              <w:rPr>
                <w:rFonts w:ascii="Arial" w:cs="Arial" w:eastAsia="Arial" w:hAnsi="Arial"/>
                <w:sz w:val="16"/>
                <w:szCs w:val="16"/>
                <w:color w:val="auto"/>
                <w:w w:val="89"/>
              </w:rPr>
              <w:t>Name of each exchange on which registered</w:t>
            </w:r>
          </w:p>
        </w:tc>
      </w:tr>
      <w:tr>
        <w:trPr>
          <w:trHeight w:val="20"/>
        </w:trPr>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44"/>
        </w:trPr>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Common Stock, par value $0.01 per share</w:t>
            </w: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281"/>
              <w:spacing w:after="0"/>
              <w:rPr>
                <w:sz w:val="20"/>
                <w:szCs w:val="20"/>
                <w:color w:val="auto"/>
              </w:rPr>
            </w:pPr>
            <w:r>
              <w:rPr>
                <w:rFonts w:ascii="Arial" w:cs="Arial" w:eastAsia="Arial" w:hAnsi="Arial"/>
                <w:sz w:val="16"/>
                <w:szCs w:val="16"/>
                <w:b w:val="1"/>
                <w:bCs w:val="1"/>
                <w:color w:val="auto"/>
              </w:rPr>
              <w:t>BOH</w:t>
            </w:r>
          </w:p>
        </w:tc>
        <w:tc>
          <w:tcPr>
            <w:tcW w:w="800" w:type="dxa"/>
            <w:vAlign w:val="bottom"/>
          </w:tcPr>
          <w:p>
            <w:pPr>
              <w:spacing w:after="0"/>
              <w:rPr>
                <w:sz w:val="21"/>
                <w:szCs w:val="21"/>
                <w:color w:val="auto"/>
              </w:rPr>
            </w:pPr>
          </w:p>
        </w:tc>
        <w:tc>
          <w:tcPr>
            <w:tcW w:w="2860" w:type="dxa"/>
            <w:vAlign w:val="bottom"/>
          </w:tcPr>
          <w:p>
            <w:pPr>
              <w:ind w:left="520"/>
              <w:spacing w:after="0"/>
              <w:rPr>
                <w:sz w:val="20"/>
                <w:szCs w:val="20"/>
                <w:color w:val="auto"/>
              </w:rPr>
            </w:pPr>
            <w:r>
              <w:rPr>
                <w:rFonts w:ascii="Arial" w:cs="Arial" w:eastAsia="Arial" w:hAnsi="Arial"/>
                <w:sz w:val="16"/>
                <w:szCs w:val="16"/>
                <w:b w:val="1"/>
                <w:bCs w:val="1"/>
                <w:color w:val="auto"/>
              </w:rPr>
              <w:t>New York Stock Exchange</w:t>
            </w:r>
          </w:p>
        </w:tc>
      </w:tr>
      <w:tr>
        <w:trPr>
          <w:trHeight w:val="316"/>
        </w:trPr>
        <w:tc>
          <w:tcPr>
            <w:tcW w:w="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Arial" w:cs="Arial" w:eastAsia="Arial" w:hAnsi="Arial"/>
                <w:sz w:val="16"/>
                <w:szCs w:val="16"/>
                <w:b w:val="1"/>
                <w:bCs w:val="1"/>
                <w:color w:val="auto"/>
                <w:w w:val="94"/>
              </w:rPr>
              <w:t>Depository Shares, Each Representing 1/40</w:t>
            </w:r>
            <w:r>
              <w:rPr>
                <w:rFonts w:ascii="Arial" w:cs="Arial" w:eastAsia="Arial" w:hAnsi="Arial"/>
                <w:sz w:val="27"/>
                <w:szCs w:val="27"/>
                <w:b w:val="1"/>
                <w:bCs w:val="1"/>
                <w:color w:val="auto"/>
                <w:w w:val="94"/>
                <w:vertAlign w:val="superscript"/>
              </w:rPr>
              <w:t>th</w:t>
            </w:r>
            <w:r>
              <w:rPr>
                <w:rFonts w:ascii="Arial" w:cs="Arial" w:eastAsia="Arial" w:hAnsi="Arial"/>
                <w:sz w:val="16"/>
                <w:szCs w:val="16"/>
                <w:b w:val="1"/>
                <w:bCs w:val="1"/>
                <w:color w:val="auto"/>
                <w:w w:val="94"/>
              </w:rPr>
              <w:t xml:space="preserve"> Interest in a Share of 4.375% Fixed</w:t>
            </w:r>
          </w:p>
        </w:tc>
        <w:tc>
          <w:tcPr>
            <w:tcW w:w="1320" w:type="dxa"/>
            <w:vAlign w:val="bottom"/>
            <w:gridSpan w:val="2"/>
          </w:tcPr>
          <w:p>
            <w:pPr>
              <w:jc w:val="right"/>
              <w:ind w:right="301"/>
              <w:spacing w:after="0"/>
              <w:rPr>
                <w:sz w:val="20"/>
                <w:szCs w:val="20"/>
                <w:color w:val="auto"/>
              </w:rPr>
            </w:pPr>
            <w:r>
              <w:rPr>
                <w:rFonts w:ascii="Arial" w:cs="Arial" w:eastAsia="Arial" w:hAnsi="Arial"/>
                <w:sz w:val="16"/>
                <w:szCs w:val="16"/>
                <w:b w:val="1"/>
                <w:bCs w:val="1"/>
                <w:color w:val="auto"/>
              </w:rPr>
              <w:t>BOH.PRA</w:t>
            </w:r>
          </w:p>
        </w:tc>
        <w:tc>
          <w:tcPr>
            <w:tcW w:w="80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Arial" w:cs="Arial" w:eastAsia="Arial" w:hAnsi="Arial"/>
                <w:sz w:val="16"/>
                <w:szCs w:val="16"/>
                <w:b w:val="1"/>
                <w:bCs w:val="1"/>
                <w:color w:val="auto"/>
              </w:rPr>
              <w:t>New York Stock Exchange</w:t>
            </w:r>
          </w:p>
        </w:tc>
      </w:tr>
      <w:tr>
        <w:trPr>
          <w:trHeight w:val="210"/>
        </w:trPr>
        <w:tc>
          <w:tcPr>
            <w:tcW w:w="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Rate Non-Cumulative Preferred Stock, Series A</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60" w:type="dxa"/>
            <w:vAlign w:val="bottom"/>
          </w:tcPr>
          <w:p>
            <w:pPr>
              <w:spacing w:after="0"/>
              <w:rPr>
                <w:sz w:val="18"/>
                <w:szCs w:val="18"/>
                <w:color w:val="auto"/>
              </w:rPr>
            </w:pPr>
          </w:p>
        </w:tc>
      </w:tr>
    </w:tbl>
    <w:p>
      <w:pPr>
        <w:spacing w:after="0" w:line="199"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ind w:right="400"/>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ind w:right="8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3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3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580"/>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2" w:lineRule="exact"/>
        <w:rPr>
          <w:sz w:val="24"/>
          <w:szCs w:val="24"/>
          <w:color w:val="auto"/>
        </w:rPr>
      </w:pPr>
    </w:p>
    <w:p>
      <w:pPr>
        <w:ind w:left="51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As of July 20, 2021, there were 40,478,000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p>
      <w:pPr>
        <w:ind w:left="10820"/>
        <w:spacing w:after="0"/>
        <w:rPr>
          <w:sz w:val="20"/>
          <w:szCs w:val="20"/>
          <w:color w:val="auto"/>
        </w:rPr>
      </w:pP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24765</wp:posOffset>
            </wp:positionV>
            <wp:extent cx="480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2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92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w:t>
              </w:r>
            </w:hyperlink>
          </w:p>
        </w:tc>
        <w:tc>
          <w:tcPr>
            <w:tcW w:w="542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Three and six months ended June 30, 2021, and June 30, 2020</w:t>
              </w:r>
            </w:hyperlink>
          </w:p>
        </w:tc>
        <w:tc>
          <w:tcPr>
            <w:tcW w:w="348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Three and six months ended June 30, 2021, and June 30, 2020</w:t>
              </w:r>
            </w:hyperlink>
          </w:p>
        </w:tc>
        <w:tc>
          <w:tcPr>
            <w:tcW w:w="348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Condition –</w:t>
              </w:r>
            </w:hyperlink>
          </w:p>
        </w:tc>
        <w:tc>
          <w:tcPr>
            <w:tcW w:w="524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June 30, 2021, and December 31, 2020</w:t>
              </w:r>
            </w:hyperlink>
          </w:p>
        </w:tc>
        <w:tc>
          <w:tcPr>
            <w:tcW w:w="5140" w:type="dxa"/>
            <w:vAlign w:val="bottom"/>
            <w:gridSpan w:val="10"/>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Shareholders’ Equity –</w:t>
              </w:r>
            </w:hyperlink>
          </w:p>
        </w:tc>
        <w:tc>
          <w:tcPr>
            <w:tcW w:w="4440" w:type="dxa"/>
            <w:vAlign w:val="bottom"/>
            <w:gridSpan w:val="7"/>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Six months ended June 30, 2021, and June 30, 2020</w:t>
              </w:r>
            </w:hyperlink>
          </w:p>
        </w:tc>
        <w:tc>
          <w:tcPr>
            <w:tcW w:w="4220" w:type="dxa"/>
            <w:vAlign w:val="bottom"/>
            <w:gridSpan w:val="5"/>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 –</w:t>
              </w:r>
            </w:hyperlink>
          </w:p>
        </w:tc>
        <w:tc>
          <w:tcPr>
            <w:tcW w:w="512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Six months ended June 30, 2021, and June 30, 2020</w:t>
              </w:r>
            </w:hyperlink>
          </w:p>
        </w:tc>
        <w:tc>
          <w:tcPr>
            <w:tcW w:w="4220" w:type="dxa"/>
            <w:vAlign w:val="bottom"/>
            <w:gridSpan w:val="5"/>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Management’s Discussion and Analysis of Financial Condition and Results of Operations</w:t>
              </w:r>
            </w:hyperlink>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Quantitative and Qualitative Disclosures About Market Risk</w:t>
              </w:r>
            </w:hyperlink>
          </w:p>
        </w:tc>
        <w:tc>
          <w:tcPr>
            <w:tcW w:w="376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12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9260" w:type="dxa"/>
            <w:vAlign w:val="bottom"/>
            <w:gridSpan w:val="20"/>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 - Other Information</w:t>
              </w:r>
            </w:hyperlink>
          </w:p>
        </w:tc>
        <w:tc>
          <w:tcPr>
            <w:tcW w:w="192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top w:val="single" w:sz="8" w:color="0000EE"/>
            </w:tcBorders>
            <w:gridSpan w:val="4"/>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Risk Factors</w:t>
              </w:r>
            </w:hyperlink>
          </w:p>
        </w:tc>
        <w:tc>
          <w:tcPr>
            <w:tcW w:w="714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20" w:type="dxa"/>
            <w:vAlign w:val="bottom"/>
            <w:gridSpan w:val="1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Unregistered Sales of Equity Securities and Use of Proceeds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378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885"/>
        </w:trPr>
        <w:tc>
          <w:tcPr>
            <w:tcW w:w="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gridSpan w:val="16"/>
          </w:tcPr>
          <w:p>
            <w:pPr>
              <w:ind w:left="4380"/>
              <w:spacing w:after="0"/>
              <w:rPr>
                <w:sz w:val="20"/>
                <w:szCs w:val="20"/>
                <w:color w:val="auto"/>
              </w:rPr>
            </w:pPr>
            <w:r>
              <w:rPr>
                <w:rFonts w:ascii="Arial" w:cs="Arial" w:eastAsia="Arial" w:hAnsi="Arial"/>
                <w:sz w:val="18"/>
                <w:szCs w:val="18"/>
                <w:color w:val="auto"/>
              </w:rPr>
              <w:t>1</w:t>
            </w: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 except per share amounts)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Interest and Fees on Loans and Leases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100,894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107,628</w:t>
            </w:r>
          </w:p>
        </w:tc>
        <w:tc>
          <w:tcPr>
            <w:tcW w:w="1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200,193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215,838</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on Investment Securities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584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16,467</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14,576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32,304</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31,287</w:t>
            </w:r>
          </w:p>
        </w:tc>
      </w:tr>
      <w:tr>
        <w:trPr>
          <w:trHeight w:val="219"/>
        </w:trPr>
        <w:tc>
          <w:tcPr>
            <w:tcW w:w="5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Held-to-Maturity</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13,576</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16,723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26,876</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35,975</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Deposits</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Sold</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260</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397</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638</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367</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Interest Income</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131,379</w:t>
            </w: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139,145</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260,144</w:t>
            </w: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284,091</w:t>
            </w: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Deposits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4,152</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7,954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8,481</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22,214</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3,470</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7,003</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8,045</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Purchased</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Short-Term Borrowings</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w:t>
            </w: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 Debt</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243</w:t>
            </w: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440</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576</w:t>
            </w: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1,024</w:t>
            </w:r>
          </w:p>
        </w:tc>
      </w:tr>
      <w:tr>
        <w:trPr>
          <w:trHeight w:val="209"/>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Interest Expense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7,865</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12,454</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16,061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31,434</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Interest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123,514</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126,691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244,083</w:t>
            </w: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252,657</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Credit Losses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(16,100)</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40,400</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74,000</w:t>
            </w:r>
          </w:p>
        </w:tc>
      </w:tr>
      <w:tr>
        <w:trPr>
          <w:trHeight w:val="209"/>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139,614</w:t>
            </w: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86,291</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274,483</w:t>
            </w: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178,657</w:t>
            </w: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Noninterest Income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Trust and Asset Management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11,682</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10,550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22,960</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21,465</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Mortgage Banking</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3,058</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8,920</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6,973</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on Deposit Accounts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6,065</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5,097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12,193</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12,548</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Fees, Exchange, and Other Service Charges</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13,807</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9,417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27,414</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22,617</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Gains, Net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2,423</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13,216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1,220</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12,246</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Annuity and Insurance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911</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1,613</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1,811</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Bank-Owned Life Insurance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2,063</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3,980</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3,229</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4,422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6,178</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9,101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16,528</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Income</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44,431</w:t>
            </w: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51,268</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87,401</w:t>
            </w: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97,417</w:t>
            </w: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Noninterest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Salaries and Benefits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56,161</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50,715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112,412</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105,178</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Net Occupancy</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5,047</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8,761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14,137</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17,716</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Equipment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8,796</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8,195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17,674</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16,651</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Data Processing</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4,557</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10,879</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9,204</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3,114</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3,061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6,520</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6,269</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FDIC Insurance</w:t>
            </w: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1,669</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3,323</w:t>
            </w: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3,014</w:t>
            </w: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17,183</w:t>
            </w: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12,186</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30,447</w:t>
            </w: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27,172</w:t>
            </w:r>
          </w:p>
        </w:tc>
      </w:tr>
      <w:tr>
        <w:trPr>
          <w:trHeight w:val="21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Noninterest Expense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96,527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88,892</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195,392</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185,204</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87,518</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48,667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166,492</w:t>
            </w: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90,870</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19,985</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9,759</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39,010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17,220</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67,533</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38,908</w:t>
            </w: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127,482</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73,650</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0.98</w:t>
            </w:r>
          </w:p>
        </w:tc>
        <w:tc>
          <w:tcPr>
            <w:tcW w:w="1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1.86</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1.68</w:t>
            </w:r>
          </w:p>
        </w:tc>
        <w:tc>
          <w:tcPr>
            <w:tcW w:w="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0.98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3.18</w:t>
            </w:r>
          </w:p>
        </w:tc>
        <w:tc>
          <w:tcPr>
            <w:tcW w:w="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0.67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0.67</w:t>
            </w:r>
          </w:p>
        </w:tc>
        <w:tc>
          <w:tcPr>
            <w:tcW w:w="1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1.34</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Basic Weighted Average Common Shares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39,902,583</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39,703,735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39,865,268</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39,692,695</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Diluted Weighted Average Common Shares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40,122,905</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39,832,475</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40,096,527</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39,873,334</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67,533</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38,908</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127,482</w:t>
            </w:r>
          </w:p>
        </w:tc>
        <w:tc>
          <w:tcPr>
            <w:tcW w:w="66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73,650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Unrealized Gains (Losses) on Investment Securities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(123)</w:t>
            </w: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7,730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(50,173)</w:t>
            </w: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49,289</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Defined Benefit Plans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442</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883</w:t>
            </w: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748</w:t>
            </w:r>
          </w:p>
        </w:tc>
      </w:tr>
      <w:tr>
        <w:trPr>
          <w:trHeight w:val="209"/>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319</w:t>
            </w:r>
          </w:p>
        </w:tc>
        <w:tc>
          <w:tcPr>
            <w:tcW w:w="7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8,104</w:t>
            </w:r>
          </w:p>
        </w:tc>
        <w:tc>
          <w:tcPr>
            <w:tcW w:w="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(49,290)</w:t>
            </w:r>
          </w:p>
        </w:tc>
        <w:tc>
          <w:tcPr>
            <w:tcW w:w="6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50,037</w:t>
            </w:r>
          </w:p>
        </w:tc>
      </w:tr>
      <w:tr>
        <w:trPr>
          <w:trHeight w:val="209"/>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67,852</w:t>
            </w:r>
          </w:p>
        </w:tc>
        <w:tc>
          <w:tcPr>
            <w:tcW w:w="7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47,012</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78,192</w:t>
            </w:r>
          </w:p>
        </w:tc>
        <w:tc>
          <w:tcPr>
            <w:tcW w:w="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123,687</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Interest-Bearing Deposits in Other Banks</w:t>
            </w:r>
          </w:p>
        </w:tc>
        <w:tc>
          <w:tcPr>
            <w:tcW w:w="22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2,584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1,646</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Funds Sold</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909,730</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333,022</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Investment Securities</w:t>
            </w:r>
          </w:p>
        </w:tc>
        <w:tc>
          <w:tcPr>
            <w:tcW w:w="2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Available-for-Sale</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4,522,941</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3,791,689</w:t>
            </w: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Held-to-Maturity (Fair Value of $3,965,117 and $3,348,693)</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3,947,613</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3,262,727</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Loans Held for Sale</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47,490</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82,565</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Loans and Leases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12,041,378</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11,940,020</w:t>
            </w:r>
          </w:p>
        </w:tc>
      </w:tr>
      <w:tr>
        <w:trPr>
          <w:trHeight w:val="216"/>
        </w:trPr>
        <w:tc>
          <w:tcPr>
            <w:tcW w:w="59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Allowance for Credit Losses</w:t>
            </w:r>
          </w:p>
        </w:tc>
        <w:tc>
          <w:tcPr>
            <w:tcW w:w="2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(180,385)</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(216,252)</w:t>
            </w:r>
          </w:p>
        </w:tc>
      </w:tr>
      <w:tr>
        <w:trPr>
          <w:trHeight w:val="209"/>
        </w:trPr>
        <w:tc>
          <w:tcPr>
            <w:tcW w:w="59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Net Loans and Leases</w:t>
            </w:r>
          </w:p>
        </w:tc>
        <w:tc>
          <w:tcPr>
            <w:tcW w:w="2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11,860,993</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11,723,768</w:t>
            </w:r>
          </w:p>
        </w:tc>
      </w:tr>
      <w:tr>
        <w:trPr>
          <w:trHeight w:val="209"/>
        </w:trPr>
        <w:tc>
          <w:tcPr>
            <w:tcW w:w="5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Earning Assets</w:t>
            </w:r>
          </w:p>
        </w:tc>
        <w:tc>
          <w:tcPr>
            <w:tcW w:w="2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21,291,351</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19,195,417</w:t>
            </w:r>
          </w:p>
        </w:tc>
      </w:tr>
      <w:tr>
        <w:trPr>
          <w:trHeight w:val="210"/>
        </w:trPr>
        <w:tc>
          <w:tcPr>
            <w:tcW w:w="596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269,153</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279,420</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Premises and Equipment, Net</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198,508</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199,695</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97,264</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99,542</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Receivable</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47,046</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49,303</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Foreclosed Real Estate</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2,332</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2,332</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21,473</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19,652</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Goodwill</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31,517</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Bank-Owned Life Insurance</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292,805</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291,480</w:t>
            </w:r>
          </w:p>
        </w:tc>
      </w:tr>
      <w:tr>
        <w:trPr>
          <w:trHeight w:val="213"/>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2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420,734</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435,293</w:t>
            </w:r>
          </w:p>
        </w:tc>
      </w:tr>
      <w:tr>
        <w:trPr>
          <w:trHeight w:val="210"/>
        </w:trPr>
        <w:tc>
          <w:tcPr>
            <w:tcW w:w="5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22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22,672,183</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20,603,651</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59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Deposits</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Noninterest-Bearing Demand</w:t>
            </w:r>
          </w:p>
        </w:tc>
        <w:tc>
          <w:tcPr>
            <w:tcW w:w="22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6,570,232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5,749,612</w:t>
            </w: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Interest-Bearing Demand</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4,498,825</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4,040,733</w:t>
            </w: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Savings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7,704,575</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6,759,213</w:t>
            </w:r>
          </w:p>
        </w:tc>
      </w:tr>
      <w:tr>
        <w:trPr>
          <w:trHeight w:val="216"/>
        </w:trPr>
        <w:tc>
          <w:tcPr>
            <w:tcW w:w="59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Time</w:t>
            </w:r>
          </w:p>
        </w:tc>
        <w:tc>
          <w:tcPr>
            <w:tcW w:w="2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1,396,077</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1,662,063</w:t>
            </w: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Deposits</w:t>
            </w:r>
          </w:p>
        </w:tc>
        <w:tc>
          <w:tcPr>
            <w:tcW w:w="2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20,169,709</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18,211,621</w:t>
            </w: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Securities Sold Under Agreements to Repurchase</w:t>
            </w:r>
          </w:p>
        </w:tc>
        <w:tc>
          <w:tcPr>
            <w:tcW w:w="2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550,490</w:t>
            </w: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600,590</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Other Debt</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10,437</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60,481</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105,380</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107,412</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Retirement Benefits Payable</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50,260</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51,197</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3,879</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5,117</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Taxes Payable and Deferred Taxes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11,844</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2,463</w:t>
            </w:r>
          </w:p>
        </w:tc>
      </w:tr>
      <w:tr>
        <w:trPr>
          <w:trHeight w:val="216"/>
        </w:trPr>
        <w:tc>
          <w:tcPr>
            <w:tcW w:w="5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186,653</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190,263</w:t>
            </w: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Liabilities</w:t>
            </w:r>
          </w:p>
        </w:tc>
        <w:tc>
          <w:tcPr>
            <w:tcW w:w="2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21,088,652</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19,229,144</w:t>
            </w: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2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rPr>
              <w:t>Preferred Stock ($.01 par value; authorized 180,000 shares;</w:t>
            </w:r>
          </w:p>
        </w:tc>
        <w:tc>
          <w:tcPr>
            <w:tcW w:w="2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5960" w:type="dxa"/>
            <w:vAlign w:val="bottom"/>
          </w:tcPr>
          <w:p>
            <w:pPr>
              <w:ind w:left="120"/>
              <w:spacing w:after="0"/>
              <w:rPr>
                <w:sz w:val="20"/>
                <w:szCs w:val="20"/>
                <w:color w:val="auto"/>
              </w:rPr>
            </w:pPr>
            <w:r>
              <w:rPr>
                <w:rFonts w:ascii="Arial" w:cs="Arial" w:eastAsia="Arial" w:hAnsi="Arial"/>
                <w:sz w:val="16"/>
                <w:szCs w:val="16"/>
                <w:color w:val="auto"/>
              </w:rPr>
              <w:t>issued and outstanding: June 30, 2021 - 180,000 shares)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180,000</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Common Stock ($.01 par value; authorized 500,000,000 shares;</w:t>
            </w:r>
          </w:p>
        </w:tc>
        <w:tc>
          <w:tcPr>
            <w:tcW w:w="2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3"/>
        </w:trPr>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issued / outstanding: June 30, 2021 - 58,557,754 / 40,465,482</w:t>
            </w:r>
          </w:p>
        </w:tc>
        <w:tc>
          <w:tcPr>
            <w:tcW w:w="2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12"/>
        </w:trPr>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December 31, 2020 - 58,285,624 / 40,119,312)</w:t>
            </w:r>
          </w:p>
        </w:tc>
        <w:tc>
          <w:tcPr>
            <w:tcW w:w="2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580</w:t>
            </w: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580</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Capital Surplus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594,261</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591,360</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Income (Loss)</w:t>
            </w:r>
          </w:p>
        </w:tc>
        <w:tc>
          <w:tcPr>
            <w:tcW w:w="2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(41,468)</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7,822</w:t>
            </w: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Retained Earnings</w:t>
            </w:r>
          </w:p>
        </w:tc>
        <w:tc>
          <w:tcPr>
            <w:tcW w:w="2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1,884,431</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1,811,979</w:t>
            </w: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Treasury Stock, at Cost (Shares; June 30, 2021 - 18,092,272</w:t>
            </w:r>
          </w:p>
        </w:tc>
        <w:tc>
          <w:tcPr>
            <w:tcW w:w="2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9"/>
        </w:trPr>
        <w:tc>
          <w:tcPr>
            <w:tcW w:w="59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and December 31, 2020 - 18,166,312)</w:t>
            </w:r>
          </w:p>
        </w:tc>
        <w:tc>
          <w:tcPr>
            <w:tcW w:w="2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(1,034,273)</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(1,037,234)</w:t>
            </w: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Shareholders’ Equity</w:t>
            </w:r>
          </w:p>
        </w:tc>
        <w:tc>
          <w:tcPr>
            <w:tcW w:w="2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1,583,531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1,374,507</w:t>
            </w:r>
          </w:p>
        </w:tc>
      </w:tr>
      <w:tr>
        <w:trPr>
          <w:trHeight w:val="209"/>
        </w:trPr>
        <w:tc>
          <w:tcPr>
            <w:tcW w:w="5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2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22,672,183</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20,603,651</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b w:val="1"/>
                <w:bCs w:val="1"/>
                <w:color w:val="auto"/>
              </w:rPr>
              <w:t>Preferred</w:t>
            </w: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Common</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80"/>
              <w:spacing w:after="0" w:line="153" w:lineRule="exact"/>
              <w:rPr>
                <w:sz w:val="20"/>
                <w:szCs w:val="20"/>
                <w:color w:val="auto"/>
              </w:rPr>
            </w:pPr>
            <w:r>
              <w:rPr>
                <w:rFonts w:ascii="Arial" w:cs="Arial" w:eastAsia="Arial" w:hAnsi="Arial"/>
                <w:sz w:val="14"/>
                <w:szCs w:val="14"/>
                <w:b w:val="1"/>
                <w:bCs w:val="1"/>
                <w:color w:val="auto"/>
              </w:rPr>
              <w:t>Accum. Other</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Preferred</w:t>
            </w: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Common</w:t>
            </w:r>
          </w:p>
        </w:tc>
        <w:tc>
          <w:tcPr>
            <w:tcW w:w="260" w:type="dxa"/>
            <w:vAlign w:val="bottom"/>
          </w:tcPr>
          <w:p>
            <w:pPr>
              <w:spacing w:after="0"/>
              <w:rPr>
                <w:sz w:val="12"/>
                <w:szCs w:val="12"/>
                <w:color w:val="auto"/>
              </w:rPr>
            </w:pPr>
          </w:p>
        </w:tc>
        <w:tc>
          <w:tcPr>
            <w:tcW w:w="7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rPr>
              <w:t>Compre-</w:t>
            </w:r>
          </w:p>
        </w:tc>
        <w:tc>
          <w:tcPr>
            <w:tcW w:w="180" w:type="dxa"/>
            <w:vAlign w:val="bottom"/>
          </w:tcPr>
          <w:p>
            <w:pPr>
              <w:spacing w:after="0"/>
              <w:rPr>
                <w:sz w:val="12"/>
                <w:szCs w:val="12"/>
                <w:color w:val="auto"/>
              </w:rPr>
            </w:pPr>
          </w:p>
        </w:tc>
        <w:tc>
          <w:tcPr>
            <w:tcW w:w="7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7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7"/>
              </w:rPr>
              <w:t>Treasury</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rPr>
              <w:t>hensive</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Stock</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Stock</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Surplus</w:t>
            </w:r>
          </w:p>
        </w:tc>
        <w:tc>
          <w:tcPr>
            <w:tcW w:w="10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Income(Loss)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2020</w:t>
            </w:r>
          </w:p>
        </w:tc>
        <w:tc>
          <w:tcPr>
            <w:tcW w:w="1120" w:type="dxa"/>
            <w:vAlign w:val="bottom"/>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40,119,312</w:t>
            </w: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6"/>
              <w:spacing w:after="0" w:line="142" w:lineRule="exact"/>
              <w:rPr>
                <w:sz w:val="20"/>
                <w:szCs w:val="20"/>
                <w:color w:val="auto"/>
              </w:rPr>
            </w:pPr>
            <w:r>
              <w:rPr>
                <w:rFonts w:ascii="Arial" w:cs="Arial" w:eastAsia="Arial" w:hAnsi="Arial"/>
                <w:sz w:val="13"/>
                <w:szCs w:val="13"/>
                <w:color w:val="auto"/>
              </w:rPr>
              <w:t>580</w:t>
            </w:r>
          </w:p>
        </w:tc>
        <w:tc>
          <w:tcPr>
            <w:tcW w:w="2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591,360</w:t>
            </w:r>
          </w:p>
        </w:tc>
        <w:tc>
          <w:tcPr>
            <w:tcW w:w="260" w:type="dxa"/>
            <w:vAlign w:val="bottom"/>
            <w:shd w:val="clear" w:color="auto" w:fill="CFF0FC"/>
          </w:tcPr>
          <w:p>
            <w:pPr>
              <w:ind w:left="80"/>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7,822</w:t>
            </w: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1,811,979</w:t>
            </w: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16"/>
              <w:spacing w:after="0" w:line="142" w:lineRule="exact"/>
              <w:rPr>
                <w:sz w:val="20"/>
                <w:szCs w:val="20"/>
                <w:color w:val="auto"/>
              </w:rPr>
            </w:pPr>
            <w:r>
              <w:rPr>
                <w:rFonts w:ascii="Arial" w:cs="Arial" w:eastAsia="Arial" w:hAnsi="Arial"/>
                <w:sz w:val="13"/>
                <w:szCs w:val="13"/>
                <w:color w:val="auto"/>
                <w:w w:val="96"/>
              </w:rPr>
              <w:t>(1,037,234)</w:t>
            </w:r>
          </w:p>
        </w:tc>
        <w:tc>
          <w:tcPr>
            <w:tcW w:w="22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6"/>
              </w:rPr>
              <w:t>1,374,507</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59,949</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59,949</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Loss</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(49,609)</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(49,609)</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2,780</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2,780</w:t>
            </w:r>
          </w:p>
        </w:tc>
        <w:tc>
          <w:tcPr>
            <w:tcW w:w="0" w:type="dxa"/>
            <w:vAlign w:val="bottom"/>
          </w:tcPr>
          <w:p>
            <w:pPr>
              <w:spacing w:after="0"/>
              <w:rPr>
                <w:sz w:val="1"/>
                <w:szCs w:val="1"/>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Common Stock Issued under Purchase and</w:t>
            </w:r>
          </w:p>
        </w:tc>
        <w:tc>
          <w:tcPr>
            <w:tcW w:w="1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 Compensation Plans</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310,905</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664</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(845)</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2,990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2,809</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20"/>
                <w:szCs w:val="20"/>
                <w:color w:val="auto"/>
              </w:rPr>
            </w:pPr>
            <w:r>
              <w:rPr>
                <w:rFonts w:ascii="Arial" w:cs="Arial" w:eastAsia="Arial" w:hAnsi="Arial"/>
                <w:sz w:val="13"/>
                <w:szCs w:val="13"/>
                <w:color w:val="auto"/>
              </w:rPr>
              <w:t>Common Stock Repurchased</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(35,983)</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(3,189)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(3,189)</w:t>
            </w:r>
          </w:p>
        </w:tc>
        <w:tc>
          <w:tcPr>
            <w:tcW w:w="0" w:type="dxa"/>
            <w:vAlign w:val="bottom"/>
          </w:tcPr>
          <w:p>
            <w:pPr>
              <w:spacing w:after="0"/>
              <w:rPr>
                <w:sz w:val="1"/>
                <w:szCs w:val="1"/>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Cash Dividends Declared Common Stock</w:t>
            </w:r>
          </w:p>
        </w:tc>
        <w:tc>
          <w:tcPr>
            <w:tcW w:w="1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($0.67 per share)</w:t>
            </w: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(27,026)</w:t>
            </w: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(27,026)</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Balance as of March 31, 2021</w:t>
            </w:r>
          </w:p>
        </w:tc>
        <w:tc>
          <w:tcPr>
            <w:tcW w:w="11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3"/>
                <w:szCs w:val="13"/>
                <w:color w:val="auto"/>
              </w:rPr>
              <w:t>40,394,234</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color w:val="auto"/>
              </w:rPr>
              <w:t>580</w:t>
            </w:r>
          </w:p>
        </w:tc>
        <w:tc>
          <w:tcPr>
            <w:tcW w:w="2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3"/>
                <w:szCs w:val="13"/>
                <w:color w:val="auto"/>
              </w:rPr>
              <w:t>594,804</w:t>
            </w:r>
          </w:p>
        </w:tc>
        <w:tc>
          <w:tcPr>
            <w:tcW w:w="2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auto"/>
              </w:rPr>
              <w:t>(41,787)</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3"/>
                <w:szCs w:val="13"/>
                <w:color w:val="auto"/>
              </w:rPr>
              <w:t>1,844,057</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auto"/>
                <w:w w:val="96"/>
              </w:rPr>
              <w:t>(1,037,433)</w:t>
            </w:r>
          </w:p>
        </w:tc>
        <w:tc>
          <w:tcPr>
            <w:tcW w:w="2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w w:val="96"/>
              </w:rPr>
              <w:t>1,360,221</w:t>
            </w:r>
          </w:p>
        </w:tc>
        <w:tc>
          <w:tcPr>
            <w:tcW w:w="0" w:type="dxa"/>
            <w:vAlign w:val="bottom"/>
          </w:tcPr>
          <w:p>
            <w:pPr>
              <w:spacing w:after="0"/>
              <w:rPr>
                <w:sz w:val="1"/>
                <w:szCs w:val="1"/>
                <w:color w:val="auto"/>
              </w:rPr>
            </w:pPr>
          </w:p>
        </w:tc>
      </w:tr>
      <w:tr>
        <w:trPr>
          <w:trHeight w:val="142"/>
        </w:trPr>
        <w:tc>
          <w:tcPr>
            <w:tcW w:w="2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67,533</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67,533</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319</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3,342</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3,342</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 Issued, Net</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180,000</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180,000</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(4,513)</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175,487</w:t>
            </w:r>
          </w:p>
        </w:tc>
        <w:tc>
          <w:tcPr>
            <w:tcW w:w="0" w:type="dxa"/>
            <w:vAlign w:val="bottom"/>
          </w:tcPr>
          <w:p>
            <w:pPr>
              <w:spacing w:after="0"/>
              <w:rPr>
                <w:sz w:val="1"/>
                <w:szCs w:val="1"/>
                <w:color w:val="auto"/>
              </w:rPr>
            </w:pPr>
          </w:p>
        </w:tc>
      </w:tr>
      <w:tr>
        <w:trPr>
          <w:trHeight w:val="134"/>
        </w:trPr>
        <w:tc>
          <w:tcPr>
            <w:tcW w:w="2480" w:type="dxa"/>
            <w:vAlign w:val="bottom"/>
          </w:tcPr>
          <w:p>
            <w:pPr>
              <w:spacing w:after="0" w:line="134" w:lineRule="exact"/>
              <w:rPr>
                <w:sz w:val="20"/>
                <w:szCs w:val="20"/>
                <w:color w:val="auto"/>
              </w:rPr>
            </w:pPr>
            <w:r>
              <w:rPr>
                <w:rFonts w:ascii="Arial" w:cs="Arial" w:eastAsia="Arial" w:hAnsi="Arial"/>
                <w:sz w:val="13"/>
                <w:szCs w:val="13"/>
                <w:color w:val="auto"/>
                <w:w w:val="97"/>
              </w:rPr>
              <w:t>Common Stock Issued under Purchase and</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100"/>
              <w:spacing w:after="0"/>
              <w:rPr>
                <w:sz w:val="20"/>
                <w:szCs w:val="20"/>
                <w:color w:val="auto"/>
              </w:rPr>
            </w:pPr>
            <w:r>
              <w:rPr>
                <w:rFonts w:ascii="Arial" w:cs="Arial" w:eastAsia="Arial" w:hAnsi="Arial"/>
                <w:sz w:val="13"/>
                <w:szCs w:val="13"/>
                <w:color w:val="auto"/>
              </w:rPr>
              <w:t>Equity Compensation Plans</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72,421</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628</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(46)</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3,269</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3,851</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Common Stock Repurchased</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(1,173)</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(109)</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34"/>
        </w:trPr>
        <w:tc>
          <w:tcPr>
            <w:tcW w:w="2480" w:type="dxa"/>
            <w:vAlign w:val="bottom"/>
          </w:tcPr>
          <w:p>
            <w:pPr>
              <w:spacing w:after="0" w:line="134" w:lineRule="exact"/>
              <w:rPr>
                <w:sz w:val="20"/>
                <w:szCs w:val="20"/>
                <w:color w:val="auto"/>
              </w:rPr>
            </w:pPr>
            <w:r>
              <w:rPr>
                <w:rFonts w:ascii="Arial" w:cs="Arial" w:eastAsia="Arial" w:hAnsi="Arial"/>
                <w:sz w:val="13"/>
                <w:szCs w:val="13"/>
                <w:color w:val="auto"/>
              </w:rPr>
              <w:t>Cash Dividends Declared Common Stock</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($0.67 per share)</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(27,113)</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(27,113)</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June 30, 2021</w:t>
            </w:r>
          </w:p>
        </w:tc>
        <w:tc>
          <w:tcPr>
            <w:tcW w:w="1120" w:type="dxa"/>
            <w:vAlign w:val="bottom"/>
            <w:tcBorders>
              <w:bottom w:val="single" w:sz="8" w:color="auto"/>
            </w:tcBorders>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180,000</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180,000</w:t>
            </w:r>
          </w:p>
        </w:tc>
        <w:tc>
          <w:tcPr>
            <w:tcW w:w="100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40,465,482</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ind w:right="36"/>
              <w:spacing w:after="0" w:line="142" w:lineRule="exact"/>
              <w:rPr>
                <w:sz w:val="20"/>
                <w:szCs w:val="20"/>
                <w:color w:val="auto"/>
              </w:rPr>
            </w:pPr>
            <w:r>
              <w:rPr>
                <w:rFonts w:ascii="Arial" w:cs="Arial" w:eastAsia="Arial" w:hAnsi="Arial"/>
                <w:sz w:val="13"/>
                <w:szCs w:val="13"/>
                <w:color w:val="auto"/>
              </w:rPr>
              <w:t>580</w:t>
            </w:r>
          </w:p>
        </w:tc>
        <w:tc>
          <w:tcPr>
            <w:tcW w:w="2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594,261</w:t>
            </w:r>
          </w:p>
        </w:tc>
        <w:tc>
          <w:tcPr>
            <w:tcW w:w="260" w:type="dxa"/>
            <w:vAlign w:val="bottom"/>
            <w:tcBorders>
              <w:bottom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ind w:right="16"/>
              <w:spacing w:after="0" w:line="142" w:lineRule="exact"/>
              <w:rPr>
                <w:sz w:val="20"/>
                <w:szCs w:val="20"/>
                <w:color w:val="auto"/>
              </w:rPr>
            </w:pPr>
            <w:r>
              <w:rPr>
                <w:rFonts w:ascii="Arial" w:cs="Arial" w:eastAsia="Arial" w:hAnsi="Arial"/>
                <w:sz w:val="13"/>
                <w:szCs w:val="13"/>
                <w:color w:val="auto"/>
              </w:rPr>
              <w:t>(41,468)</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1,884,431</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16"/>
              <w:spacing w:after="0" w:line="142" w:lineRule="exact"/>
              <w:rPr>
                <w:sz w:val="20"/>
                <w:szCs w:val="20"/>
                <w:color w:val="auto"/>
              </w:rPr>
            </w:pPr>
            <w:r>
              <w:rPr>
                <w:rFonts w:ascii="Arial" w:cs="Arial" w:eastAsia="Arial" w:hAnsi="Arial"/>
                <w:sz w:val="13"/>
                <w:szCs w:val="13"/>
                <w:color w:val="auto"/>
                <w:w w:val="96"/>
              </w:rPr>
              <w:t>(1,034,273)</w:t>
            </w:r>
          </w:p>
        </w:tc>
        <w:tc>
          <w:tcPr>
            <w:tcW w:w="22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6"/>
              </w:rPr>
              <w:t>1,583,531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2019</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40,039,695</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579</w:t>
            </w:r>
          </w:p>
        </w:tc>
        <w:tc>
          <w:tcPr>
            <w:tcW w:w="2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582,566</w:t>
            </w:r>
          </w:p>
        </w:tc>
        <w:tc>
          <w:tcPr>
            <w:tcW w:w="260" w:type="dxa"/>
            <w:vAlign w:val="bottom"/>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(31,112)</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1,761,415</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w w:val="96"/>
              </w:rPr>
              <w:t>(1,026,616)</w:t>
            </w: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96"/>
              </w:rPr>
              <w:t>1,286,832</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34,742</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34,742</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41,933</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41,933</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20"/>
                <w:szCs w:val="20"/>
                <w:color w:val="auto"/>
              </w:rPr>
            </w:pPr>
            <w:r>
              <w:rPr>
                <w:rFonts w:ascii="Arial" w:cs="Arial" w:eastAsia="Arial" w:hAnsi="Arial"/>
                <w:sz w:val="13"/>
                <w:szCs w:val="13"/>
                <w:color w:val="auto"/>
                <w:w w:val="98"/>
              </w:rPr>
              <w:t>Cumulative Change in Accounting Principle</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3,632</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3,632</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Share-Based Compensation</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1,497</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134"/>
        </w:trPr>
        <w:tc>
          <w:tcPr>
            <w:tcW w:w="2480" w:type="dxa"/>
            <w:vAlign w:val="bottom"/>
          </w:tcPr>
          <w:p>
            <w:pPr>
              <w:spacing w:after="0" w:line="134" w:lineRule="exact"/>
              <w:rPr>
                <w:sz w:val="20"/>
                <w:szCs w:val="20"/>
                <w:color w:val="auto"/>
              </w:rPr>
            </w:pPr>
            <w:r>
              <w:rPr>
                <w:rFonts w:ascii="Arial" w:cs="Arial" w:eastAsia="Arial" w:hAnsi="Arial"/>
                <w:sz w:val="13"/>
                <w:szCs w:val="13"/>
                <w:color w:val="auto"/>
                <w:w w:val="97"/>
              </w:rPr>
              <w:t>Common Stock Issued under Purchase and</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100"/>
              <w:spacing w:after="0"/>
              <w:rPr>
                <w:sz w:val="20"/>
                <w:szCs w:val="20"/>
                <w:color w:val="auto"/>
              </w:rPr>
            </w:pPr>
            <w:r>
              <w:rPr>
                <w:rFonts w:ascii="Arial" w:cs="Arial" w:eastAsia="Arial" w:hAnsi="Arial"/>
                <w:sz w:val="13"/>
                <w:szCs w:val="13"/>
                <w:color w:val="auto"/>
              </w:rPr>
              <w:t>Equity Compensation Plans</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154,091</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329</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653</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2,779</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3,761</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Common Stock Repurchased</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(197,276)</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(17,633)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(17,633)</w:t>
            </w:r>
          </w:p>
        </w:tc>
        <w:tc>
          <w:tcPr>
            <w:tcW w:w="0" w:type="dxa"/>
            <w:vAlign w:val="bottom"/>
          </w:tcPr>
          <w:p>
            <w:pPr>
              <w:spacing w:after="0"/>
              <w:rPr>
                <w:sz w:val="1"/>
                <w:szCs w:val="1"/>
                <w:color w:val="auto"/>
              </w:rPr>
            </w:pPr>
          </w:p>
        </w:tc>
      </w:tr>
      <w:tr>
        <w:trPr>
          <w:trHeight w:val="134"/>
        </w:trPr>
        <w:tc>
          <w:tcPr>
            <w:tcW w:w="2480" w:type="dxa"/>
            <w:vAlign w:val="bottom"/>
          </w:tcPr>
          <w:p>
            <w:pPr>
              <w:spacing w:after="0" w:line="134" w:lineRule="exact"/>
              <w:rPr>
                <w:sz w:val="20"/>
                <w:szCs w:val="20"/>
                <w:color w:val="auto"/>
              </w:rPr>
            </w:pPr>
            <w:r>
              <w:rPr>
                <w:rFonts w:ascii="Arial" w:cs="Arial" w:eastAsia="Arial" w:hAnsi="Arial"/>
                <w:sz w:val="13"/>
                <w:szCs w:val="13"/>
                <w:color w:val="auto"/>
              </w:rPr>
              <w:t>Cash Dividends Declared Common Stock</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($0.67 per share)</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(26,835)</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(26,835)</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March 31, 2020</w:t>
            </w:r>
          </w:p>
        </w:tc>
        <w:tc>
          <w:tcPr>
            <w:tcW w:w="1120" w:type="dxa"/>
            <w:vAlign w:val="bottom"/>
            <w:tcBorders>
              <w:bottom w:val="single" w:sz="8" w:color="auto"/>
            </w:tcBorders>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39,996,510</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ind w:right="36"/>
              <w:spacing w:after="0" w:line="142" w:lineRule="exact"/>
              <w:rPr>
                <w:sz w:val="20"/>
                <w:szCs w:val="20"/>
                <w:color w:val="auto"/>
              </w:rPr>
            </w:pPr>
            <w:r>
              <w:rPr>
                <w:rFonts w:ascii="Arial" w:cs="Arial" w:eastAsia="Arial" w:hAnsi="Arial"/>
                <w:sz w:val="13"/>
                <w:szCs w:val="13"/>
                <w:color w:val="auto"/>
              </w:rPr>
              <w:t>579</w:t>
            </w:r>
          </w:p>
        </w:tc>
        <w:tc>
          <w:tcPr>
            <w:tcW w:w="2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584,392</w:t>
            </w:r>
          </w:p>
        </w:tc>
        <w:tc>
          <w:tcPr>
            <w:tcW w:w="260" w:type="dxa"/>
            <w:vAlign w:val="bottom"/>
            <w:tcBorders>
              <w:bottom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10,821</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1,773,607</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16"/>
              <w:spacing w:after="0" w:line="142" w:lineRule="exact"/>
              <w:rPr>
                <w:sz w:val="20"/>
                <w:szCs w:val="20"/>
                <w:color w:val="auto"/>
              </w:rPr>
            </w:pPr>
            <w:r>
              <w:rPr>
                <w:rFonts w:ascii="Arial" w:cs="Arial" w:eastAsia="Arial" w:hAnsi="Arial"/>
                <w:sz w:val="13"/>
                <w:szCs w:val="13"/>
                <w:color w:val="auto"/>
                <w:w w:val="96"/>
              </w:rPr>
              <w:t>(1,041,470)</w:t>
            </w:r>
          </w:p>
        </w:tc>
        <w:tc>
          <w:tcPr>
            <w:tcW w:w="22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6"/>
              </w:rPr>
              <w:t>1,327,929</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38,908</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38,908</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8,104</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8,104</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Share-Based Compensation</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2,207</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134"/>
        </w:trPr>
        <w:tc>
          <w:tcPr>
            <w:tcW w:w="2480" w:type="dxa"/>
            <w:vAlign w:val="bottom"/>
          </w:tcPr>
          <w:p>
            <w:pPr>
              <w:spacing w:after="0" w:line="134" w:lineRule="exact"/>
              <w:rPr>
                <w:sz w:val="20"/>
                <w:szCs w:val="20"/>
                <w:color w:val="auto"/>
              </w:rPr>
            </w:pPr>
            <w:r>
              <w:rPr>
                <w:rFonts w:ascii="Arial" w:cs="Arial" w:eastAsia="Arial" w:hAnsi="Arial"/>
                <w:sz w:val="13"/>
                <w:szCs w:val="13"/>
                <w:color w:val="auto"/>
                <w:w w:val="97"/>
              </w:rPr>
              <w:t>Common Stock Issued under Purchase and</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100"/>
              <w:spacing w:after="0"/>
              <w:rPr>
                <w:sz w:val="20"/>
                <w:szCs w:val="20"/>
                <w:color w:val="auto"/>
              </w:rPr>
            </w:pPr>
            <w:r>
              <w:rPr>
                <w:rFonts w:ascii="Arial" w:cs="Arial" w:eastAsia="Arial" w:hAnsi="Arial"/>
                <w:sz w:val="13"/>
                <w:szCs w:val="13"/>
                <w:color w:val="auto"/>
              </w:rPr>
              <w:t>Equity Compensation Plans</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53,672</w:t>
            </w:r>
          </w:p>
        </w:tc>
        <w:tc>
          <w:tcPr>
            <w:tcW w:w="180" w:type="dxa"/>
            <w:vAlign w:val="bottom"/>
          </w:tcPr>
          <w:p>
            <w:pPr>
              <w:spacing w:after="0"/>
              <w:rPr>
                <w:sz w:val="12"/>
                <w:szCs w:val="1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347</w:t>
            </w:r>
          </w:p>
        </w:tc>
        <w:tc>
          <w:tcPr>
            <w:tcW w:w="260" w:type="dxa"/>
            <w:vAlign w:val="bottom"/>
          </w:tcPr>
          <w:p>
            <w:pPr>
              <w:spacing w:after="0"/>
              <w:rPr>
                <w:sz w:val="12"/>
                <w:szCs w:val="12"/>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680</w:t>
            </w:r>
          </w:p>
        </w:tc>
        <w:tc>
          <w:tcPr>
            <w:tcW w:w="180" w:type="dxa"/>
            <w:vAlign w:val="bottom"/>
          </w:tcPr>
          <w:p>
            <w:pPr>
              <w:spacing w:after="0"/>
              <w:rPr>
                <w:sz w:val="12"/>
                <w:szCs w:val="1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898</w:t>
            </w:r>
          </w:p>
        </w:tc>
        <w:tc>
          <w:tcPr>
            <w:tcW w:w="22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1,926</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Common Stock Repurchased</w:t>
            </w: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(2,488)</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(148)</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34"/>
        </w:trPr>
        <w:tc>
          <w:tcPr>
            <w:tcW w:w="2480" w:type="dxa"/>
            <w:vAlign w:val="bottom"/>
          </w:tcPr>
          <w:p>
            <w:pPr>
              <w:spacing w:after="0" w:line="134" w:lineRule="exact"/>
              <w:rPr>
                <w:sz w:val="20"/>
                <w:szCs w:val="20"/>
                <w:color w:val="auto"/>
              </w:rPr>
            </w:pPr>
            <w:r>
              <w:rPr>
                <w:rFonts w:ascii="Arial" w:cs="Arial" w:eastAsia="Arial" w:hAnsi="Arial"/>
                <w:sz w:val="13"/>
                <w:szCs w:val="13"/>
                <w:color w:val="auto"/>
              </w:rPr>
              <w:t>Cash Dividends Declared Common Stock</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($0.67 per share)</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(26,844)</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(26,844)</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June 30, 2020</w:t>
            </w:r>
          </w:p>
        </w:tc>
        <w:tc>
          <w:tcPr>
            <w:tcW w:w="1120" w:type="dxa"/>
            <w:vAlign w:val="bottom"/>
            <w:tcBorders>
              <w:bottom w:val="single" w:sz="8" w:color="auto"/>
            </w:tcBorders>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40,047,694</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ind w:right="36"/>
              <w:spacing w:after="0" w:line="142" w:lineRule="exact"/>
              <w:rPr>
                <w:sz w:val="20"/>
                <w:szCs w:val="20"/>
                <w:color w:val="auto"/>
              </w:rPr>
            </w:pPr>
            <w:r>
              <w:rPr>
                <w:rFonts w:ascii="Arial" w:cs="Arial" w:eastAsia="Arial" w:hAnsi="Arial"/>
                <w:sz w:val="13"/>
                <w:szCs w:val="13"/>
                <w:color w:val="auto"/>
              </w:rPr>
              <w:t>580</w:t>
            </w:r>
          </w:p>
        </w:tc>
        <w:tc>
          <w:tcPr>
            <w:tcW w:w="2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586,946</w:t>
            </w:r>
          </w:p>
        </w:tc>
        <w:tc>
          <w:tcPr>
            <w:tcW w:w="260" w:type="dxa"/>
            <w:vAlign w:val="bottom"/>
            <w:tcBorders>
              <w:bottom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18,925</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ind w:right="76"/>
              <w:spacing w:after="0" w:line="142" w:lineRule="exact"/>
              <w:rPr>
                <w:sz w:val="20"/>
                <w:szCs w:val="20"/>
                <w:color w:val="auto"/>
              </w:rPr>
            </w:pPr>
            <w:r>
              <w:rPr>
                <w:rFonts w:ascii="Arial" w:cs="Arial" w:eastAsia="Arial" w:hAnsi="Arial"/>
                <w:sz w:val="13"/>
                <w:szCs w:val="13"/>
                <w:color w:val="auto"/>
              </w:rPr>
              <w:t>1,786,351</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16"/>
              <w:spacing w:after="0" w:line="142" w:lineRule="exact"/>
              <w:rPr>
                <w:sz w:val="20"/>
                <w:szCs w:val="20"/>
                <w:color w:val="auto"/>
              </w:rPr>
            </w:pPr>
            <w:r>
              <w:rPr>
                <w:rFonts w:ascii="Arial" w:cs="Arial" w:eastAsia="Arial" w:hAnsi="Arial"/>
                <w:sz w:val="13"/>
                <w:szCs w:val="13"/>
                <w:color w:val="auto"/>
                <w:w w:val="96"/>
              </w:rPr>
              <w:t>(1,040,720)</w:t>
            </w:r>
          </w:p>
        </w:tc>
        <w:tc>
          <w:tcPr>
            <w:tcW w:w="22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6"/>
              </w:rPr>
              <w:t>1,352,082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127,482</w:t>
            </w: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73,650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(30,400)</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74,000</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10,564</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9,729</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Amortization of Deferred Loan and Lease (Fees) Costs, Net</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(7,528)</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17,772</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11,395</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Amortization of Operating Lease Right-of-Use Assets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5,677</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6,155</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6,122</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3,704</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Benefit Plan Contributions</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4,025</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(18,920)</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Gains on Sale of Premises and Equipment</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(3,143)</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Gains on Sales of Loans and Leases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(9,554)</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(5,398)</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Net Losses (Gains) on Sales of Investment Securities</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(1,220)</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(12,246)</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Sales of Loans Held for Sale</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294,006</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238,053</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Originations of Loans Held for Sale</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(231,917)</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(239,735)</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Tax Benefits from Share-Based Compensation</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908</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476</w:t>
            </w:r>
          </w:p>
        </w:tc>
      </w:tr>
      <w:tr>
        <w:trPr>
          <w:trHeight w:val="213"/>
        </w:trPr>
        <w:tc>
          <w:tcPr>
            <w:tcW w:w="7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Net Change in Other Assets and Other Liabilities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29,331</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(103,794)</w:t>
            </w:r>
          </w:p>
        </w:tc>
      </w:tr>
      <w:tr>
        <w:trPr>
          <w:trHeight w:val="212"/>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b w:val="1"/>
                <w:bCs w:val="1"/>
                <w:color w:val="auto"/>
              </w:rPr>
              <w:t>Net Cash Provided by Operating Activities</w:t>
            </w: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211,269</w:t>
            </w: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35,765</w:t>
            </w: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Available-for-Sale:</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Proceeds from Sales, Prepayments and Maturities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693,404</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477,253</w:t>
            </w: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(1,497,902)</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(509,271)</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Investment Securities Held-to-Maturity:</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Prepayments and Maturities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637,149</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576,930</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(1,333,606)</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(819,130)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Loans and Leases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(119,140)</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(801,879)</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Purchases of Premises and Equipment</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(9,730)</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(19,923)</w:t>
            </w:r>
          </w:p>
        </w:tc>
      </w:tr>
      <w:tr>
        <w:trPr>
          <w:trHeight w:val="216"/>
        </w:trPr>
        <w:tc>
          <w:tcPr>
            <w:tcW w:w="77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Proceeds from Sale of Premises and Equipment</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3,496</w:t>
            </w:r>
          </w:p>
        </w:tc>
        <w:tc>
          <w:tcPr>
            <w:tcW w:w="7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7"/>
        </w:trPr>
        <w:tc>
          <w:tcPr>
            <w:tcW w:w="7720" w:type="dxa"/>
            <w:vAlign w:val="bottom"/>
          </w:tcPr>
          <w:p>
            <w:pPr>
              <w:ind w:left="260"/>
              <w:spacing w:after="0"/>
              <w:rPr>
                <w:sz w:val="20"/>
                <w:szCs w:val="20"/>
                <w:color w:val="auto"/>
              </w:rPr>
            </w:pPr>
            <w:r>
              <w:rPr>
                <w:rFonts w:ascii="Arial" w:cs="Arial" w:eastAsia="Arial" w:hAnsi="Arial"/>
                <w:sz w:val="16"/>
                <w:szCs w:val="16"/>
                <w:b w:val="1"/>
                <w:bCs w:val="1"/>
                <w:color w:val="auto"/>
              </w:rPr>
              <w:t>Net Cash Used in Investing Activities</w:t>
            </w:r>
          </w:p>
        </w:tc>
        <w:tc>
          <w:tcPr>
            <w:tcW w:w="4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(1,626,329)</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(1,096,020)</w:t>
            </w:r>
          </w:p>
        </w:tc>
      </w:tr>
      <w:tr>
        <w:trPr>
          <w:trHeight w:val="222"/>
        </w:trPr>
        <w:tc>
          <w:tcPr>
            <w:tcW w:w="7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Change in Deposits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1,958,088</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1,638,673</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Short-Term Borrowings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(50,100)</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Long-Term Debt</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50,000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Long-Term Debt</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(50,044)</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(75,041)</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Proceeds from Issuance of Preferred Stock</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175,487</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Common Stock</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6,445</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6,115</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(3,298)</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(17,781)</w:t>
            </w:r>
          </w:p>
        </w:tc>
      </w:tr>
      <w:tr>
        <w:trPr>
          <w:trHeight w:val="216"/>
        </w:trPr>
        <w:tc>
          <w:tcPr>
            <w:tcW w:w="77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Cash Dividends Paid on Common Stock</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(54,139)</w:t>
            </w:r>
          </w:p>
        </w:tc>
        <w:tc>
          <w:tcPr>
            <w:tcW w:w="7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(53,679)</w:t>
            </w:r>
          </w:p>
        </w:tc>
      </w:tr>
      <w:tr>
        <w:trPr>
          <w:trHeight w:val="210"/>
        </w:trPr>
        <w:tc>
          <w:tcPr>
            <w:tcW w:w="7720" w:type="dxa"/>
            <w:vAlign w:val="bottom"/>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1,982,439</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1,547,187</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and Cash Equivalents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567,379</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486,932</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614,088</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558,658</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1,181,467</w:t>
            </w:r>
          </w:p>
        </w:tc>
        <w:tc>
          <w:tcPr>
            <w:tcW w:w="78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1,045,590</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Supplemental Information</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17,299</w:t>
            </w:r>
          </w:p>
        </w:tc>
        <w:tc>
          <w:tcPr>
            <w:tcW w:w="7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31,700</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26,071</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6,895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Investing and Financing Activities: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10"/>
        </w:trPr>
        <w:tc>
          <w:tcPr>
            <w:tcW w:w="7720" w:type="dxa"/>
            <w:vAlign w:val="bottom"/>
          </w:tcPr>
          <w:p>
            <w:pPr>
              <w:ind w:left="500"/>
              <w:spacing w:after="0"/>
              <w:rPr>
                <w:sz w:val="20"/>
                <w:szCs w:val="20"/>
                <w:color w:val="auto"/>
              </w:rPr>
            </w:pPr>
            <w:r>
              <w:rPr>
                <w:rFonts w:ascii="Arial" w:cs="Arial" w:eastAsia="Arial" w:hAnsi="Arial"/>
                <w:sz w:val="16"/>
                <w:szCs w:val="16"/>
                <w:color w:val="auto"/>
              </w:rPr>
              <w:t>Transfer from Loans to Loans Held for Sale</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20,072</w:t>
            </w:r>
          </w:p>
        </w:tc>
        <w:tc>
          <w:tcPr>
            <w:tcW w:w="7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consolidated financial statements include the accounts of the Parent and its subsidiaries. The Parent’s principal operating subsidiary is Bank of Hawaii (the “Bank”).</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6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Issuance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15, 2021, the Company issued and sold 7,200,000 depositary shares (the “depositary shares”), each representing a 1/40</w:t>
      </w:r>
      <w:r>
        <w:rPr>
          <w:rFonts w:ascii="Arial" w:cs="Arial" w:eastAsia="Arial" w:hAnsi="Arial"/>
          <w:sz w:val="13"/>
          <w:szCs w:val="13"/>
          <w:color w:val="auto"/>
        </w:rPr>
        <w:t>th</w:t>
      </w:r>
      <w:r>
        <w:rPr>
          <w:rFonts w:ascii="Arial" w:cs="Arial" w:eastAsia="Arial" w:hAnsi="Arial"/>
          <w:sz w:val="16"/>
          <w:szCs w:val="16"/>
          <w:color w:val="auto"/>
        </w:rPr>
        <w:t xml:space="preserve"> ownership interest in a share of 4.375% Fixed Rate Non-Cumulative Perpetual Preferred Stock, Series A, par value $0.01 per share (the “Series A Preferred Stock”). The Series A Preferred Stock has a liquidation preference of $1,000 per share. Net proceeds, after underwriting discounts and expenses, totaled $175.5</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million. Dividends on the Series A Preferred Stock are not cumulative and will be paid when declared by the Parent’s Board of Directors to the extent that we have legally available funds to pay dividends. If declared, dividends will accrue and be payable quarterly, in arrears, on the liquidation preference amount, on a non-cumulative basis, at a rate of 4.375% per annum. Holders of the Series A Preferred Stock will not have voting rights, except with respect to certain changes in the terms of the preferred stock, certain dividend non-payments and as otherwise required by applicable law. The Company may redeem the Series A Preferred Stock at its option, (i) in whole or in part, from time to time, on any dividend payment date on or after August 1, 2026 or (ii) in whole but not in part, at any time within 90 days following a regulatory capital treatment event, in either case at a redemption price equal to $1,000 per share (equivalent to $25 per depositary share), plus any declared and unpaid dividends.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July 6, 2021, the Parent’s Board of Directors declared a cash dividend payment of $5.59 per share on its Series A Preferred Stock. This dividend equals $0.13975 per depositary share. The dividend will be payable on August 2, 2021 to shareholders of record of the Series A Preferred Stock as of July 16, 2021.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2021</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This ASU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Finally, it clarifies that single-member limited liability companies and similar disregarded entities that are not subject to income tax are not required to recognize an allocation of consolidated income tax expense in their separate financial statements, but they could elect to do so. ASU 2019-12 is effective for interim and annual reporting periods beginning after December 15, 2020. ASU 2019-12 did not have a material impact on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 in Other Banks</w:t>
            </w:r>
          </w:p>
        </w:tc>
        <w:tc>
          <w:tcPr>
            <w:tcW w:w="30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2,584</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1,646</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Funds Sold</w:t>
            </w:r>
          </w:p>
        </w:tc>
        <w:tc>
          <w:tcPr>
            <w:tcW w:w="302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909,730</w:t>
            </w:r>
          </w:p>
        </w:tc>
        <w:tc>
          <w:tcPr>
            <w:tcW w:w="4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333,022</w:t>
            </w:r>
          </w:p>
        </w:tc>
      </w:tr>
      <w:tr>
        <w:trPr>
          <w:trHeight w:val="216"/>
        </w:trPr>
        <w:tc>
          <w:tcPr>
            <w:tcW w:w="5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and Due From Banks</w:t>
            </w:r>
          </w:p>
        </w:tc>
        <w:tc>
          <w:tcPr>
            <w:tcW w:w="30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269,153</w:t>
            </w:r>
          </w:p>
        </w:tc>
        <w:tc>
          <w:tcPr>
            <w:tcW w:w="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279,420</w:t>
            </w:r>
          </w:p>
        </w:tc>
      </w:tr>
      <w:tr>
        <w:trPr>
          <w:trHeight w:val="210"/>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Cash and Cash Equivalents</w:t>
            </w:r>
          </w:p>
        </w:tc>
        <w:tc>
          <w:tcPr>
            <w:tcW w:w="3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1,181,467</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614,088</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June 30, 2021, and December 31, 2020,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3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Gains</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Losses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8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203,342</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1,996</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205,197</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23,557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24,499</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1,001</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387,413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5,405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(1,355)</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391,463</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1,538,897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19,600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(13,824)</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1,544,673</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2,170,640</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10,660</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(26,765)</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2,154,535</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196,861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5,262</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201,573</w:t>
            </w:r>
          </w:p>
        </w:tc>
      </w:tr>
      <w:tr>
        <w:trPr>
          <w:trHeight w:val="209"/>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3,906,398</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35,522</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(41,139)</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3,900,781</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4,521,660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43,918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4,522,941</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131,435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132,215</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33,424</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344</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33,768</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10,541</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3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10,741</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1,536,020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21,817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(15,860)</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1,541,977</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1,929,372</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24,963</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(12,448)</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1,941,887</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306,821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1,236</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304,529</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3,772,213</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48,016</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(31,836)</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3,788,393</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3,947,613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49,474</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3,965,117</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174,409</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427</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174,245</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23,540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24,840</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985</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1,062</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220,717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4,844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(956)</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224,605</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1,561,603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33,657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(445)</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1,594,815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1,497,353</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21,254</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1,518,283</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243,029</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10,868</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253,839</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3,301,985</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65,779</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3,366,937</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3,721,636</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72,428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3,791,689</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7,500</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33,763</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741</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34,504</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12,031</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3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12,282</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917,459</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30,580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948,010</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2,099,053</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51,735</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2,150,497</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192,921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195,900</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3,209,433</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85,494</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3,294,407</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3,262,727</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86,494</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3,348,693</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The Company elected to exclude accrued interest receivable (“AIR”) from the amortized cost basis of debt securities disclosed throughout this footnote. For available-for-sale (“AFS”) debt securities, AIR totaled $8.5 million and $6.6 million as of June 30, 2021, and December 31, 2020, respectively. For held-to-maturity (“HTM”) debt securities, AIR totaled $7.3 million and $6.8 million as of June 30, 2021, and December 31, 2020, respectively. AIR is included in the “accrued interest receivable” line item on the Company’s consolidated statements of condition.</w:t>
      </w:r>
    </w:p>
    <w:p>
      <w:pPr>
        <w:sectPr>
          <w:pgSz w:w="11900" w:h="16838" w:orient="portrait"/>
          <w:cols w:equalWidth="0" w:num="1">
            <w:col w:w="11240"/>
          </w:cols>
          <w:pgMar w:left="320" w:top="130"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June 30, 2021.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Amortized</w:t>
            </w: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Available-for-Sale:</w:t>
            </w: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Due in One Year or Less</w:t>
            </w:r>
          </w:p>
        </w:tc>
        <w:tc>
          <w:tcPr>
            <w:tcW w:w="24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51,611</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51,642</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Due After One Year Through Five Years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111,529</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114,504</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Due After Five Years Through Ten Years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298,653</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301,024</w:t>
            </w:r>
          </w:p>
        </w:tc>
      </w:tr>
      <w:tr>
        <w:trPr>
          <w:trHeight w:val="213"/>
        </w:trPr>
        <w:tc>
          <w:tcPr>
            <w:tcW w:w="57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461,793</w:t>
            </w: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467,170</w:t>
            </w: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Debt Securities Issued by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153,469</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154,990</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1,538,897</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1,544,673</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2,170,640</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2,154,535</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196,861</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201,573</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3,906,398</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3,900,781</w:t>
            </w:r>
          </w:p>
        </w:tc>
      </w:tr>
      <w:tr>
        <w:trPr>
          <w:trHeight w:val="250"/>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2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4,521,660</w:t>
            </w:r>
          </w:p>
        </w:tc>
        <w:tc>
          <w:tcPr>
            <w:tcW w:w="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4,522,941</w:t>
            </w:r>
          </w:p>
        </w:tc>
      </w:tr>
      <w:tr>
        <w:trPr>
          <w:trHeight w:val="199"/>
        </w:trPr>
        <w:tc>
          <w:tcPr>
            <w:tcW w:w="5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2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Due in One Year or Less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33,425</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33,769</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After One Year Through Five Years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18,040</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18,105</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Due After Five Year Through Ten Years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123,935</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124,850</w:t>
            </w:r>
          </w:p>
        </w:tc>
      </w:tr>
      <w:tr>
        <w:trPr>
          <w:trHeight w:val="212"/>
        </w:trPr>
        <w:tc>
          <w:tcPr>
            <w:tcW w:w="57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175,400</w:t>
            </w: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176,724</w:t>
            </w: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1,536,020</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1,541,977</w:t>
            </w: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1,929,372</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1,941,887</w:t>
            </w:r>
          </w:p>
        </w:tc>
      </w:tr>
      <w:tr>
        <w:trPr>
          <w:trHeight w:val="216"/>
        </w:trPr>
        <w:tc>
          <w:tcPr>
            <w:tcW w:w="57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 Government Agencies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306,821</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304,529</w:t>
            </w:r>
          </w:p>
        </w:tc>
      </w:tr>
      <w:tr>
        <w:trPr>
          <w:trHeight w:val="210"/>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Mortgage-Backed Securities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3,772,213</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3,788,393</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4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3,947,613</w:t>
            </w: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3,965,117</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securities with carrying values of $3.5 billion and $3.6 billion as of June 30, 2021, and December 31, 2020, respectively, were pledged to secure deposits of governmental entities, securities sold under agreements to repurchase, and FRB discount window borrowing.</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gains and losses from the sales of investment securities for the three and six months ended June 30, 2021, and June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Pr>
          <w:p>
            <w:pPr>
              <w:spacing w:after="0"/>
              <w:rPr>
                <w:sz w:val="17"/>
                <w:szCs w:val="17"/>
                <w:color w:val="auto"/>
              </w:rPr>
            </w:pPr>
          </w:p>
        </w:tc>
      </w:tr>
      <w:tr>
        <w:trPr>
          <w:trHeight w:val="210"/>
        </w:trPr>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18"/>
                <w:szCs w:val="18"/>
                <w:color w:val="auto"/>
              </w:rPr>
            </w:pPr>
          </w:p>
        </w:tc>
      </w:tr>
      <w:tr>
        <w:trPr>
          <w:trHeight w:val="21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Gross Gains on Sales of Investment Securities</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3,675</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14,180</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3,675</w:t>
            </w:r>
          </w:p>
        </w:tc>
        <w:tc>
          <w:tcPr>
            <w:tcW w:w="7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14,257</w:t>
            </w:r>
          </w:p>
        </w:tc>
      </w:tr>
      <w:tr>
        <w:trPr>
          <w:trHeight w:val="21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Gross Losses on Sales of Investment Securities</w:t>
            </w:r>
          </w:p>
        </w:tc>
        <w:tc>
          <w:tcPr>
            <w:tcW w:w="1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(2,455)</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209"/>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Gains on Sales of Investment Securities</w:t>
            </w:r>
          </w:p>
        </w:tc>
        <w:tc>
          <w:tcPr>
            <w:tcW w:w="168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2,423</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13,216</w:t>
            </w:r>
          </w:p>
        </w:tc>
        <w:tc>
          <w:tcPr>
            <w:tcW w:w="500" w:type="dxa"/>
            <w:vAlign w:val="bottom"/>
            <w:tcBorders>
              <w:bottom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1,220</w:t>
            </w:r>
          </w:p>
        </w:tc>
        <w:tc>
          <w:tcPr>
            <w:tcW w:w="70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12,246</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losses on sales of investment securities during the three and six months ended June 30, 2021, and June 30, 2020, were due to fees paid to the counterparties of the Company’s prior Visa Class B share sale transactions, which are expensed as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the Company’s AFS debt securities in an unrealized loss position for which an allowance for credit losses was not deemed necessary, aggregated by major security type and length of time in a continuous unrealized loss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w w:val="98"/>
              </w:rPr>
              <w:t>Less Than 12 Months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12 Months or Longer</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tcPr>
          <w:p>
            <w:pPr>
              <w:spacing w:after="0"/>
              <w:rPr>
                <w:sz w:val="18"/>
                <w:szCs w:val="18"/>
                <w:color w:val="auto"/>
              </w:rPr>
            </w:pPr>
          </w:p>
        </w:tc>
      </w:tr>
      <w:tr>
        <w:trPr>
          <w:trHeight w:val="199"/>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Unrealized</w:t>
            </w:r>
          </w:p>
        </w:tc>
      </w:tr>
      <w:tr>
        <w:trPr>
          <w:trHeight w:val="213"/>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r>
      <w:tr>
        <w:trPr>
          <w:trHeight w:val="213"/>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Government Agencies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888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17,724</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18,612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States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and Political Subdivisions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Sponsored Enterprises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49,813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88,832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138,645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(1,355)</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678,445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7,980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686,425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(13,824)</w:t>
            </w:r>
          </w:p>
        </w:tc>
      </w:tr>
      <w:tr>
        <w:trPr>
          <w:trHeight w:val="20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Enterprises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1,628,682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1,628,682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(26,765)</w:t>
            </w:r>
          </w:p>
        </w:tc>
      </w:tr>
      <w:tr>
        <w:trPr>
          <w:trHeight w:val="213"/>
        </w:trPr>
        <w:tc>
          <w:tcPr>
            <w:tcW w:w="4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Commercial-Government Agencies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24,130</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24,130</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r>
      <w:tr>
        <w:trPr>
          <w:trHeight w:val="210"/>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2,331,257</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(40,963)</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7,980</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2,339,237</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(41,139)</w:t>
            </w:r>
          </w:p>
        </w:tc>
      </w:tr>
      <w:tr>
        <w:trPr>
          <w:trHeight w:val="250"/>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2,382,336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(41,157)</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2,496,872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(42,637)</w:t>
            </w:r>
          </w:p>
        </w:tc>
      </w:tr>
      <w:tr>
        <w:trPr>
          <w:trHeight w:val="199"/>
        </w:trPr>
        <w:tc>
          <w:tcPr>
            <w:tcW w:w="4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4700" w:type="dxa"/>
            <w:vAlign w:val="bottom"/>
            <w:shd w:val="clear" w:color="auto" w:fill="CFF0FC"/>
          </w:tcPr>
          <w:p>
            <w:pPr>
              <w:spacing w:after="0" w:line="218" w:lineRule="exact"/>
              <w:rPr>
                <w:sz w:val="20"/>
                <w:szCs w:val="20"/>
                <w:color w:val="auto"/>
              </w:rPr>
            </w:pPr>
            <w:r>
              <w:rPr>
                <w:rFonts w:ascii="Arial" w:cs="Arial" w:eastAsia="Arial" w:hAnsi="Arial"/>
                <w:sz w:val="15"/>
                <w:szCs w:val="15"/>
                <w:b w:val="1"/>
                <w:bCs w:val="1"/>
                <w:color w:val="auto"/>
              </w:rPr>
              <w:t xml:space="preserve">Available-for-Sale: </w:t>
            </w:r>
            <w:r>
              <w:rPr>
                <w:rFonts w:ascii="Arial" w:cs="Arial" w:eastAsia="Arial" w:hAnsi="Arial"/>
                <w:sz w:val="25"/>
                <w:szCs w:val="25"/>
                <w:b w:val="1"/>
                <w:bCs w:val="1"/>
                <w:color w:val="auto"/>
                <w:vertAlign w:val="superscript"/>
              </w:rPr>
              <w:t>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the U.S. Treasury</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and Government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21,338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87,070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108,408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Political Subdivisions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115,000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113,538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28,063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141,601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94,002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94,002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r>
      <w:tr>
        <w:trPr>
          <w:trHeight w:val="213"/>
        </w:trPr>
        <w:tc>
          <w:tcPr>
            <w:tcW w:w="4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25,075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25,075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232,615</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28,063</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260,678</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w:t>
            </w:r>
          </w:p>
        </w:tc>
      </w:tr>
      <w:tr>
        <w:trPr>
          <w:trHeight w:val="210"/>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318,953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165,159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484,112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2"/>
          <w:szCs w:val="12"/>
          <w:color w:val="auto"/>
        </w:rPr>
      </w:pPr>
      <w:r>
        <w:rPr>
          <w:rFonts w:ascii="Arial" w:cs="Arial" w:eastAsia="Arial" w:hAnsi="Arial"/>
          <w:sz w:val="14"/>
          <w:szCs w:val="14"/>
          <w:color w:val="auto"/>
        </w:rPr>
        <w:t>The fair value and gross unrealized losses as of December 31, 2020, have been updated to properly reflect the length of time they were in a continuous unrealized loss position.</w:t>
      </w:r>
    </w:p>
    <w:p>
      <w:pPr>
        <w:spacing w:after="0" w:line="208"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 does not believe that the AFS debt securities that were in an unrealized loss position as of June 30, 2021, which were comprised of 174 individual securities, represent a credit loss impairment. The gross unrealized losses were primarily attributable to changes in interest rates, relative to when the investment securities were purchased. As of June 30, 2021, and December 31, 2020, the gross unrealized losses reported for mortgage-backed securities were mostly related to investment securities issued by Ginnie Mae, Fannie Mae, and Freddie Mac.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an allowance for credit losses for these securities was not deemed necessary as of June 30, 2021.</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taxable and non-taxable investment securities for the three and six months ended June 30, 2021, and June 30, 2020,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Taxable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29,765</w:t>
            </w:r>
          </w:p>
        </w:tc>
        <w:tc>
          <w:tcPr>
            <w:tcW w:w="78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30,729</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58,621</w:t>
            </w:r>
          </w:p>
        </w:tc>
        <w:tc>
          <w:tcPr>
            <w:tcW w:w="7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66,122</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Non-Taxable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w:t>
            </w: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570</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559</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1,140</w:t>
            </w:r>
          </w:p>
        </w:tc>
      </w:tr>
      <w:tr>
        <w:trPr>
          <w:trHeight w:val="209"/>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Interest Income from Investment Securities</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30,043</w:t>
            </w:r>
          </w:p>
        </w:tc>
        <w:tc>
          <w:tcPr>
            <w:tcW w:w="78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31,299</w:t>
            </w:r>
          </w:p>
        </w:tc>
        <w:tc>
          <w:tcPr>
            <w:tcW w:w="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59,180</w:t>
            </w:r>
          </w:p>
        </w:tc>
        <w:tc>
          <w:tcPr>
            <w:tcW w:w="7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67,262</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2021, and December 31, 2020, the carrying value of the Company’s Federal Home Loan Bank of Des Moines stock and Federal Reserve Bank stock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Stock</w:t>
            </w:r>
          </w:p>
        </w:tc>
        <w:tc>
          <w:tcPr>
            <w:tcW w:w="32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10,000</w:t>
            </w:r>
          </w:p>
        </w:tc>
        <w:tc>
          <w:tcPr>
            <w:tcW w:w="5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12,000</w:t>
            </w:r>
          </w:p>
        </w:tc>
      </w:tr>
      <w:tr>
        <w:trPr>
          <w:trHeight w:val="21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Federal Reserve Bank Stock</w:t>
            </w:r>
          </w:p>
        </w:tc>
        <w:tc>
          <w:tcPr>
            <w:tcW w:w="3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21,479</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21,340</w:t>
            </w:r>
          </w:p>
        </w:tc>
      </w:tr>
      <w:tr>
        <w:trPr>
          <w:trHeight w:val="210"/>
        </w:trPr>
        <w:tc>
          <w:tcPr>
            <w:tcW w:w="4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324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31,479</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33,340</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June 30, 2021, the conversion ratio was 1.6228. See Note 11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second quarter of 2020, the Company sold its remaining 80,214 Visa Class B Shares and recorded a $14.2 million gain on sale. As a result of this sale, the Company no longer owns any Visa Class B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Loans and Leases and the Allowance for Credit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Paycheck Protection Program (“PPP”) amounts presented, which are reported net of deferred costs and fees, were previously included as a component of the Commercial and Industrial loan class.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June 30, 2021, and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3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32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1,257,305</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1,357,610</w:t>
            </w:r>
          </w:p>
        </w:tc>
      </w:tr>
      <w:tr>
        <w:trPr>
          <w:trHeight w:val="219"/>
        </w:trPr>
        <w:tc>
          <w:tcPr>
            <w:tcW w:w="4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PPP</w:t>
            </w:r>
          </w:p>
        </w:tc>
        <w:tc>
          <w:tcPr>
            <w:tcW w:w="3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513,513</w:t>
            </w:r>
          </w:p>
        </w:tc>
        <w:tc>
          <w:tcPr>
            <w:tcW w:w="6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517,683</w:t>
            </w: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32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2,944,435</w:t>
            </w:r>
          </w:p>
        </w:tc>
        <w:tc>
          <w:tcPr>
            <w:tcW w:w="60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2,854,829</w:t>
            </w:r>
          </w:p>
        </w:tc>
      </w:tr>
      <w:tr>
        <w:trPr>
          <w:trHeight w:val="219"/>
        </w:trPr>
        <w:tc>
          <w:tcPr>
            <w:tcW w:w="4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3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277,393</w:t>
            </w:r>
          </w:p>
        </w:tc>
        <w:tc>
          <w:tcPr>
            <w:tcW w:w="6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259,798</w:t>
            </w:r>
          </w:p>
        </w:tc>
      </w:tr>
      <w:tr>
        <w:trPr>
          <w:trHeight w:val="213"/>
        </w:trPr>
        <w:tc>
          <w:tcPr>
            <w:tcW w:w="46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3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110,500</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110,766</w:t>
            </w:r>
          </w:p>
        </w:tc>
      </w:tr>
      <w:tr>
        <w:trPr>
          <w:trHeight w:val="209"/>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3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5,103,146</w:t>
            </w:r>
          </w:p>
        </w:tc>
        <w:tc>
          <w:tcPr>
            <w:tcW w:w="6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5,100,686</w:t>
            </w:r>
          </w:p>
        </w:tc>
      </w:tr>
      <w:tr>
        <w:trPr>
          <w:trHeight w:val="209"/>
        </w:trPr>
        <w:tc>
          <w:tcPr>
            <w:tcW w:w="4660" w:type="dxa"/>
            <w:vAlign w:val="bottom"/>
          </w:tcPr>
          <w:p>
            <w:pPr>
              <w:spacing w:after="0"/>
              <w:rPr>
                <w:sz w:val="20"/>
                <w:szCs w:val="20"/>
                <w:color w:val="auto"/>
              </w:rPr>
            </w:pPr>
            <w:r>
              <w:rPr>
                <w:rFonts w:ascii="Arial" w:cs="Arial" w:eastAsia="Arial" w:hAnsi="Arial"/>
                <w:sz w:val="16"/>
                <w:szCs w:val="16"/>
                <w:color w:val="auto"/>
              </w:rPr>
              <w:t>Consumer</w:t>
            </w: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4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3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4,264,180</w:t>
            </w:r>
          </w:p>
        </w:tc>
        <w:tc>
          <w:tcPr>
            <w:tcW w:w="6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4,130,513</w:t>
            </w: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32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1,594,781</w:t>
            </w:r>
          </w:p>
        </w:tc>
        <w:tc>
          <w:tcPr>
            <w:tcW w:w="60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1,604,538</w:t>
            </w:r>
          </w:p>
        </w:tc>
      </w:tr>
      <w:tr>
        <w:trPr>
          <w:trHeight w:val="219"/>
        </w:trPr>
        <w:tc>
          <w:tcPr>
            <w:tcW w:w="4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3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714,729</w:t>
            </w:r>
          </w:p>
        </w:tc>
        <w:tc>
          <w:tcPr>
            <w:tcW w:w="6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708,800</w:t>
            </w:r>
          </w:p>
        </w:tc>
      </w:tr>
      <w:tr>
        <w:trPr>
          <w:trHeight w:val="216"/>
        </w:trPr>
        <w:tc>
          <w:tcPr>
            <w:tcW w:w="466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3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364,542</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395,483</w:t>
            </w:r>
          </w:p>
        </w:tc>
      </w:tr>
      <w:tr>
        <w:trPr>
          <w:trHeight w:val="207"/>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3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6,938,232</w:t>
            </w:r>
          </w:p>
        </w:tc>
        <w:tc>
          <w:tcPr>
            <w:tcW w:w="6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6,839,334</w:t>
            </w:r>
          </w:p>
        </w:tc>
      </w:tr>
      <w:tr>
        <w:trPr>
          <w:trHeight w:val="210"/>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3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12,041,378</w:t>
            </w:r>
          </w:p>
        </w:tc>
        <w:tc>
          <w:tcPr>
            <w:tcW w:w="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11,940,020</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$2.6 million and $2.4 million for the three months ended June 30, 2021, and June 30, 2020, respectively, and $4.7 million and $5.6 million for the first six months ended June 30, 2021 and June 30, 2020, respectively.</w:t>
      </w:r>
    </w:p>
    <w:p>
      <w:pPr>
        <w:spacing w:after="0" w:line="14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elected to exclude AIR from the amortized cost basis of loans disclosed throughout this footnote. As of June 30, 2021, and December 31, 2020, AIR for loans totaled $31.2 million and $35.9 million, respectively, and is included in the “accrued interest receivable” line item on the Company’s consolidated statements of condition.</w:t>
      </w:r>
    </w:p>
    <w:p>
      <w:pPr>
        <w:spacing w:after="0" w:line="15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response to the COVID-19 pandemic, the Coronavirus Aid, Relief, and Economic Security (“CARES”) Act was passed by Congress and signed into law on March 27, 2020. The CARES Act established the PPP, which provides loans to small businesses who were affected by economic conditions as a result of COVID-19 to provide cash-flow assistance to employers who maintain their eligible costs during the COVID-19 emergency. PPP loans carry an interest rate of one percent, and a maturity of two or five years. These loans are fully guaranteed by the SBA and may be eligible for forgiveness by the SBA to the extent that the proceeds are used to cover eligible costs over a period of up to 24 weeks after the loan is made as long as certain conditions are met regarding employee retention and compensation levels. PPP loans deemed eligible for forgiveness by the SBA will be repaid by the SBA to the Company. The SBA pays the Company fees for processing PPP loans. These processing fees are accounted for as loan origination fees and recognized over the contractual loan term as a yield adjustment on the loans.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(the “Allowance”)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portfolio segment, the activity in the Allowance for the three and six months ended June 30, 2021, and June 30,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3"/>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June 30, 2021</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82,811</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115,532</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198,343</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(456)</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(3,853)</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(4,309)</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144</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2,981</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3,125</w:t>
            </w:r>
          </w:p>
        </w:tc>
      </w:tr>
      <w:tr>
        <w:trPr>
          <w:trHeight w:val="209"/>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(872)</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(3,860)</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(12,914)</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(16,774)</w:t>
            </w:r>
          </w:p>
        </w:tc>
      </w:tr>
      <w:tr>
        <w:trPr>
          <w:trHeight w:val="250"/>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78,639</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101,746</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180,385</w:t>
            </w:r>
          </w:p>
        </w:tc>
      </w:tr>
      <w:tr>
        <w:trPr>
          <w:trHeight w:val="199"/>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Six Months Ended June 30, 2021</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84,847</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131,405</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216,252</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(9,896)</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(10,600)</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256</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6,244</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6,500</w:t>
            </w:r>
          </w:p>
        </w:tc>
      </w:tr>
      <w:tr>
        <w:trPr>
          <w:trHeight w:val="210"/>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(3,652)</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(4,100)</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(5,760)</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(26,007)</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(31,767)</w:t>
            </w:r>
          </w:p>
        </w:tc>
      </w:tr>
      <w:tr>
        <w:trPr>
          <w:trHeight w:val="249"/>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78,639</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101,746</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180,385</w:t>
            </w:r>
          </w:p>
        </w:tc>
      </w:tr>
      <w:tr>
        <w:trPr>
          <w:trHeight w:val="200"/>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June 30, 2020</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67,987</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70,163</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138,150</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(656)</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(7,627)</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(8,283)</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1,524</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1,648</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3,172</w:t>
            </w:r>
          </w:p>
        </w:tc>
      </w:tr>
      <w:tr>
        <w:trPr>
          <w:trHeight w:val="209"/>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868</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(5,979)</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(5,111)</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3,667</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36,733</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40,400</w:t>
            </w:r>
          </w:p>
        </w:tc>
      </w:tr>
      <w:tr>
        <w:trPr>
          <w:trHeight w:val="250"/>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72,522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100,917</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173,439</w:t>
            </w:r>
          </w:p>
        </w:tc>
      </w:tr>
      <w:tr>
        <w:trPr>
          <w:trHeight w:val="199"/>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Six Months Ended June 30, 2020</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 (December 31, 2020)</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73,801</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36,226</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110,027</w:t>
            </w:r>
          </w:p>
        </w:tc>
      </w:tr>
      <w:tr>
        <w:trPr>
          <w:trHeight w:val="213"/>
        </w:trPr>
        <w:tc>
          <w:tcPr>
            <w:tcW w:w="55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CECL Adoption (Day 1) Impact</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(18,789)</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17,052</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r>
      <w:tr>
        <w:trPr>
          <w:trHeight w:val="213"/>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 (January 1, 2020)</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55,012</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53,278</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108,290</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(1,349)</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(14,111)</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(15,460)</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1,853</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4,756</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6,609</w:t>
            </w:r>
          </w:p>
        </w:tc>
      </w:tr>
      <w:tr>
        <w:trPr>
          <w:trHeight w:val="209"/>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504</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(9,355)</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(8,851)</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17,006</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56,994</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74,000</w:t>
            </w:r>
          </w:p>
        </w:tc>
      </w:tr>
      <w:tr>
        <w:trPr>
          <w:trHeight w:val="210"/>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72,522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100,917</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173,439</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Pass:</w:t>
            </w: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Loans and leases in all classes within the commercial and consumer portfolio segments that are not adversely rated, are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0"/>
              </w:rPr>
              <w:t>contractually current as to principal and interest, and are otherwise in compliance with the contractual terms of the loan or lease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agreement. Residential mortgage loans that are past due 90 days or more as to principal or interest may be considered Pass if</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2"/>
              </w:rPr>
              <w:t>the current loan-to-value ratio is 60% or less. Home equity loans that are past due 90 days or more as to principal or interest</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may be considered Pass if the first mortgage is with the Company and the current combined loan-to-value ratio is 60% or less.</w:t>
            </w:r>
          </w:p>
        </w:tc>
      </w:tr>
      <w:tr>
        <w:trPr>
          <w:trHeight w:val="377"/>
        </w:trPr>
        <w:tc>
          <w:tcPr>
            <w:tcW w:w="1820" w:type="dxa"/>
            <w:vAlign w:val="bottom"/>
          </w:tcPr>
          <w:p>
            <w:pPr>
              <w:ind w:left="380"/>
              <w:spacing w:after="0"/>
              <w:rPr>
                <w:sz w:val="20"/>
                <w:szCs w:val="20"/>
                <w:color w:val="auto"/>
              </w:rPr>
            </w:pPr>
            <w:r>
              <w:rPr>
                <w:rFonts w:ascii="Arial" w:cs="Arial" w:eastAsia="Arial" w:hAnsi="Arial"/>
                <w:sz w:val="18"/>
                <w:szCs w:val="18"/>
                <w:color w:val="auto"/>
              </w:rPr>
              <w:t>Special Mention:</w:t>
            </w:r>
          </w:p>
        </w:tc>
        <w:tc>
          <w:tcPr>
            <w:tcW w:w="9420" w:type="dxa"/>
            <w:vAlign w:val="bottom"/>
          </w:tcPr>
          <w:p>
            <w:pPr>
              <w:ind w:left="220"/>
              <w:spacing w:after="0"/>
              <w:rPr>
                <w:sz w:val="20"/>
                <w:szCs w:val="20"/>
                <w:color w:val="auto"/>
              </w:rPr>
            </w:pPr>
            <w:r>
              <w:rPr>
                <w:rFonts w:ascii="Arial" w:cs="Arial" w:eastAsia="Arial" w:hAnsi="Arial"/>
                <w:sz w:val="18"/>
                <w:szCs w:val="18"/>
                <w:color w:val="auto"/>
                <w:w w:val="98"/>
              </w:rPr>
              <w:t>Loans and leases in all classes within the commercial portfolio segment that have potential weaknesses that deserve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management’s close attention. If not addressed, these potential weaknesses may result in deterioration of the repayment</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4"/>
              </w:rPr>
              <w:t>prospects for the loan or lease. The Special Mention credit quality indicator is not used for the consumer portfolio segment.</w:t>
            </w:r>
          </w:p>
        </w:tc>
      </w:tr>
      <w:tr>
        <w:trPr>
          <w:trHeight w:val="377"/>
        </w:trPr>
        <w:tc>
          <w:tcPr>
            <w:tcW w:w="1820" w:type="dxa"/>
            <w:vAlign w:val="bottom"/>
          </w:tcPr>
          <w:p>
            <w:pPr>
              <w:ind w:left="380"/>
              <w:spacing w:after="0"/>
              <w:rPr>
                <w:sz w:val="20"/>
                <w:szCs w:val="20"/>
                <w:color w:val="auto"/>
              </w:rPr>
            </w:pPr>
            <w:r>
              <w:rPr>
                <w:rFonts w:ascii="Arial" w:cs="Arial" w:eastAsia="Arial" w:hAnsi="Arial"/>
                <w:sz w:val="18"/>
                <w:szCs w:val="18"/>
                <w:color w:val="auto"/>
              </w:rPr>
              <w:t>Classified:</w:t>
            </w:r>
          </w:p>
        </w:tc>
        <w:tc>
          <w:tcPr>
            <w:tcW w:w="9420" w:type="dxa"/>
            <w:vAlign w:val="bottom"/>
          </w:tcPr>
          <w:p>
            <w:pPr>
              <w:ind w:left="220"/>
              <w:spacing w:after="0"/>
              <w:rPr>
                <w:sz w:val="20"/>
                <w:szCs w:val="20"/>
                <w:color w:val="auto"/>
              </w:rPr>
            </w:pPr>
            <w:r>
              <w:rPr>
                <w:rFonts w:ascii="Arial" w:cs="Arial" w:eastAsia="Arial" w:hAnsi="Arial"/>
                <w:sz w:val="18"/>
                <w:szCs w:val="18"/>
                <w:color w:val="auto"/>
                <w:w w:val="89"/>
              </w:rPr>
              <w:t>Loans and leases in the classes within the commercial portfolio segment that are inadequately protected by the sound worth and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paying capacity of the borrower or of the collateral pledged, if any. Classified loans and leases are also those in the classes</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2"/>
              </w:rPr>
              <w:t>within the consumer portfolio segment that are past due 90 days or more as to principal or interest. Residential mortgage and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home equity loans may be current as to principal and interest, but may be considered Classified for a period of generally up to</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4"/>
              </w:rPr>
              <w:t>six months following a loan modification. Following a period of demonstrated performance in accordance with the modified</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rPr>
              <w:t>contractual terms, the loan may be removed from Classified status.</w:t>
            </w:r>
          </w:p>
        </w:tc>
      </w:tr>
      <w:tr>
        <w:trPr>
          <w:trHeight w:val="418"/>
        </w:trPr>
        <w:tc>
          <w:tcPr>
            <w:tcW w:w="1820" w:type="dxa"/>
            <w:vAlign w:val="bottom"/>
          </w:tcPr>
          <w:p>
            <w:pPr>
              <w:spacing w:after="0"/>
              <w:rPr>
                <w:sz w:val="24"/>
                <w:szCs w:val="24"/>
                <w:color w:val="auto"/>
              </w:rPr>
            </w:pPr>
          </w:p>
        </w:tc>
        <w:tc>
          <w:tcPr>
            <w:tcW w:w="9420" w:type="dxa"/>
            <w:vAlign w:val="bottom"/>
          </w:tcPr>
          <w:p>
            <w:pPr>
              <w:ind w:left="3720"/>
              <w:spacing w:after="0"/>
              <w:rPr>
                <w:sz w:val="20"/>
                <w:szCs w:val="20"/>
                <w:color w:val="auto"/>
              </w:rPr>
            </w:pPr>
            <w:r>
              <w:rPr>
                <w:rFonts w:ascii="Arial" w:cs="Arial" w:eastAsia="Arial" w:hAnsi="Arial"/>
                <w:sz w:val="18"/>
                <w:szCs w:val="18"/>
                <w:color w:val="auto"/>
              </w:rPr>
              <w:t>15</w:t>
            </w:r>
          </w:p>
        </w:tc>
      </w:tr>
      <w:tr>
        <w:trPr>
          <w:trHeight w:val="115"/>
        </w:trPr>
        <w:tc>
          <w:tcPr>
            <w:tcW w:w="18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pass rated credits, risk ratings are certified at a minimum annually. For special mention or classified credits, risk ratings are reviewed for appropriateness on an ongoing basis, monthly, or at a minimum, quarterly. The following presents by credit quality indicator, loan class, and year of origination, the amortized cost basis of the Company’s loans and leases as of June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6"/>
                <w:szCs w:val="16"/>
                <w:b w:val="1"/>
                <w:bCs w:val="1"/>
                <w:color w:val="auto"/>
                <w:w w:val="93"/>
              </w:rPr>
              <w:t>Term Loans by Origination Year</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8"/>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7"/>
              <w:spacing w:after="0"/>
              <w:rPr>
                <w:sz w:val="20"/>
                <w:szCs w:val="20"/>
                <w:color w:val="auto"/>
              </w:rPr>
            </w:pPr>
            <w:r>
              <w:rPr>
                <w:rFonts w:ascii="Arial" w:cs="Arial" w:eastAsia="Arial" w:hAnsi="Arial"/>
                <w:sz w:val="16"/>
                <w:szCs w:val="16"/>
                <w:b w:val="1"/>
                <w:bCs w:val="1"/>
                <w:color w:val="auto"/>
              </w:rPr>
              <w:t>YTD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Converted</w:t>
            </w:r>
          </w:p>
        </w:tc>
        <w:tc>
          <w:tcPr>
            <w:tcW w:w="220" w:type="dxa"/>
            <w:vAlign w:val="bottom"/>
          </w:tcPr>
          <w:p>
            <w:pPr>
              <w:spacing w:after="0"/>
              <w:rPr>
                <w:sz w:val="17"/>
                <w:szCs w:val="17"/>
                <w:color w:val="auto"/>
              </w:rPr>
            </w:pPr>
          </w:p>
        </w:tc>
        <w:tc>
          <w:tcPr>
            <w:tcW w:w="800" w:type="dxa"/>
            <w:vAlign w:val="bottom"/>
          </w:tcPr>
          <w:p>
            <w:pPr>
              <w:jc w:val="right"/>
              <w:ind w:right="27"/>
              <w:spacing w:after="0"/>
              <w:rPr>
                <w:sz w:val="20"/>
                <w:szCs w:val="20"/>
                <w:color w:val="auto"/>
              </w:rPr>
            </w:pPr>
            <w:r>
              <w:rPr>
                <w:rFonts w:ascii="Arial" w:cs="Arial" w:eastAsia="Arial" w:hAnsi="Arial"/>
                <w:sz w:val="16"/>
                <w:szCs w:val="16"/>
                <w:b w:val="1"/>
                <w:bCs w:val="1"/>
                <w:color w:val="auto"/>
              </w:rPr>
              <w:t>Total</w:t>
            </w:r>
          </w:p>
        </w:tc>
      </w:tr>
      <w:tr>
        <w:trPr>
          <w:trHeight w:val="203"/>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7"/>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to Term</w:t>
            </w:r>
          </w:p>
        </w:tc>
        <w:tc>
          <w:tcPr>
            <w:tcW w:w="220" w:type="dxa"/>
            <w:vAlign w:val="bottom"/>
          </w:tcPr>
          <w:p>
            <w:pPr>
              <w:spacing w:after="0"/>
              <w:rPr>
                <w:sz w:val="17"/>
                <w:szCs w:val="17"/>
                <w:color w:val="auto"/>
              </w:rPr>
            </w:pPr>
          </w:p>
        </w:tc>
        <w:tc>
          <w:tcPr>
            <w:tcW w:w="800" w:type="dxa"/>
            <w:vAlign w:val="bottom"/>
          </w:tcPr>
          <w:p>
            <w:pPr>
              <w:jc w:val="right"/>
              <w:ind w:right="27"/>
              <w:spacing w:after="0"/>
              <w:rPr>
                <w:sz w:val="20"/>
                <w:szCs w:val="20"/>
                <w:color w:val="auto"/>
              </w:rPr>
            </w:pPr>
            <w:r>
              <w:rPr>
                <w:rFonts w:ascii="Arial" w:cs="Arial" w:eastAsia="Arial" w:hAnsi="Arial"/>
                <w:sz w:val="16"/>
                <w:szCs w:val="16"/>
                <w:b w:val="1"/>
                <w:bCs w:val="1"/>
                <w:color w:val="auto"/>
              </w:rPr>
              <w:t>Loans</w:t>
            </w:r>
          </w:p>
        </w:tc>
      </w:tr>
      <w:tr>
        <w:trPr>
          <w:trHeight w:val="213"/>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Prior</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102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6"/>
                <w:szCs w:val="16"/>
                <w:b w:val="1"/>
                <w:bCs w:val="1"/>
                <w:color w:val="auto"/>
              </w:rPr>
              <w:t>and Leases</w:t>
            </w: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r>
      <w:tr>
        <w:trPr>
          <w:trHeight w:val="162"/>
        </w:trPr>
        <w:tc>
          <w:tcPr>
            <w:tcW w:w="2000" w:type="dxa"/>
            <w:vAlign w:val="bottom"/>
          </w:tcPr>
          <w:p>
            <w:pPr>
              <w:ind w:left="500"/>
              <w:spacing w:after="0"/>
              <w:rPr>
                <w:sz w:val="20"/>
                <w:szCs w:val="20"/>
                <w:color w:val="auto"/>
              </w:rPr>
            </w:pPr>
            <w:r>
              <w:rPr>
                <w:rFonts w:ascii="Arial" w:cs="Arial" w:eastAsia="Arial" w:hAnsi="Arial"/>
                <w:sz w:val="14"/>
                <w:szCs w:val="14"/>
                <w:color w:val="auto"/>
              </w:rPr>
              <w:t>Pass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155,952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397,887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110,322</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88,056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38,839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97,488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264,104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606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1,153,254</w:t>
            </w:r>
          </w:p>
        </w:tc>
      </w:tr>
      <w:tr>
        <w:trPr>
          <w:trHeight w:val="162"/>
        </w:trPr>
        <w:tc>
          <w:tcPr>
            <w:tcW w:w="2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2,046</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11,189</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34,424</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7"/>
              <w:spacing w:after="0"/>
              <w:rPr>
                <w:sz w:val="20"/>
                <w:szCs w:val="20"/>
                <w:color w:val="auto"/>
              </w:rPr>
            </w:pPr>
            <w:r>
              <w:rPr>
                <w:rFonts w:ascii="Arial" w:cs="Arial" w:eastAsia="Arial" w:hAnsi="Arial"/>
                <w:sz w:val="14"/>
                <w:szCs w:val="14"/>
                <w:color w:val="auto"/>
              </w:rPr>
              <w:t>47,861</w:t>
            </w:r>
          </w:p>
        </w:tc>
      </w:tr>
      <w:tr>
        <w:trPr>
          <w:trHeight w:val="162"/>
        </w:trPr>
        <w:tc>
          <w:tcPr>
            <w:tcW w:w="2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188</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13,058</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18,809</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21,826</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79</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56,190</w:t>
            </w:r>
          </w:p>
        </w:tc>
      </w:tr>
      <w:tr>
        <w:trPr>
          <w:trHeight w:val="137"/>
        </w:trPr>
        <w:tc>
          <w:tcPr>
            <w:tcW w:w="200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Commercial and</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r>
      <w:tr>
        <w:trPr>
          <w:trHeight w:val="167"/>
        </w:trPr>
        <w:tc>
          <w:tcPr>
            <w:tcW w:w="20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Industrial</w:t>
            </w:r>
          </w:p>
        </w:tc>
        <w:tc>
          <w:tcPr>
            <w:tcW w:w="3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158,186</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410,568</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110,417</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101,114</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39,482</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116,464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320,354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720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1,257,305</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2000" w:type="dxa"/>
            <w:vAlign w:val="bottom"/>
          </w:tcPr>
          <w:p>
            <w:pPr>
              <w:ind w:left="260"/>
              <w:spacing w:after="0" w:line="143" w:lineRule="exact"/>
              <w:rPr>
                <w:sz w:val="20"/>
                <w:szCs w:val="20"/>
                <w:color w:val="auto"/>
              </w:rPr>
            </w:pPr>
            <w:r>
              <w:rPr>
                <w:rFonts w:ascii="Arial" w:cs="Arial" w:eastAsia="Arial" w:hAnsi="Arial"/>
                <w:sz w:val="14"/>
                <w:szCs w:val="14"/>
                <w:color w:val="auto"/>
              </w:rPr>
              <w:t>PPP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20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3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273,933</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239,580</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513,513</w:t>
            </w:r>
          </w:p>
        </w:tc>
      </w:tr>
      <w:tr>
        <w:trPr>
          <w:trHeight w:val="195"/>
        </w:trPr>
        <w:tc>
          <w:tcPr>
            <w:tcW w:w="20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PPP</w:t>
            </w:r>
          </w:p>
        </w:tc>
        <w:tc>
          <w:tcPr>
            <w:tcW w:w="3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273,933</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239,580</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513,513</w:t>
            </w:r>
          </w:p>
        </w:tc>
      </w:tr>
      <w:tr>
        <w:trPr>
          <w:trHeight w:val="143"/>
        </w:trPr>
        <w:tc>
          <w:tcPr>
            <w:tcW w:w="2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Commercial Mortgage</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62"/>
        </w:trPr>
        <w:tc>
          <w:tcPr>
            <w:tcW w:w="2000" w:type="dxa"/>
            <w:vAlign w:val="bottom"/>
          </w:tcPr>
          <w:p>
            <w:pPr>
              <w:ind w:left="500"/>
              <w:spacing w:after="0"/>
              <w:rPr>
                <w:sz w:val="20"/>
                <w:szCs w:val="20"/>
                <w:color w:val="auto"/>
              </w:rPr>
            </w:pPr>
            <w:r>
              <w:rPr>
                <w:rFonts w:ascii="Arial" w:cs="Arial" w:eastAsia="Arial" w:hAnsi="Arial"/>
                <w:sz w:val="14"/>
                <w:szCs w:val="14"/>
                <w:color w:val="auto"/>
              </w:rPr>
              <w:t>Pass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366,072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819,888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384,925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334,830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213,563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603,288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76,580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2,799,146</w:t>
            </w:r>
          </w:p>
        </w:tc>
      </w:tr>
      <w:tr>
        <w:trPr>
          <w:trHeight w:val="162"/>
        </w:trPr>
        <w:tc>
          <w:tcPr>
            <w:tcW w:w="2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2,082</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66,902</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28,340</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288</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13,532</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7"/>
              <w:spacing w:after="0"/>
              <w:rPr>
                <w:sz w:val="20"/>
                <w:szCs w:val="20"/>
                <w:color w:val="auto"/>
              </w:rPr>
            </w:pPr>
            <w:r>
              <w:rPr>
                <w:rFonts w:ascii="Arial" w:cs="Arial" w:eastAsia="Arial" w:hAnsi="Arial"/>
                <w:sz w:val="14"/>
                <w:szCs w:val="14"/>
                <w:color w:val="auto"/>
              </w:rPr>
              <w:t>111,144</w:t>
            </w:r>
          </w:p>
        </w:tc>
      </w:tr>
      <w:tr>
        <w:trPr>
          <w:trHeight w:val="162"/>
        </w:trPr>
        <w:tc>
          <w:tcPr>
            <w:tcW w:w="2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2,433</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13,456</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5,058</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12,551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34,145</w:t>
            </w:r>
          </w:p>
        </w:tc>
      </w:tr>
      <w:tr>
        <w:trPr>
          <w:trHeight w:val="137"/>
        </w:trPr>
        <w:tc>
          <w:tcPr>
            <w:tcW w:w="200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Commercial</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r>
      <w:tr>
        <w:trPr>
          <w:trHeight w:val="167"/>
        </w:trPr>
        <w:tc>
          <w:tcPr>
            <w:tcW w:w="20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Mortgage</w:t>
            </w:r>
          </w:p>
        </w:tc>
        <w:tc>
          <w:tcPr>
            <w:tcW w:w="3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370,587</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900,246</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413,912</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335,118</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218,621</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629,371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76,580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2,944,435</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2000" w:type="dxa"/>
            <w:vAlign w:val="bottom"/>
          </w:tcPr>
          <w:p>
            <w:pPr>
              <w:ind w:left="260"/>
              <w:spacing w:after="0" w:line="143" w:lineRule="exact"/>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20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3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58,780</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122,752</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66,038</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11,281</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895</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17,647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277,393</w:t>
            </w:r>
          </w:p>
        </w:tc>
      </w:tr>
      <w:tr>
        <w:trPr>
          <w:trHeight w:val="195"/>
        </w:trPr>
        <w:tc>
          <w:tcPr>
            <w:tcW w:w="20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Construction</w:t>
            </w:r>
          </w:p>
        </w:tc>
        <w:tc>
          <w:tcPr>
            <w:tcW w:w="3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58,780</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122,752</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66,038</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11,281</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895</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17,647</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277,393</w:t>
            </w:r>
          </w:p>
        </w:tc>
      </w:tr>
      <w:tr>
        <w:trPr>
          <w:trHeight w:val="143"/>
        </w:trPr>
        <w:tc>
          <w:tcPr>
            <w:tcW w:w="2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Lease Financing</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62"/>
        </w:trPr>
        <w:tc>
          <w:tcPr>
            <w:tcW w:w="2000" w:type="dxa"/>
            <w:vAlign w:val="bottom"/>
          </w:tcPr>
          <w:p>
            <w:pPr>
              <w:ind w:left="500"/>
              <w:spacing w:after="0"/>
              <w:rPr>
                <w:sz w:val="20"/>
                <w:szCs w:val="20"/>
                <w:color w:val="auto"/>
              </w:rPr>
            </w:pPr>
            <w:r>
              <w:rPr>
                <w:rFonts w:ascii="Arial" w:cs="Arial" w:eastAsia="Arial" w:hAnsi="Arial"/>
                <w:sz w:val="14"/>
                <w:szCs w:val="14"/>
                <w:color w:val="auto"/>
              </w:rPr>
              <w:t>Pass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16,191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17,249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18,115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11,671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3,039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43,308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109,573</w:t>
            </w:r>
          </w:p>
        </w:tc>
      </w:tr>
      <w:tr>
        <w:trPr>
          <w:trHeight w:val="162"/>
        </w:trPr>
        <w:tc>
          <w:tcPr>
            <w:tcW w:w="20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2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927</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927</w:t>
            </w:r>
          </w:p>
        </w:tc>
      </w:tr>
      <w:tr>
        <w:trPr>
          <w:trHeight w:val="137"/>
        </w:trPr>
        <w:tc>
          <w:tcPr>
            <w:tcW w:w="2000" w:type="dxa"/>
            <w:vAlign w:val="bottom"/>
          </w:tcPr>
          <w:p>
            <w:pPr>
              <w:ind w:left="260"/>
              <w:spacing w:after="0" w:line="137" w:lineRule="exact"/>
              <w:rPr>
                <w:sz w:val="20"/>
                <w:szCs w:val="20"/>
                <w:color w:val="auto"/>
              </w:rPr>
            </w:pPr>
            <w:r>
              <w:rPr>
                <w:rFonts w:ascii="Arial" w:cs="Arial" w:eastAsia="Arial" w:hAnsi="Arial"/>
                <w:sz w:val="14"/>
                <w:szCs w:val="14"/>
                <w:color w:val="auto"/>
              </w:rPr>
              <w:t>Total Lease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0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Financing</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16,191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18,115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12,598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110,500</w:t>
            </w:r>
          </w:p>
        </w:tc>
      </w:tr>
      <w:tr>
        <w:trPr>
          <w:trHeight w:val="143"/>
        </w:trPr>
        <w:tc>
          <w:tcPr>
            <w:tcW w:w="200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Commercial</w:t>
            </w:r>
          </w:p>
        </w:tc>
        <w:tc>
          <w:tcPr>
            <w:tcW w:w="320" w:type="dxa"/>
            <w:vAlign w:val="bottom"/>
            <w:tcBorders>
              <w:bottom w:val="single" w:sz="8" w:color="auto"/>
            </w:tcBorders>
            <w:gridSpan w:val="2"/>
            <w:shd w:val="clear" w:color="auto" w:fill="CFF0FC"/>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877,677</w:t>
            </w:r>
          </w:p>
        </w:tc>
        <w:tc>
          <w:tcPr>
            <w:tcW w:w="26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1,690,395</w:t>
            </w:r>
          </w:p>
        </w:tc>
        <w:tc>
          <w:tcPr>
            <w:tcW w:w="3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608,482</w:t>
            </w:r>
          </w:p>
        </w:tc>
        <w:tc>
          <w:tcPr>
            <w:tcW w:w="3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460,111</w:t>
            </w:r>
          </w:p>
        </w:tc>
        <w:tc>
          <w:tcPr>
            <w:tcW w:w="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262,037</w:t>
            </w:r>
          </w:p>
        </w:tc>
        <w:tc>
          <w:tcPr>
            <w:tcW w:w="26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789,143</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414,581</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720</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27"/>
              <w:spacing w:after="0" w:line="143" w:lineRule="exact"/>
              <w:rPr>
                <w:sz w:val="20"/>
                <w:szCs w:val="20"/>
                <w:color w:val="auto"/>
              </w:rPr>
            </w:pPr>
            <w:r>
              <w:rPr>
                <w:rFonts w:ascii="Arial" w:cs="Arial" w:eastAsia="Arial" w:hAnsi="Arial"/>
                <w:sz w:val="14"/>
                <w:szCs w:val="14"/>
                <w:color w:val="auto"/>
              </w:rPr>
              <w:t>5,103,146</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2000" w:type="dxa"/>
            <w:vAlign w:val="bottom"/>
          </w:tcPr>
          <w:p>
            <w:pPr>
              <w:spacing w:after="0" w:line="143" w:lineRule="exact"/>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2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Residential Mortgage</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r>
      <w:tr>
        <w:trPr>
          <w:trHeight w:val="162"/>
        </w:trPr>
        <w:tc>
          <w:tcPr>
            <w:tcW w:w="2000" w:type="dxa"/>
            <w:vAlign w:val="bottom"/>
          </w:tcPr>
          <w:p>
            <w:pPr>
              <w:ind w:left="500"/>
              <w:spacing w:after="0"/>
              <w:rPr>
                <w:sz w:val="20"/>
                <w:szCs w:val="20"/>
                <w:color w:val="auto"/>
              </w:rPr>
            </w:pPr>
            <w:r>
              <w:rPr>
                <w:rFonts w:ascii="Arial" w:cs="Arial" w:eastAsia="Arial" w:hAnsi="Arial"/>
                <w:sz w:val="14"/>
                <w:szCs w:val="14"/>
                <w:color w:val="auto"/>
              </w:rPr>
              <w:t>Pass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850,707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1,218,829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452,181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225,001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332,560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1,181,550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4,260,828</w:t>
            </w:r>
          </w:p>
        </w:tc>
      </w:tr>
      <w:tr>
        <w:trPr>
          <w:trHeight w:val="162"/>
        </w:trPr>
        <w:tc>
          <w:tcPr>
            <w:tcW w:w="20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2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294</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397</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909</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1,752</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3,352</w:t>
            </w:r>
          </w:p>
        </w:tc>
      </w:tr>
      <w:tr>
        <w:trPr>
          <w:trHeight w:val="137"/>
        </w:trPr>
        <w:tc>
          <w:tcPr>
            <w:tcW w:w="2000" w:type="dxa"/>
            <w:vAlign w:val="bottom"/>
          </w:tcPr>
          <w:p>
            <w:pPr>
              <w:ind w:left="260"/>
              <w:spacing w:after="0" w:line="137" w:lineRule="exact"/>
              <w:rPr>
                <w:sz w:val="20"/>
                <w:szCs w:val="20"/>
                <w:color w:val="auto"/>
              </w:rPr>
            </w:pPr>
            <w:r>
              <w:rPr>
                <w:rFonts w:ascii="Arial" w:cs="Arial" w:eastAsia="Arial" w:hAnsi="Arial"/>
                <w:sz w:val="14"/>
                <w:szCs w:val="14"/>
                <w:color w:val="auto"/>
              </w:rPr>
              <w:t>Total Residential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0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Mortgage</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850,707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1,218,829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452,475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225,398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333,469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1,183,302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4,264,180</w:t>
            </w:r>
          </w:p>
        </w:tc>
      </w:tr>
      <w:tr>
        <w:trPr>
          <w:trHeight w:val="143"/>
        </w:trPr>
        <w:tc>
          <w:tcPr>
            <w:tcW w:w="2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Home Equity</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62"/>
        </w:trPr>
        <w:tc>
          <w:tcPr>
            <w:tcW w:w="2000" w:type="dxa"/>
            <w:vAlign w:val="bottom"/>
          </w:tcPr>
          <w:p>
            <w:pPr>
              <w:ind w:left="500"/>
              <w:spacing w:after="0"/>
              <w:rPr>
                <w:sz w:val="20"/>
                <w:szCs w:val="20"/>
                <w:color w:val="auto"/>
              </w:rPr>
            </w:pPr>
            <w:r>
              <w:rPr>
                <w:rFonts w:ascii="Arial" w:cs="Arial" w:eastAsia="Arial" w:hAnsi="Arial"/>
                <w:sz w:val="14"/>
                <w:szCs w:val="14"/>
                <w:color w:val="auto"/>
              </w:rPr>
              <w:t>Pass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1,550,205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33,831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1,587,560</w:t>
            </w:r>
          </w:p>
        </w:tc>
      </w:tr>
      <w:tr>
        <w:trPr>
          <w:trHeight w:val="162"/>
        </w:trPr>
        <w:tc>
          <w:tcPr>
            <w:tcW w:w="20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2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5,839</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1,266</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7,221</w:t>
            </w:r>
          </w:p>
        </w:tc>
      </w:tr>
      <w:tr>
        <w:trPr>
          <w:trHeight w:val="195"/>
        </w:trPr>
        <w:tc>
          <w:tcPr>
            <w:tcW w:w="20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Home Equity</w:t>
            </w:r>
          </w:p>
        </w:tc>
        <w:tc>
          <w:tcPr>
            <w:tcW w:w="3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3,640</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1,556,044</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35,097</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1,594,781</w:t>
            </w:r>
          </w:p>
        </w:tc>
      </w:tr>
      <w:tr>
        <w:trPr>
          <w:trHeight w:val="143"/>
        </w:trPr>
        <w:tc>
          <w:tcPr>
            <w:tcW w:w="2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Automobile</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62"/>
        </w:trPr>
        <w:tc>
          <w:tcPr>
            <w:tcW w:w="2000" w:type="dxa"/>
            <w:vAlign w:val="bottom"/>
          </w:tcPr>
          <w:p>
            <w:pPr>
              <w:ind w:left="500"/>
              <w:spacing w:after="0"/>
              <w:rPr>
                <w:sz w:val="20"/>
                <w:szCs w:val="20"/>
                <w:color w:val="auto"/>
              </w:rPr>
            </w:pPr>
            <w:r>
              <w:rPr>
                <w:rFonts w:ascii="Arial" w:cs="Arial" w:eastAsia="Arial" w:hAnsi="Arial"/>
                <w:sz w:val="14"/>
                <w:szCs w:val="14"/>
                <w:color w:val="auto"/>
              </w:rPr>
              <w:t>Pass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156,177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181,983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173,776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122,448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49,436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30,631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714,451</w:t>
            </w:r>
          </w:p>
        </w:tc>
      </w:tr>
      <w:tr>
        <w:trPr>
          <w:trHeight w:val="162"/>
        </w:trPr>
        <w:tc>
          <w:tcPr>
            <w:tcW w:w="20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2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278</w:t>
            </w:r>
          </w:p>
        </w:tc>
      </w:tr>
      <w:tr>
        <w:trPr>
          <w:trHeight w:val="196"/>
        </w:trPr>
        <w:tc>
          <w:tcPr>
            <w:tcW w:w="20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Automobile</w:t>
            </w:r>
          </w:p>
        </w:tc>
        <w:tc>
          <w:tcPr>
            <w:tcW w:w="3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156,188</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182,047</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173,844</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122,455</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49,458</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30,737</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714,729</w:t>
            </w:r>
          </w:p>
        </w:tc>
      </w:tr>
      <w:tr>
        <w:trPr>
          <w:trHeight w:val="143"/>
        </w:trPr>
        <w:tc>
          <w:tcPr>
            <w:tcW w:w="2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62"/>
        </w:trPr>
        <w:tc>
          <w:tcPr>
            <w:tcW w:w="2000" w:type="dxa"/>
            <w:vAlign w:val="bottom"/>
          </w:tcPr>
          <w:p>
            <w:pPr>
              <w:ind w:left="500"/>
              <w:spacing w:after="0"/>
              <w:rPr>
                <w:sz w:val="20"/>
                <w:szCs w:val="20"/>
                <w:color w:val="auto"/>
              </w:rPr>
            </w:pPr>
            <w:r>
              <w:rPr>
                <w:rFonts w:ascii="Arial" w:cs="Arial" w:eastAsia="Arial" w:hAnsi="Arial"/>
                <w:sz w:val="14"/>
                <w:szCs w:val="14"/>
                <w:color w:val="auto"/>
              </w:rPr>
              <w:t>Pass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51,802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60,646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119,677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68,058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26,288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8,372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27,833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1,431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364,107</w:t>
            </w:r>
          </w:p>
        </w:tc>
      </w:tr>
      <w:tr>
        <w:trPr>
          <w:trHeight w:val="162"/>
        </w:trPr>
        <w:tc>
          <w:tcPr>
            <w:tcW w:w="20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2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172</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120</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435</w:t>
            </w:r>
          </w:p>
        </w:tc>
      </w:tr>
      <w:tr>
        <w:trPr>
          <w:trHeight w:val="195"/>
        </w:trPr>
        <w:tc>
          <w:tcPr>
            <w:tcW w:w="20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Other</w:t>
            </w:r>
          </w:p>
        </w:tc>
        <w:tc>
          <w:tcPr>
            <w:tcW w:w="3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51,802</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60,680</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119,849</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68,178</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26,344</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8,391</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27,865</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1,433</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364,542</w:t>
            </w:r>
          </w:p>
        </w:tc>
      </w:tr>
      <w:tr>
        <w:trPr>
          <w:trHeight w:val="143"/>
        </w:trPr>
        <w:tc>
          <w:tcPr>
            <w:tcW w:w="200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Consumer</w:t>
            </w:r>
          </w:p>
        </w:tc>
        <w:tc>
          <w:tcPr>
            <w:tcW w:w="320" w:type="dxa"/>
            <w:vAlign w:val="bottom"/>
            <w:tcBorders>
              <w:bottom w:val="single" w:sz="8" w:color="auto"/>
            </w:tcBorders>
            <w:gridSpan w:val="2"/>
            <w:shd w:val="clear" w:color="auto" w:fill="CFF0FC"/>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w w:val="93"/>
              </w:rPr>
              <w:t>1,058,697</w:t>
            </w:r>
          </w:p>
        </w:tc>
        <w:tc>
          <w:tcPr>
            <w:tcW w:w="26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1,461,556</w:t>
            </w:r>
          </w:p>
        </w:tc>
        <w:tc>
          <w:tcPr>
            <w:tcW w:w="3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746,168</w:t>
            </w:r>
          </w:p>
        </w:tc>
        <w:tc>
          <w:tcPr>
            <w:tcW w:w="3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416,031</w:t>
            </w:r>
          </w:p>
        </w:tc>
        <w:tc>
          <w:tcPr>
            <w:tcW w:w="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409,271</w:t>
            </w:r>
          </w:p>
        </w:tc>
        <w:tc>
          <w:tcPr>
            <w:tcW w:w="26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1,226,070</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1,583,909</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36,530</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27"/>
              <w:spacing w:after="0" w:line="143" w:lineRule="exact"/>
              <w:rPr>
                <w:sz w:val="20"/>
                <w:szCs w:val="20"/>
                <w:color w:val="auto"/>
              </w:rPr>
            </w:pPr>
            <w:r>
              <w:rPr>
                <w:rFonts w:ascii="Arial" w:cs="Arial" w:eastAsia="Arial" w:hAnsi="Arial"/>
                <w:sz w:val="14"/>
                <w:szCs w:val="14"/>
                <w:color w:val="auto"/>
              </w:rPr>
              <w:t>6,938,232</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20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Total Loans and Leases</w:t>
            </w:r>
          </w:p>
        </w:tc>
        <w:tc>
          <w:tcPr>
            <w:tcW w:w="320" w:type="dxa"/>
            <w:vAlign w:val="bottom"/>
            <w:tcBorders>
              <w:bottom w:val="single" w:sz="8" w:color="auto"/>
            </w:tcBorders>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w w:val="93"/>
              </w:rPr>
              <w:t>1,936,374</w:t>
            </w:r>
          </w:p>
        </w:tc>
        <w:tc>
          <w:tcPr>
            <w:tcW w:w="2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3,151,951</w:t>
            </w: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1,354,650</w:t>
            </w:r>
          </w:p>
        </w:tc>
        <w:tc>
          <w:tcPr>
            <w:tcW w:w="3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876,142</w:t>
            </w:r>
          </w:p>
        </w:tc>
        <w:tc>
          <w:tcPr>
            <w:tcW w:w="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671,308</w:t>
            </w:r>
          </w:p>
        </w:tc>
        <w:tc>
          <w:tcPr>
            <w:tcW w:w="2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2,015,213</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1,998,490</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37,250</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line="143" w:lineRule="exact"/>
              <w:rPr>
                <w:sz w:val="20"/>
                <w:szCs w:val="20"/>
                <w:color w:val="auto"/>
              </w:rPr>
            </w:pPr>
            <w:r>
              <w:rPr>
                <w:rFonts w:ascii="Arial" w:cs="Arial" w:eastAsia="Arial" w:hAnsi="Arial"/>
                <w:sz w:val="14"/>
                <w:szCs w:val="14"/>
                <w:color w:val="auto"/>
                <w:w w:val="96"/>
              </w:rPr>
              <w:t>12,041,378</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For the six months ended June 30, 2021, and June 30, 2020, $2.9 million and $1.3 million revolving loans, respectively, were converted to term loans.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presents by credit quality indicator, loan class, and year of origination, the amortized cost basis of the Company’s loans and leases as of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6"/>
                <w:szCs w:val="16"/>
                <w:b w:val="1"/>
                <w:bCs w:val="1"/>
                <w:color w:val="auto"/>
                <w:w w:val="93"/>
              </w:rPr>
              <w:t>Term Loans by Origination Year</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Converted</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to Term</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Loans</w:t>
            </w:r>
          </w:p>
        </w:tc>
      </w:tr>
      <w:tr>
        <w:trPr>
          <w:trHeight w:val="213"/>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Prior</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and Leases</w:t>
            </w:r>
          </w:p>
        </w:tc>
      </w:tr>
      <w:tr>
        <w:trPr>
          <w:trHeight w:val="213"/>
        </w:trPr>
        <w:tc>
          <w:tcPr>
            <w:tcW w:w="2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426,780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149,024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149,468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49,385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52,354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68,269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342,339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847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1,238,466</w:t>
            </w: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11,702</w:t>
            </w: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32,319</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52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44,320</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32,208</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2,266</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777</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19,166</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18,529</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125</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74,824</w:t>
            </w:r>
          </w:p>
        </w:tc>
      </w:tr>
      <w:tr>
        <w:trPr>
          <w:trHeight w:val="137"/>
        </w:trPr>
        <w:tc>
          <w:tcPr>
            <w:tcW w:w="222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Commercial and</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2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Industrial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470,690</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150,800</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151,734</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50,162</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52,483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87,530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393,187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1,024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1,357,610</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PPP</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517,683</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517,683</w:t>
            </w:r>
          </w:p>
        </w:tc>
      </w:tr>
      <w:tr>
        <w:trPr>
          <w:trHeight w:val="195"/>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PPP</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517,683</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517,683</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Commercial Mortgage</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847,676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458,472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350,363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245,157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267,860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425,157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76,869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2,671,554</w:t>
            </w: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66,523</w:t>
            </w: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28,418</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291</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7,117</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8,665</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5,035</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116,049</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49,640</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2,783</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9,132</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67,226</w:t>
            </w:r>
          </w:p>
        </w:tc>
      </w:tr>
      <w:tr>
        <w:trPr>
          <w:trHeight w:val="137"/>
        </w:trPr>
        <w:tc>
          <w:tcPr>
            <w:tcW w:w="222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Commercial</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2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Mortgage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963,839</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487,545</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353,437</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252,548</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281,267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439,324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76,869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2,854,829</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Construction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106,508</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105,731</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11,275</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8,133</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28,151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259,798</w:t>
            </w:r>
          </w:p>
        </w:tc>
      </w:tr>
      <w:tr>
        <w:trPr>
          <w:trHeight w:val="196"/>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Construction</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106,508</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105,731</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11,275</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8,133</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28,151</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259,798</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Lease Financing</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19,906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20,132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13,785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4,202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9,657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41,755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109,437</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1,092</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95</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1,329</w:t>
            </w:r>
          </w:p>
        </w:tc>
      </w:tr>
      <w:tr>
        <w:trPr>
          <w:trHeight w:val="137"/>
        </w:trPr>
        <w:tc>
          <w:tcPr>
            <w:tcW w:w="2220" w:type="dxa"/>
            <w:vAlign w:val="bottom"/>
          </w:tcPr>
          <w:p>
            <w:pPr>
              <w:ind w:left="260"/>
              <w:spacing w:after="0" w:line="137" w:lineRule="exact"/>
              <w:rPr>
                <w:sz w:val="20"/>
                <w:szCs w:val="20"/>
                <w:color w:val="auto"/>
              </w:rPr>
            </w:pPr>
            <w:r>
              <w:rPr>
                <w:rFonts w:ascii="Arial" w:cs="Arial" w:eastAsia="Arial" w:hAnsi="Arial"/>
                <w:sz w:val="14"/>
                <w:szCs w:val="14"/>
                <w:color w:val="auto"/>
              </w:rPr>
              <w:t>Total Lease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7"/>
        </w:trPr>
        <w:tc>
          <w:tcPr>
            <w:tcW w:w="2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Financing</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19,939</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14,877</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110,766</w:t>
            </w:r>
          </w:p>
        </w:tc>
      </w:tr>
      <w:tr>
        <w:trPr>
          <w:trHeight w:val="143"/>
        </w:trPr>
        <w:tc>
          <w:tcPr>
            <w:tcW w:w="222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Commercial</w:t>
            </w: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w w:val="96"/>
              </w:rPr>
              <w:t>2,078,659</w:t>
            </w:r>
          </w:p>
        </w:tc>
        <w:tc>
          <w:tcPr>
            <w:tcW w:w="28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764,275</w:t>
            </w:r>
          </w:p>
        </w:tc>
        <w:tc>
          <w:tcPr>
            <w:tcW w:w="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531,323</w:t>
            </w:r>
          </w:p>
        </w:tc>
        <w:tc>
          <w:tcPr>
            <w:tcW w:w="3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315,087</w:t>
            </w:r>
          </w:p>
        </w:tc>
        <w:tc>
          <w:tcPr>
            <w:tcW w:w="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343,502</w:t>
            </w:r>
          </w:p>
        </w:tc>
        <w:tc>
          <w:tcPr>
            <w:tcW w:w="2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568,609</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498,207</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1,024</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5,100,686</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1,300,831</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576,452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295,522</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454,165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545,798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954,120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4,126,888</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294</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1,032</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2,299</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3,625</w:t>
            </w:r>
          </w:p>
        </w:tc>
      </w:tr>
      <w:tr>
        <w:trPr>
          <w:trHeight w:val="137"/>
        </w:trPr>
        <w:tc>
          <w:tcPr>
            <w:tcW w:w="2220" w:type="dxa"/>
            <w:vAlign w:val="bottom"/>
          </w:tcPr>
          <w:p>
            <w:pPr>
              <w:ind w:left="260"/>
              <w:spacing w:after="0" w:line="137" w:lineRule="exact"/>
              <w:rPr>
                <w:sz w:val="20"/>
                <w:szCs w:val="20"/>
                <w:color w:val="auto"/>
              </w:rPr>
            </w:pPr>
            <w:r>
              <w:rPr>
                <w:rFonts w:ascii="Arial" w:cs="Arial" w:eastAsia="Arial" w:hAnsi="Arial"/>
                <w:sz w:val="14"/>
                <w:szCs w:val="14"/>
                <w:color w:val="auto"/>
              </w:rPr>
              <w:t>Total Residential</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7"/>
        </w:trPr>
        <w:tc>
          <w:tcPr>
            <w:tcW w:w="22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Mortgage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1,300,831</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576,746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295,522</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455,197</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545,798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956,419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4,130,513</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Home Equity</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1,556,671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37,559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1,598,679</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88</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4,693</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1,078</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5,859</w:t>
            </w:r>
          </w:p>
        </w:tc>
      </w:tr>
      <w:tr>
        <w:trPr>
          <w:trHeight w:val="196"/>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Home Equity</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4,537</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1,561,364</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38,637</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1,604,538</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Automobile</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219,218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213,914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158,216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68,776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33,899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13,850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707,873</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101</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171</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113</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161</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136</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927</w:t>
            </w:r>
          </w:p>
        </w:tc>
      </w:tr>
      <w:tr>
        <w:trPr>
          <w:trHeight w:val="195"/>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Automobile</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219,319</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214,159</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158,387</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68,889</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34,060</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13,986</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708,800</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1</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71,042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145,549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92,993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39,770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9,225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2,189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32,070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1,485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394,323</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375</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167</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85</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1,160</w:t>
            </w:r>
          </w:p>
        </w:tc>
      </w:tr>
      <w:tr>
        <w:trPr>
          <w:trHeight w:val="195"/>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Other</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71,093</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145,968</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93,368</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39,937</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9,267</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2,210</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32,155</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1,485</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395,483</w:t>
            </w:r>
          </w:p>
        </w:tc>
      </w:tr>
      <w:tr>
        <w:trPr>
          <w:trHeight w:val="143"/>
        </w:trPr>
        <w:tc>
          <w:tcPr>
            <w:tcW w:w="222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Consumer</w:t>
            </w: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w w:val="96"/>
              </w:rPr>
              <w:t>1,591,243</w:t>
            </w:r>
          </w:p>
        </w:tc>
        <w:tc>
          <w:tcPr>
            <w:tcW w:w="28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936,873</w:t>
            </w:r>
          </w:p>
        </w:tc>
        <w:tc>
          <w:tcPr>
            <w:tcW w:w="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547,277</w:t>
            </w:r>
          </w:p>
        </w:tc>
        <w:tc>
          <w:tcPr>
            <w:tcW w:w="3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564,023</w:t>
            </w:r>
          </w:p>
        </w:tc>
        <w:tc>
          <w:tcPr>
            <w:tcW w:w="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589,125</w:t>
            </w:r>
          </w:p>
        </w:tc>
        <w:tc>
          <w:tcPr>
            <w:tcW w:w="2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977,152</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1,593,519</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40,122</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6,839,334</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Total Loans and Leases</w:t>
            </w: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96"/>
              </w:rPr>
              <w:t>3,669,902</w:t>
            </w:r>
          </w:p>
        </w:tc>
        <w:tc>
          <w:tcPr>
            <w:tcW w:w="2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1,701,148</w:t>
            </w: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1,078,600</w:t>
            </w:r>
          </w:p>
        </w:tc>
        <w:tc>
          <w:tcPr>
            <w:tcW w:w="3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879,110</w:t>
            </w:r>
          </w:p>
        </w:tc>
        <w:tc>
          <w:tcPr>
            <w:tcW w:w="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932,627</w:t>
            </w: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1,545,761</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2,091,726</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41,146</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11,940,020</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19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June 30, 2021, and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Non-</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Accrual</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Loans</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30 - 59</w:t>
            </w:r>
          </w:p>
        </w:tc>
        <w:tc>
          <w:tcPr>
            <w:tcW w:w="2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60 - 89</w:t>
            </w:r>
          </w:p>
        </w:tc>
        <w:tc>
          <w:tcPr>
            <w:tcW w:w="2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Past Due</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Past Due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87"/>
              </w:rPr>
              <w:t>and Leases</w:t>
            </w:r>
          </w:p>
        </w:tc>
      </w:tr>
      <w:tr>
        <w:trPr>
          <w:trHeight w:val="199"/>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Days</w:t>
            </w:r>
          </w:p>
        </w:tc>
        <w:tc>
          <w:tcPr>
            <w:tcW w:w="2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Days</w:t>
            </w:r>
          </w:p>
        </w:tc>
        <w:tc>
          <w:tcPr>
            <w:tcW w:w="2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90 Days</w:t>
            </w:r>
          </w:p>
        </w:tc>
        <w:tc>
          <w:tcPr>
            <w:tcW w:w="3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Non-</w:t>
            </w:r>
          </w:p>
        </w:tc>
        <w:tc>
          <w:tcPr>
            <w:tcW w:w="2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and Non-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Loans and</w:t>
            </w: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that are</w:t>
            </w:r>
          </w:p>
        </w:tc>
      </w:tr>
      <w:tr>
        <w:trPr>
          <w:trHeight w:val="220"/>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Past Due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Past Due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or More</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Accrual</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Accrual</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Leases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 xml:space="preserve">Current </w:t>
            </w:r>
            <w:r>
              <w:rPr>
                <w:rFonts w:ascii="Arial" w:cs="Arial" w:eastAsia="Arial" w:hAnsi="Arial"/>
                <w:sz w:val="25"/>
                <w:szCs w:val="25"/>
                <w:b w:val="1"/>
                <w:bCs w:val="1"/>
                <w:color w:val="auto"/>
                <w:vertAlign w:val="superscript"/>
              </w:rPr>
              <w:t>2</w:t>
            </w:r>
          </w:p>
        </w:tc>
      </w:tr>
      <w:tr>
        <w:trPr>
          <w:trHeight w:val="210"/>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 of June 30, 2021</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color w:val="auto"/>
              </w:rPr>
              <w:t>Commercial</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195</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2,443</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1,254,862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1,257,305</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PPP</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513,513</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513,513</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8,413</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8,413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2,936,022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2,944,435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4,869</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277,393</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277,393</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110,500</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110,500</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1,990</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8,671</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10,856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5,092,290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5,103,146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5,086</w:t>
            </w:r>
          </w:p>
        </w:tc>
      </w:tr>
      <w:tr>
        <w:trPr>
          <w:trHeight w:val="212"/>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5,587</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2,194</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4,069</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2,437</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14,287</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4,249,893</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4,264,180</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932</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1,031</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440</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4,498</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5,534</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11,503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1,583,278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1,594,781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1,154</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5,828</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755</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6,860</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707,869</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714,729</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1,645</w:t>
            </w: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852</w:t>
            </w: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434</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2,931</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361,611</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364,542</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7"/>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14,091</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4,241</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9,278</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7,971</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35,581</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6,902,651</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6,938,232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2,086</w:t>
            </w:r>
          </w:p>
        </w:tc>
      </w:tr>
      <w:tr>
        <w:trPr>
          <w:trHeight w:val="210"/>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14,286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6,231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9,278</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16,642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46,437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11,994,941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92"/>
              </w:rPr>
              <w:t>12,041,378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7,172</w:t>
            </w: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9"/>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 of December 31, 2020</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color w:val="auto"/>
              </w:rPr>
              <w:t>Commercial</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1,356,919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1,357,610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PPP</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517,683</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517,683</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8,527</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8,527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2,846,302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2,854,829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4,983</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259,798</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259,798</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110,766</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110,766</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8,968</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9,218</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5,091,468</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5,100,686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5,268</w:t>
            </w:r>
          </w:p>
        </w:tc>
      </w:tr>
      <w:tr>
        <w:trPr>
          <w:trHeight w:val="213"/>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4,049</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2,083</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5,274</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3,223</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14,629</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4,115,884</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4,130,513</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2,100</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3,423</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3,378</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3,187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3,958</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13,946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1,590,592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1,604,538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987</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5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6,358</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2,215</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9,498</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699,302</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708,800</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2,556</w:t>
            </w: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1,612</w:t>
            </w: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1,160</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5,328</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390,155</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395,483</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6"/>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16,386</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9,288</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10,546</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7,181</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43,401</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6,795,933</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6,839,334</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3,087</w:t>
            </w:r>
          </w:p>
        </w:tc>
      </w:tr>
      <w:tr>
        <w:trPr>
          <w:trHeight w:val="210"/>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16,577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9,347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10,546</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16,149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52,619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11,887,401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92"/>
              </w:rPr>
              <w:t>11,940,020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8,355</w:t>
            </w: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hanging="172"/>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 and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non-accrual loans and leases as of June 30, 2021, and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w w:val="98"/>
              </w:rPr>
              <w:t>Non-accrual</w:t>
            </w:r>
          </w:p>
        </w:tc>
        <w:tc>
          <w:tcPr>
            <w:tcW w:w="200" w:type="dxa"/>
            <w:vAlign w:val="bottom"/>
          </w:tcPr>
          <w:p>
            <w:pPr>
              <w:spacing w:after="0"/>
              <w:rPr>
                <w:sz w:val="11"/>
                <w:szCs w:val="11"/>
                <w:color w:val="auto"/>
              </w:rPr>
            </w:pPr>
          </w:p>
        </w:tc>
        <w:tc>
          <w:tcPr>
            <w:tcW w:w="96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Non-accrual</w:t>
            </w:r>
          </w:p>
        </w:tc>
        <w:tc>
          <w:tcPr>
            <w:tcW w:w="220" w:type="dxa"/>
            <w:vAlign w:val="bottom"/>
          </w:tcPr>
          <w:p>
            <w:pPr>
              <w:spacing w:after="0"/>
              <w:rPr>
                <w:sz w:val="11"/>
                <w:szCs w:val="11"/>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 Non-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w w:val="98"/>
              </w:rPr>
              <w:t>Non-accrual</w:t>
            </w:r>
          </w:p>
        </w:tc>
        <w:tc>
          <w:tcPr>
            <w:tcW w:w="240" w:type="dxa"/>
            <w:vAlign w:val="bottom"/>
          </w:tcPr>
          <w:p>
            <w:pPr>
              <w:spacing w:after="0"/>
              <w:rPr>
                <w:sz w:val="11"/>
                <w:szCs w:val="11"/>
                <w:color w:val="auto"/>
              </w:rPr>
            </w:pPr>
          </w:p>
        </w:tc>
        <w:tc>
          <w:tcPr>
            <w:tcW w:w="104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Non-accrual</w:t>
            </w:r>
          </w:p>
        </w:tc>
        <w:tc>
          <w:tcPr>
            <w:tcW w:w="160" w:type="dxa"/>
            <w:vAlign w:val="bottom"/>
          </w:tcPr>
          <w:p>
            <w:pPr>
              <w:spacing w:after="0"/>
              <w:rPr>
                <w:sz w:val="11"/>
                <w:szCs w:val="1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 Non-</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9"/>
              </w:rPr>
              <w:t>loans with a</w:t>
            </w:r>
          </w:p>
        </w:tc>
        <w:tc>
          <w:tcPr>
            <w:tcW w:w="20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3"/>
              </w:rPr>
              <w:t>loans without</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99"/>
              </w:rPr>
              <w:t>loans with a</w:t>
            </w:r>
          </w:p>
        </w:tc>
        <w:tc>
          <w:tcPr>
            <w:tcW w:w="240" w:type="dxa"/>
            <w:vAlign w:val="bottom"/>
          </w:tcPr>
          <w:p>
            <w:pPr>
              <w:spacing w:after="0"/>
              <w:rPr>
                <w:sz w:val="12"/>
                <w:szCs w:val="12"/>
                <w:color w:val="auto"/>
              </w:rPr>
            </w:pP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3"/>
              </w:rPr>
              <w:t>loans without</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related ACL</w:t>
            </w:r>
          </w:p>
        </w:tc>
        <w:tc>
          <w:tcPr>
            <w:tcW w:w="11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 related ACL</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accrual loans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related ACL</w:t>
            </w:r>
          </w:p>
        </w:tc>
        <w:tc>
          <w:tcPr>
            <w:tcW w:w="12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a related ACL</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accrual loans</w:t>
            </w: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Commercial</w:t>
            </w: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Commercial and Industrial</w:t>
            </w: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Commercial Mortgage</w:t>
            </w:r>
          </w:p>
        </w:tc>
        <w:tc>
          <w:tcPr>
            <w:tcW w:w="12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8,413</w:t>
            </w:r>
          </w:p>
        </w:tc>
        <w:tc>
          <w:tcPr>
            <w:tcW w:w="2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8,413</w:t>
            </w:r>
          </w:p>
        </w:tc>
        <w:tc>
          <w:tcPr>
            <w:tcW w:w="1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8,527</w:t>
            </w:r>
          </w:p>
        </w:tc>
        <w:tc>
          <w:tcPr>
            <w:tcW w:w="2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Commercial</w:t>
            </w: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8,671</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8,671</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8,968</w:t>
            </w: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Consumer</w:t>
            </w: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2,314</w:t>
            </w:r>
          </w:p>
        </w:tc>
        <w:tc>
          <w:tcPr>
            <w:tcW w:w="2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3,096</w:t>
            </w:r>
          </w:p>
        </w:tc>
        <w:tc>
          <w:tcPr>
            <w:tcW w:w="2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127</w:t>
            </w:r>
          </w:p>
        </w:tc>
        <w:tc>
          <w:tcPr>
            <w:tcW w:w="1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Home Equity</w:t>
            </w:r>
          </w:p>
        </w:tc>
        <w:tc>
          <w:tcPr>
            <w:tcW w:w="12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5,534</w:t>
            </w:r>
          </w:p>
        </w:tc>
        <w:tc>
          <w:tcPr>
            <w:tcW w:w="2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5,534</w:t>
            </w:r>
          </w:p>
        </w:tc>
        <w:tc>
          <w:tcPr>
            <w:tcW w:w="1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3,958</w:t>
            </w:r>
          </w:p>
        </w:tc>
        <w:tc>
          <w:tcPr>
            <w:tcW w:w="2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3,958</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Consumer</w:t>
            </w: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7,848</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123</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7,971</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7,054</w:t>
            </w: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127</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uto"/>
            </w:tcBorders>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16,519</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123</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16,642</w:t>
            </w:r>
          </w:p>
        </w:tc>
        <w:tc>
          <w:tcPr>
            <w:tcW w:w="240" w:type="dxa"/>
            <w:vAlign w:val="bottom"/>
            <w:tcBorders>
              <w:bottom w:val="single" w:sz="8" w:color="auto"/>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16,022</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127</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16,149</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All payments received while on non-accrual status are applied against the principal balance of the loan or lease. The Company does not recognize interest income while loans or leases are on non-accrual status.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$84.9 million as of June 30, 2021, and $72.5 million as of December 31, 2020. There were $0.2 million and $0.5 million commitments to lend additional funds on loans modified in a TDR as of June 30, 2021, and December 31, 2020, respectively.</w:t>
      </w:r>
    </w:p>
    <w:p>
      <w:pPr>
        <w:spacing w:after="0" w:line="16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class, information related to loans modified in a TDR during the three and six months ended June 30, 2021, and June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40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3"/>
              </w:rPr>
              <w:t>Loans Modified as a TDR for the</w:t>
            </w:r>
          </w:p>
        </w:tc>
        <w:tc>
          <w:tcPr>
            <w:tcW w:w="392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auto"/>
              </w:rPr>
              <w:t>Loans Modified as a TDR for the</w:t>
            </w:r>
          </w:p>
        </w:tc>
      </w:tr>
      <w:tr>
        <w:trPr>
          <w:trHeight w:val="213"/>
        </w:trPr>
        <w:tc>
          <w:tcPr>
            <w:tcW w:w="3300" w:type="dxa"/>
            <w:vAlign w:val="bottom"/>
          </w:tcPr>
          <w:p>
            <w:pPr>
              <w:spacing w:after="0"/>
              <w:rPr>
                <w:sz w:val="18"/>
                <w:szCs w:val="18"/>
                <w:color w:val="auto"/>
              </w:rPr>
            </w:pPr>
          </w:p>
        </w:tc>
        <w:tc>
          <w:tcPr>
            <w:tcW w:w="402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2"/>
              </w:rPr>
              <w:t>Three Months Ended June 30, 2021</w:t>
            </w:r>
          </w:p>
        </w:tc>
        <w:tc>
          <w:tcPr>
            <w:tcW w:w="392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auto"/>
              </w:rPr>
              <w:t>Three Months Ended June 30, 2020</w:t>
            </w:r>
          </w:p>
        </w:tc>
      </w:tr>
      <w:tr>
        <w:trPr>
          <w:trHeight w:val="207"/>
        </w:trPr>
        <w:tc>
          <w:tcPr>
            <w:tcW w:w="33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r>
      <w:tr>
        <w:trPr>
          <w:trHeight w:val="216"/>
        </w:trPr>
        <w:tc>
          <w:tcPr>
            <w:tcW w:w="3300" w:type="dxa"/>
            <w:vAlign w:val="bottom"/>
          </w:tcPr>
          <w:p>
            <w:pPr>
              <w:spacing w:after="0"/>
              <w:rPr>
                <w:sz w:val="20"/>
                <w:szCs w:val="20"/>
                <w:color w:val="auto"/>
              </w:rPr>
            </w:pPr>
            <w:r>
              <w:rPr>
                <w:rFonts w:ascii="Arial" w:cs="Arial" w:eastAsia="Arial" w:hAnsi="Arial"/>
                <w:sz w:val="16"/>
                <w:szCs w:val="16"/>
                <w:b w:val="1"/>
                <w:bCs w:val="1"/>
                <w:color w:val="auto"/>
              </w:rPr>
              <w:t>Troubled Debt Restructurings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Allowance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Allowance</w:t>
            </w:r>
          </w:p>
        </w:tc>
      </w:tr>
      <w:tr>
        <w:trPr>
          <w:trHeight w:val="205"/>
        </w:trPr>
        <w:tc>
          <w:tcPr>
            <w:tcW w:w="33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3"/>
              </w:rPr>
              <w:t>(as of period</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(as of period</w:t>
            </w:r>
          </w:p>
        </w:tc>
      </w:tr>
      <w:tr>
        <w:trPr>
          <w:trHeight w:val="22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end)</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end)</w:t>
            </w: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33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Construction</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1,152</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1,152</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300" w:type="dxa"/>
            <w:vAlign w:val="bottom"/>
          </w:tcPr>
          <w:p>
            <w:pPr>
              <w:spacing w:after="0"/>
              <w:rPr>
                <w:sz w:val="20"/>
                <w:szCs w:val="20"/>
                <w:color w:val="auto"/>
              </w:rPr>
            </w:pPr>
            <w:r>
              <w:rPr>
                <w:rFonts w:ascii="Arial" w:cs="Arial" w:eastAsia="Arial" w:hAnsi="Arial"/>
                <w:sz w:val="16"/>
                <w:szCs w:val="16"/>
                <w:color w:val="auto"/>
              </w:rPr>
              <w:t>Consumer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3,714</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462</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3,797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r>
      <w:tr>
        <w:trPr>
          <w:trHeight w:val="216"/>
        </w:trPr>
        <w:tc>
          <w:tcPr>
            <w:tcW w:w="330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r>
      <w:tr>
        <w:trPr>
          <w:trHeight w:val="206"/>
        </w:trPr>
        <w:tc>
          <w:tcPr>
            <w:tcW w:w="3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8,983</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219</w:t>
            </w: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357</w:t>
            </w: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r>
      <w:tr>
        <w:trPr>
          <w:trHeight w:val="209"/>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and installment financing.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57"/>
        </w:trPr>
        <w:tc>
          <w:tcPr>
            <w:tcW w:w="116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4020" w:type="dxa"/>
            <w:vAlign w:val="bottom"/>
            <w:gridSpan w:val="6"/>
          </w:tcPr>
          <w:p>
            <w:pPr>
              <w:ind w:left="740"/>
              <w:spacing w:after="0"/>
              <w:rPr>
                <w:sz w:val="20"/>
                <w:szCs w:val="20"/>
                <w:color w:val="auto"/>
              </w:rPr>
            </w:pPr>
            <w:r>
              <w:rPr>
                <w:rFonts w:ascii="Arial" w:cs="Arial" w:eastAsia="Arial" w:hAnsi="Arial"/>
                <w:sz w:val="16"/>
                <w:szCs w:val="16"/>
                <w:b w:val="1"/>
                <w:bCs w:val="1"/>
                <w:color w:val="auto"/>
              </w:rPr>
              <w:t>Loans Modified as a TDR for the</w:t>
            </w:r>
          </w:p>
        </w:tc>
        <w:tc>
          <w:tcPr>
            <w:tcW w:w="392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auto"/>
              </w:rPr>
              <w:t>Loans Modified as a TDR for the</w:t>
            </w:r>
          </w:p>
        </w:tc>
      </w:tr>
      <w:tr>
        <w:trPr>
          <w:trHeight w:val="213"/>
        </w:trPr>
        <w:tc>
          <w:tcPr>
            <w:tcW w:w="1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20" w:type="dxa"/>
            <w:vAlign w:val="bottom"/>
            <w:gridSpan w:val="6"/>
          </w:tcPr>
          <w:p>
            <w:pPr>
              <w:ind w:left="760"/>
              <w:spacing w:after="0"/>
              <w:rPr>
                <w:sz w:val="20"/>
                <w:szCs w:val="20"/>
                <w:color w:val="auto"/>
              </w:rPr>
            </w:pPr>
            <w:r>
              <w:rPr>
                <w:rFonts w:ascii="Arial" w:cs="Arial" w:eastAsia="Arial" w:hAnsi="Arial"/>
                <w:sz w:val="16"/>
                <w:szCs w:val="16"/>
                <w:b w:val="1"/>
                <w:bCs w:val="1"/>
                <w:color w:val="auto"/>
              </w:rPr>
              <w:t>Six Months Ended June 30, 2021</w:t>
            </w:r>
          </w:p>
        </w:tc>
        <w:tc>
          <w:tcPr>
            <w:tcW w:w="3920" w:type="dxa"/>
            <w:vAlign w:val="bottom"/>
            <w:gridSpan w:val="5"/>
          </w:tcPr>
          <w:p>
            <w:pPr>
              <w:jc w:val="right"/>
              <w:ind w:right="819"/>
              <w:spacing w:after="0"/>
              <w:rPr>
                <w:sz w:val="20"/>
                <w:szCs w:val="20"/>
                <w:color w:val="auto"/>
              </w:rPr>
            </w:pPr>
            <w:r>
              <w:rPr>
                <w:rFonts w:ascii="Arial" w:cs="Arial" w:eastAsia="Arial" w:hAnsi="Arial"/>
                <w:sz w:val="16"/>
                <w:szCs w:val="16"/>
                <w:b w:val="1"/>
                <w:bCs w:val="1"/>
                <w:color w:val="auto"/>
              </w:rPr>
              <w:t>Six Months Ended June 30, 2020</w:t>
            </w:r>
          </w:p>
        </w:tc>
      </w:tr>
      <w:tr>
        <w:trPr>
          <w:trHeight w:val="207"/>
        </w:trPr>
        <w:tc>
          <w:tcPr>
            <w:tcW w:w="1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r>
      <w:tr>
        <w:trPr>
          <w:trHeight w:val="216"/>
        </w:trPr>
        <w:tc>
          <w:tcPr>
            <w:tcW w:w="3300" w:type="dxa"/>
            <w:vAlign w:val="bottom"/>
            <w:gridSpan w:val="2"/>
          </w:tcPr>
          <w:p>
            <w:pPr>
              <w:spacing w:after="0"/>
              <w:rPr>
                <w:sz w:val="20"/>
                <w:szCs w:val="20"/>
                <w:color w:val="auto"/>
              </w:rPr>
            </w:pPr>
            <w:r>
              <w:rPr>
                <w:rFonts w:ascii="Arial" w:cs="Arial" w:eastAsia="Arial" w:hAnsi="Arial"/>
                <w:sz w:val="16"/>
                <w:szCs w:val="16"/>
                <w:b w:val="1"/>
                <w:bCs w:val="1"/>
                <w:color w:val="auto"/>
              </w:rPr>
              <w:t>Troubled Debt Restructurings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Allowance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Allowance</w:t>
            </w:r>
          </w:p>
        </w:tc>
      </w:tr>
      <w:tr>
        <w:trPr>
          <w:trHeight w:val="205"/>
        </w:trPr>
        <w:tc>
          <w:tcPr>
            <w:tcW w:w="1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3"/>
              </w:rPr>
              <w:t>(as of period</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(as of period</w:t>
            </w:r>
          </w:p>
        </w:tc>
      </w:tr>
      <w:tr>
        <w:trPr>
          <w:trHeight w:val="220"/>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(dollars in thousands)</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end)</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end)</w:t>
            </w:r>
          </w:p>
        </w:tc>
      </w:tr>
      <w:tr>
        <w:trPr>
          <w:trHeight w:val="209"/>
        </w:trPr>
        <w:tc>
          <w:tcPr>
            <w:tcW w:w="3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Commercial</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3300" w:type="dxa"/>
            <w:vAlign w:val="bottom"/>
            <w:gridSpan w:val="2"/>
          </w:tcPr>
          <w:p>
            <w:pPr>
              <w:ind w:left="260"/>
              <w:spacing w:after="0"/>
              <w:rPr>
                <w:sz w:val="20"/>
                <w:szCs w:val="20"/>
                <w:color w:val="auto"/>
              </w:rPr>
            </w:pPr>
            <w:r>
              <w:rPr>
                <w:rFonts w:ascii="Arial" w:cs="Arial" w:eastAsia="Arial" w:hAnsi="Arial"/>
                <w:sz w:val="16"/>
                <w:szCs w:val="16"/>
                <w:color w:val="auto"/>
              </w:rPr>
              <w:t>Commercial and Industrial</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216"/>
        </w:trPr>
        <w:tc>
          <w:tcPr>
            <w:tcW w:w="3300" w:type="dxa"/>
            <w:vAlign w:val="bottom"/>
            <w:tcBorders>
              <w:bottom w:val="single" w:sz="8" w:color="auto"/>
            </w:tcBorders>
            <w:gridSpan w:val="2"/>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1,152</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Commercial</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r>
      <w:tr>
        <w:trPr>
          <w:trHeight w:val="213"/>
        </w:trPr>
        <w:tc>
          <w:tcPr>
            <w:tcW w:w="3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Consumer</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3300" w:type="dxa"/>
            <w:vAlign w:val="bottom"/>
            <w:gridSpan w:val="2"/>
          </w:tcPr>
          <w:p>
            <w:pPr>
              <w:ind w:left="260"/>
              <w:spacing w:after="0"/>
              <w:rPr>
                <w:sz w:val="20"/>
                <w:szCs w:val="20"/>
                <w:color w:val="auto"/>
              </w:rPr>
            </w:pPr>
            <w:r>
              <w:rPr>
                <w:rFonts w:ascii="Arial" w:cs="Arial" w:eastAsia="Arial" w:hAnsi="Arial"/>
                <w:sz w:val="16"/>
                <w:szCs w:val="16"/>
                <w:color w:val="auto"/>
              </w:rPr>
              <w:t>Residential Mortgage</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3,714</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3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gridSpan w:val="2"/>
          </w:tcPr>
          <w:p>
            <w:pPr>
              <w:ind w:left="260"/>
              <w:spacing w:after="0"/>
              <w:rPr>
                <w:sz w:val="20"/>
                <w:szCs w:val="20"/>
                <w:color w:val="auto"/>
              </w:rPr>
            </w:pPr>
            <w:r>
              <w:rPr>
                <w:rFonts w:ascii="Arial" w:cs="Arial" w:eastAsia="Arial" w:hAnsi="Arial"/>
                <w:sz w:val="16"/>
                <w:szCs w:val="16"/>
                <w:color w:val="auto"/>
              </w:rPr>
              <w:t>Automobile</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570</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11,670</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1,172</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w:t>
            </w:r>
          </w:p>
        </w:tc>
      </w:tr>
      <w:tr>
        <w:trPr>
          <w:trHeight w:val="219"/>
        </w:trPr>
        <w:tc>
          <w:tcPr>
            <w:tcW w:w="3300" w:type="dxa"/>
            <w:vAlign w:val="bottom"/>
            <w:tcBorders>
              <w:bottom w:val="single" w:sz="8" w:color="auto"/>
            </w:tcBorders>
            <w:gridSpan w:val="2"/>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320</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2,932</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274</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207"/>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Consumer</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19,033</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429</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1,446</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r>
      <w:tr>
        <w:trPr>
          <w:trHeight w:val="209"/>
        </w:trPr>
        <w:tc>
          <w:tcPr>
            <w:tcW w:w="33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19,142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431</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108</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2,696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right="1040" w:firstLine="11"/>
        <w:spacing w:after="0" w:line="253" w:lineRule="auto"/>
        <w:tabs>
          <w:tab w:leader="none" w:pos="100" w:val="left"/>
        </w:tabs>
        <w:numPr>
          <w:ilvl w:val="0"/>
          <w:numId w:val="10"/>
        </w:numPr>
        <w:rPr>
          <w:rFonts w:ascii="Arial" w:cs="Arial" w:eastAsia="Arial" w:hAnsi="Arial"/>
          <w:sz w:val="12"/>
          <w:szCs w:val="12"/>
          <w:color w:val="auto"/>
        </w:rPr>
      </w:pPr>
      <w:r>
        <w:rPr>
          <w:rFonts w:ascii="Arial" w:cs="Arial" w:eastAsia="Arial" w:hAnsi="Arial"/>
          <w:sz w:val="14"/>
          <w:szCs w:val="14"/>
          <w:color w:val="auto"/>
        </w:rPr>
        <w:t xml:space="preserve">The period end balances reflect all paydowns and charge-offs since the modification date. TDRs fully paid-off, charged-off, or foreclosed upon by period end are not included. </w:t>
      </w: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and installment financing.</w:t>
      </w:r>
    </w:p>
    <w:p>
      <w:pPr>
        <w:spacing w:after="0" w:line="1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presents by class, all loans modified in a TDR that defaulted during the three and six months ended June 30, 2021, and June 30, 2020, and within twelve months of their modification date. A TDR is considered to be in default once it becomes 60 days or more past due following a modification.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35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338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4320" w:type="dxa"/>
            <w:vAlign w:val="bottom"/>
          </w:tcPr>
          <w:p>
            <w:pPr>
              <w:spacing w:after="0"/>
              <w:rPr>
                <w:sz w:val="18"/>
                <w:szCs w:val="18"/>
                <w:color w:val="auto"/>
              </w:rPr>
            </w:pPr>
          </w:p>
        </w:tc>
        <w:tc>
          <w:tcPr>
            <w:tcW w:w="35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June 30, 2021</w:t>
            </w:r>
          </w:p>
        </w:tc>
        <w:tc>
          <w:tcPr>
            <w:tcW w:w="338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June 30, 2020</w:t>
            </w:r>
          </w:p>
        </w:tc>
      </w:tr>
      <w:tr>
        <w:trPr>
          <w:trHeight w:val="210"/>
        </w:trPr>
        <w:tc>
          <w:tcPr>
            <w:tcW w:w="4320" w:type="dxa"/>
            <w:vAlign w:val="bottom"/>
          </w:tcPr>
          <w:p>
            <w:pPr>
              <w:spacing w:after="0"/>
              <w:rPr>
                <w:sz w:val="20"/>
                <w:szCs w:val="20"/>
                <w:color w:val="auto"/>
              </w:rPr>
            </w:pPr>
            <w:r>
              <w:rPr>
                <w:rFonts w:ascii="Arial" w:cs="Arial" w:eastAsia="Arial" w:hAnsi="Arial"/>
                <w:sz w:val="16"/>
                <w:szCs w:val="16"/>
                <w:b w:val="1"/>
                <w:bCs w:val="1"/>
                <w:color w:val="auto"/>
              </w:rPr>
              <w:t>TDRs that Defaulted During the Period,</w:t>
            </w: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Recorded</w:t>
            </w:r>
          </w:p>
        </w:tc>
      </w:tr>
      <w:tr>
        <w:trPr>
          <w:trHeight w:val="216"/>
        </w:trPr>
        <w:tc>
          <w:tcPr>
            <w:tcW w:w="4320" w:type="dxa"/>
            <w:vAlign w:val="bottom"/>
          </w:tcPr>
          <w:p>
            <w:pPr>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62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Investment</w:t>
            </w:r>
          </w:p>
        </w:tc>
        <w:tc>
          <w:tcPr>
            <w:tcW w:w="1620" w:type="dxa"/>
            <w:vAlign w:val="bottom"/>
          </w:tcPr>
          <w:p>
            <w:pPr>
              <w:jc w:val="right"/>
              <w:ind w:right="43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r>
      <w:tr>
        <w:trPr>
          <w:trHeight w:val="24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300"/>
              <w:spacing w:after="0" w:line="249" w:lineRule="exact"/>
              <w:rPr>
                <w:sz w:val="20"/>
                <w:szCs w:val="20"/>
                <w:color w:val="auto"/>
              </w:rPr>
            </w:pPr>
            <w:r>
              <w:rPr>
                <w:rFonts w:ascii="Arial" w:cs="Arial" w:eastAsia="Arial" w:hAnsi="Arial"/>
                <w:sz w:val="16"/>
                <w:szCs w:val="16"/>
                <w:b w:val="1"/>
                <w:bCs w:val="1"/>
                <w:color w:val="auto"/>
                <w:w w:val="91"/>
              </w:rPr>
              <w:t>(as of period end)</w:t>
            </w:r>
            <w:r>
              <w:rPr>
                <w:rFonts w:ascii="Arial" w:cs="Arial" w:eastAsia="Arial" w:hAnsi="Arial"/>
                <w:sz w:val="27"/>
                <w:szCs w:val="27"/>
                <w:b w:val="1"/>
                <w:bCs w:val="1"/>
                <w:color w:val="auto"/>
                <w:w w:val="91"/>
                <w:vertAlign w:val="superscript"/>
              </w:rPr>
              <w:t>1</w:t>
            </w:r>
          </w:p>
        </w:tc>
        <w:tc>
          <w:tcPr>
            <w:tcW w:w="16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line="249" w:lineRule="exact"/>
              <w:rPr>
                <w:sz w:val="20"/>
                <w:szCs w:val="20"/>
                <w:color w:val="auto"/>
              </w:rPr>
            </w:pPr>
            <w:r>
              <w:rPr>
                <w:rFonts w:ascii="Arial" w:cs="Arial" w:eastAsia="Arial" w:hAnsi="Arial"/>
                <w:sz w:val="16"/>
                <w:szCs w:val="16"/>
                <w:b w:val="1"/>
                <w:bCs w:val="1"/>
                <w:color w:val="auto"/>
                <w:w w:val="91"/>
              </w:rPr>
              <w:t>(as of period end)</w:t>
            </w:r>
            <w:r>
              <w:rPr>
                <w:rFonts w:ascii="Arial" w:cs="Arial" w:eastAsia="Arial" w:hAnsi="Arial"/>
                <w:sz w:val="27"/>
                <w:szCs w:val="27"/>
                <w:b w:val="1"/>
                <w:bCs w:val="1"/>
                <w:color w:val="auto"/>
                <w:w w:val="91"/>
                <w:vertAlign w:val="superscript"/>
              </w:rPr>
              <w:t>1</w:t>
            </w: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8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331</w:t>
            </w:r>
          </w:p>
        </w:tc>
      </w:tr>
      <w:tr>
        <w:trPr>
          <w:trHeight w:val="219"/>
        </w:trPr>
        <w:tc>
          <w:tcPr>
            <w:tcW w:w="432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140</w:t>
            </w: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w:t>
            </w:r>
          </w:p>
        </w:tc>
      </w:tr>
      <w:tr>
        <w:trPr>
          <w:trHeight w:val="206"/>
        </w:trPr>
        <w:tc>
          <w:tcPr>
            <w:tcW w:w="43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Consumer</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436</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345</w:t>
            </w:r>
          </w:p>
        </w:tc>
      </w:tr>
      <w:tr>
        <w:trPr>
          <w:trHeight w:val="210"/>
        </w:trPr>
        <w:tc>
          <w:tcPr>
            <w:tcW w:w="4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436</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345</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3"/>
          </w:tcPr>
          <w:p>
            <w:pPr>
              <w:spacing w:after="0" w:line="20" w:lineRule="exact"/>
              <w:rPr>
                <w:sz w:val="1"/>
                <w:szCs w:val="1"/>
                <w:color w:val="auto"/>
              </w:rPr>
            </w:pPr>
          </w:p>
        </w:tc>
      </w:tr>
      <w:tr>
        <w:trPr>
          <w:trHeight w:val="402"/>
        </w:trPr>
        <w:tc>
          <w:tcPr>
            <w:tcW w:w="4320" w:type="dxa"/>
            <w:vAlign w:val="bottom"/>
          </w:tcPr>
          <w:p>
            <w:pPr>
              <w:spacing w:after="0"/>
              <w:rPr>
                <w:sz w:val="24"/>
                <w:szCs w:val="24"/>
                <w:color w:val="auto"/>
              </w:rPr>
            </w:pPr>
          </w:p>
        </w:tc>
        <w:tc>
          <w:tcPr>
            <w:tcW w:w="35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Six Months Ended</w:t>
            </w:r>
          </w:p>
        </w:tc>
        <w:tc>
          <w:tcPr>
            <w:tcW w:w="338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4320" w:type="dxa"/>
            <w:vAlign w:val="bottom"/>
          </w:tcPr>
          <w:p>
            <w:pPr>
              <w:spacing w:after="0"/>
              <w:rPr>
                <w:sz w:val="18"/>
                <w:szCs w:val="18"/>
                <w:color w:val="auto"/>
              </w:rPr>
            </w:pPr>
          </w:p>
        </w:tc>
        <w:tc>
          <w:tcPr>
            <w:tcW w:w="35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June 30, 2021</w:t>
            </w:r>
          </w:p>
        </w:tc>
        <w:tc>
          <w:tcPr>
            <w:tcW w:w="338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June 30, 2020</w:t>
            </w:r>
          </w:p>
        </w:tc>
      </w:tr>
      <w:tr>
        <w:trPr>
          <w:trHeight w:val="210"/>
        </w:trPr>
        <w:tc>
          <w:tcPr>
            <w:tcW w:w="4320" w:type="dxa"/>
            <w:vAlign w:val="bottom"/>
          </w:tcPr>
          <w:p>
            <w:pPr>
              <w:spacing w:after="0"/>
              <w:rPr>
                <w:sz w:val="20"/>
                <w:szCs w:val="20"/>
                <w:color w:val="auto"/>
              </w:rPr>
            </w:pPr>
            <w:r>
              <w:rPr>
                <w:rFonts w:ascii="Arial" w:cs="Arial" w:eastAsia="Arial" w:hAnsi="Arial"/>
                <w:sz w:val="16"/>
                <w:szCs w:val="16"/>
                <w:b w:val="1"/>
                <w:bCs w:val="1"/>
                <w:color w:val="auto"/>
              </w:rPr>
              <w:t>TDRs that Defaulted During the Period,</w:t>
            </w: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Recorded</w:t>
            </w:r>
          </w:p>
        </w:tc>
      </w:tr>
      <w:tr>
        <w:trPr>
          <w:trHeight w:val="216"/>
        </w:trPr>
        <w:tc>
          <w:tcPr>
            <w:tcW w:w="4320" w:type="dxa"/>
            <w:vAlign w:val="bottom"/>
          </w:tcPr>
          <w:p>
            <w:pPr>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62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Investment</w:t>
            </w:r>
          </w:p>
        </w:tc>
        <w:tc>
          <w:tcPr>
            <w:tcW w:w="162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r>
      <w:tr>
        <w:trPr>
          <w:trHeight w:val="24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300"/>
              <w:spacing w:after="0" w:line="249" w:lineRule="exact"/>
              <w:rPr>
                <w:sz w:val="20"/>
                <w:szCs w:val="20"/>
                <w:color w:val="auto"/>
              </w:rPr>
            </w:pPr>
            <w:r>
              <w:rPr>
                <w:rFonts w:ascii="Arial" w:cs="Arial" w:eastAsia="Arial" w:hAnsi="Arial"/>
                <w:sz w:val="16"/>
                <w:szCs w:val="16"/>
                <w:b w:val="1"/>
                <w:bCs w:val="1"/>
                <w:color w:val="auto"/>
                <w:w w:val="91"/>
              </w:rPr>
              <w:t>(as of period end)</w:t>
            </w:r>
            <w:r>
              <w:rPr>
                <w:rFonts w:ascii="Arial" w:cs="Arial" w:eastAsia="Arial" w:hAnsi="Arial"/>
                <w:sz w:val="27"/>
                <w:szCs w:val="27"/>
                <w:b w:val="1"/>
                <w:bCs w:val="1"/>
                <w:color w:val="auto"/>
                <w:w w:val="91"/>
                <w:vertAlign w:val="superscript"/>
              </w:rPr>
              <w:t>1</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line="249" w:lineRule="exact"/>
              <w:rPr>
                <w:sz w:val="20"/>
                <w:szCs w:val="20"/>
                <w:color w:val="auto"/>
              </w:rPr>
            </w:pPr>
            <w:r>
              <w:rPr>
                <w:rFonts w:ascii="Arial" w:cs="Arial" w:eastAsia="Arial" w:hAnsi="Arial"/>
                <w:sz w:val="16"/>
                <w:szCs w:val="16"/>
                <w:b w:val="1"/>
                <w:bCs w:val="1"/>
                <w:color w:val="auto"/>
                <w:w w:val="91"/>
              </w:rPr>
              <w:t>(as of period end)</w:t>
            </w:r>
            <w:r>
              <w:rPr>
                <w:rFonts w:ascii="Arial" w:cs="Arial" w:eastAsia="Arial" w:hAnsi="Arial"/>
                <w:sz w:val="27"/>
                <w:szCs w:val="27"/>
                <w:b w:val="1"/>
                <w:bCs w:val="1"/>
                <w:color w:val="auto"/>
                <w:w w:val="91"/>
                <w:vertAlign w:val="superscript"/>
              </w:rPr>
              <w:t>1</w:t>
            </w: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8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385</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636</w:t>
            </w:r>
          </w:p>
        </w:tc>
      </w:tr>
      <w:tr>
        <w:trPr>
          <w:trHeight w:val="216"/>
        </w:trPr>
        <w:tc>
          <w:tcPr>
            <w:tcW w:w="432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w:t>
            </w:r>
          </w:p>
        </w:tc>
      </w:tr>
      <w:tr>
        <w:trPr>
          <w:trHeight w:val="206"/>
        </w:trPr>
        <w:tc>
          <w:tcPr>
            <w:tcW w:w="43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Total Consumer</w:t>
            </w: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1,135</w:t>
            </w:r>
          </w:p>
        </w:tc>
        <w:tc>
          <w:tcPr>
            <w:tcW w:w="1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676</w:t>
            </w:r>
          </w:p>
        </w:tc>
      </w:tr>
      <w:tr>
        <w:trPr>
          <w:trHeight w:val="210"/>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1,135</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676</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and installment financing.</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in response to COVID-19</w:t>
      </w:r>
    </w:p>
    <w:p>
      <w:pPr>
        <w:spacing w:after="0" w:line="198" w:lineRule="exact"/>
        <w:rPr>
          <w:sz w:val="20"/>
          <w:szCs w:val="20"/>
          <w:color w:val="auto"/>
        </w:rPr>
      </w:pPr>
    </w:p>
    <w:p>
      <w:pPr>
        <w:ind w:right="20" w:firstLine="42"/>
        <w:spacing w:after="0" w:line="287" w:lineRule="auto"/>
        <w:rPr>
          <w:sz w:val="20"/>
          <w:szCs w:val="20"/>
          <w:color w:val="auto"/>
        </w:rPr>
      </w:pPr>
      <w:r>
        <w:rPr>
          <w:rFonts w:ascii="Arial" w:cs="Arial" w:eastAsia="Arial" w:hAnsi="Arial"/>
          <w:sz w:val="16"/>
          <w:szCs w:val="16"/>
          <w:color w:val="auto"/>
        </w:rPr>
        <w:t>The Company initially offered short-term loan modifications to assist borrowers during the COVID-19 national emergency. These modifications generally involve principal and/or interest payment deferrals for up to six months. As the COVID-19 pandemic persists in negatively impacting the economy, the Company continues to offer additional loan modifications to borrowers struggling as a result of COVID-19. Similar to the initial modifications granted, the additional round of loan modifications generally involve principal and/or interest payment deferrals for up to an additional six months for commercial and consumer loans, and principal-only deferrals for up to an additional 12 months for selected commercial loans. The Company generally continues to accrue and recognize interest income during the deferral period. The Company offers several repayment options such as immediate repayment, repayment over a designated time period or as a balloon payment at maturity, or by extending the loan term. These modifications generally do not involve forgiveness or interest rate reductions. In addition, the Company evaluates the need to record an allowance for the related AIR. As of June 30, 2021, and December 31, 2020, the Company recorded an AIR allowance of $1.4 million and $2.7 million, respectively. The allowance was recorded as a contra-asset against AIR with the offset to provision for credit losses. In addition, the Company elected to deduct the AIR from the AIR Allowance (rather than reversing interest income) when the AIR is deemed uncollectible, which generally occurs when the related loan is placed on nonaccrual status or is charged-off.</w:t>
      </w:r>
    </w:p>
    <w:p>
      <w:pPr>
        <w:spacing w:after="0" w:line="13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231F20"/>
        </w:rPr>
        <w:t>Company, as lessor, also granted short-term lease concessions on some of its sales-type finance leases for equipment and automobiles. The concessions primarily consists of six-month extension programs whereby lease payments currently due are deferred and shifted to the end of the lease term. Interest income continues to accrue, and in certain cases paid during the deferral period. Additional rounds of lease concessions were not material.</w:t>
      </w:r>
    </w:p>
    <w:p>
      <w:pPr>
        <w:spacing w:after="0" w:line="1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accordance with Section 4013 of the CARES Act and the joint agency statement issued by banking agencies, these COVID-19 related loan and lease modifications are not accounted for as TDRs. These loan and lease modifications totaled $205.3 million (118 loans and leases) for the commercial segment and $13.2 million (65 loans and leases) for the consumer segment as of June 30, 2021, and $311.6 million (210 loans and leases) for the commercial segment and $178.1 million (1,920 loans and leases) for the consumer segment as of December 31,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$1.5 million as of June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$2.7 billion as of June 30, 2021, and $2.8 billion as of December 31, 2020. Substantially all of these loans were originated by the Company and sold to third parties on a non-recourse basis with servicing rights retained. These retained servicing rights are recorded as a servicing asset and are initially recorded at fair value (see Note 13 </w:t>
      </w:r>
      <w:r>
        <w:rPr>
          <w:rFonts w:ascii="Arial" w:cs="Arial" w:eastAsia="Arial" w:hAnsi="Arial"/>
          <w:sz w:val="18"/>
          <w:szCs w:val="18"/>
          <w:i w:val="1"/>
          <w:iCs w:val="1"/>
          <w:color w:val="auto"/>
        </w:rPr>
        <w:t>Fair Value of Assets and Liabilities</w:t>
      </w:r>
      <w:r>
        <w:rPr>
          <w:rFonts w:ascii="Arial" w:cs="Arial" w:eastAsia="Arial" w:hAnsi="Arial"/>
          <w:sz w:val="18"/>
          <w:szCs w:val="18"/>
          <w:color w:val="auto"/>
        </w:rPr>
        <w:t xml:space="preserve"> for more information). Changes to the balance of mortgage servicing rights are recorded in mortgage banking income in the Company’s consolidated statements of income.</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$1.6 million and $1.8 million for the three months ended June 30, 2021, and June 30, 2020, and $3.2 million and $3.7 million for the six months ended June 30, 2021 and June 30, 2020,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three and six months ended June 30, 2021, and June 30, 2020, the change in the carrying value of the Company’s mortgage servicing rights accounted for under the fair value measurement method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2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919</w:t>
            </w:r>
          </w:p>
        </w:tc>
        <w:tc>
          <w:tcPr>
            <w:tcW w:w="7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1,101</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958</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1,126</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Change in Fair Value: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Due to Payoffs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(44)</w:t>
            </w:r>
          </w:p>
        </w:tc>
        <w:tc>
          <w:tcPr>
            <w:tcW w:w="7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7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Changes in Fair Value of Mortgage Servicing Rights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875</w:t>
            </w:r>
          </w:p>
        </w:tc>
        <w:tc>
          <w:tcPr>
            <w:tcW w:w="78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1,068</w:t>
            </w:r>
          </w:p>
        </w:tc>
        <w:tc>
          <w:tcPr>
            <w:tcW w:w="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875</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1,068</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three and six months ended June 30, 2021, and June 30, 2020, the change in the carrying value of the Company’s mortgage servicing rights accounted for under the amortization method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21,401</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21,436</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18,694</w:t>
            </w:r>
          </w:p>
        </w:tc>
        <w:tc>
          <w:tcPr>
            <w:tcW w:w="7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23,896</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Servicing Rights that Resulted From Asset Transfers</w:t>
            </w:r>
          </w:p>
        </w:tc>
        <w:tc>
          <w:tcPr>
            <w:tcW w:w="30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1,260</w:t>
            </w:r>
          </w:p>
        </w:tc>
        <w:tc>
          <w:tcPr>
            <w:tcW w:w="74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1,005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2,940</w:t>
            </w:r>
          </w:p>
        </w:tc>
        <w:tc>
          <w:tcPr>
            <w:tcW w:w="7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2,170</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(996)</w:t>
            </w: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7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Valuation Allowance Recovery (Provision)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(1,067)</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696</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1,123</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20,598</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21,836</w:t>
            </w:r>
          </w:p>
        </w:tc>
        <w:tc>
          <w:tcPr>
            <w:tcW w:w="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20,598</w:t>
            </w:r>
          </w:p>
        </w:tc>
        <w:tc>
          <w:tcPr>
            <w:tcW w:w="70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21,836</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12"/>
        </w:trPr>
        <w:tc>
          <w:tcPr>
            <w:tcW w:w="5840" w:type="dxa"/>
            <w:vAlign w:val="bottom"/>
          </w:tcPr>
          <w:p>
            <w:pPr>
              <w:spacing w:after="0"/>
              <w:rPr>
                <w:sz w:val="20"/>
                <w:szCs w:val="20"/>
                <w:color w:val="auto"/>
              </w:rPr>
            </w:pPr>
            <w:r>
              <w:rPr>
                <w:rFonts w:ascii="Arial" w:cs="Arial" w:eastAsia="Arial" w:hAnsi="Arial"/>
                <w:sz w:val="16"/>
                <w:szCs w:val="16"/>
                <w:b w:val="1"/>
                <w:bCs w:val="1"/>
                <w:color w:val="auto"/>
              </w:rPr>
              <w:t>Valuation Allowance: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(1,702)</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7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Valuation Allowance Recovery (Provision)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(1,067)</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696</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1,123</w:t>
            </w: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(2,769)</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(1,817)</w:t>
            </w:r>
          </w:p>
        </w:tc>
        <w:tc>
          <w:tcPr>
            <w:tcW w:w="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(2,769)</w:t>
            </w:r>
          </w:p>
        </w:tc>
        <w:tc>
          <w:tcPr>
            <w:tcW w:w="70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(1,817)</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5"/>
        </w:trPr>
        <w:tc>
          <w:tcPr>
            <w:tcW w:w="5840" w:type="dxa"/>
            <w:vAlign w:val="bottom"/>
          </w:tcPr>
          <w:p>
            <w:pPr>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3"/>
        </w:trPr>
        <w:tc>
          <w:tcPr>
            <w:tcW w:w="5840" w:type="dxa"/>
            <w:vAlign w:val="bottom"/>
          </w:tcPr>
          <w:p>
            <w:pPr>
              <w:ind w:left="120"/>
              <w:spacing w:after="0"/>
              <w:rPr>
                <w:sz w:val="20"/>
                <w:szCs w:val="20"/>
                <w:color w:val="auto"/>
              </w:rPr>
            </w:pPr>
            <w:r>
              <w:rPr>
                <w:rFonts w:ascii="Arial" w:cs="Arial" w:eastAsia="Arial" w:hAnsi="Arial"/>
                <w:sz w:val="16"/>
                <w:szCs w:val="16"/>
                <w:b w:val="1"/>
                <w:bCs w:val="1"/>
                <w:color w:val="auto"/>
              </w:rPr>
              <w:t>Under the Amortization Method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Beginning of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21,401</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21,436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18,694</w:t>
            </w:r>
          </w:p>
        </w:tc>
        <w:tc>
          <w:tcPr>
            <w:tcW w:w="7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25,714</w:t>
            </w: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End of Period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20,598</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21,836</w:t>
            </w:r>
          </w:p>
        </w:tc>
        <w:tc>
          <w:tcPr>
            <w:tcW w:w="1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20,598</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21,836</w:t>
            </w:r>
          </w:p>
        </w:tc>
      </w:tr>
    </w:tbl>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June 30, 2021, and December 31, 2020,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388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150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8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3"/>
        </w:trPr>
        <w:tc>
          <w:tcPr>
            <w:tcW w:w="5860" w:type="dxa"/>
            <w:vAlign w:val="bottom"/>
            <w:shd w:val="clear" w:color="auto" w:fill="CFF0FC"/>
          </w:tcPr>
          <w:p>
            <w:pPr>
              <w:spacing w:after="0" w:line="212" w:lineRule="exact"/>
              <w:rPr>
                <w:sz w:val="20"/>
                <w:szCs w:val="20"/>
                <w:color w:val="auto"/>
              </w:rPr>
            </w:pPr>
            <w:r>
              <w:rPr>
                <w:rFonts w:ascii="Arial" w:cs="Arial" w:eastAsia="Arial" w:hAnsi="Arial"/>
                <w:sz w:val="15"/>
                <w:szCs w:val="15"/>
                <w:color w:val="auto"/>
              </w:rPr>
              <w:t xml:space="preserve">Weighted-Average Constant Prepayment Rate </w:t>
            </w:r>
            <w:r>
              <w:rPr>
                <w:rFonts w:ascii="Arial" w:cs="Arial" w:eastAsia="Arial" w:hAnsi="Arial"/>
                <w:sz w:val="24"/>
                <w:szCs w:val="24"/>
                <w:color w:val="auto"/>
                <w:vertAlign w:val="superscript"/>
              </w:rPr>
              <w:t>1</w:t>
            </w:r>
          </w:p>
        </w:tc>
        <w:tc>
          <w:tcPr>
            <w:tcW w:w="38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12.00%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Weighted-Average Life (in years)</w:t>
            </w:r>
          </w:p>
        </w:tc>
        <w:tc>
          <w:tcPr>
            <w:tcW w:w="3880" w:type="dxa"/>
            <w:vAlign w:val="bottom"/>
          </w:tcPr>
          <w:p>
            <w:pPr>
              <w:jc w:val="right"/>
              <w:ind w:right="459"/>
              <w:spacing w:after="0"/>
              <w:rPr>
                <w:sz w:val="20"/>
                <w:szCs w:val="20"/>
                <w:color w:val="auto"/>
              </w:rPr>
            </w:pPr>
            <w:r>
              <w:rPr>
                <w:rFonts w:ascii="Arial" w:cs="Arial" w:eastAsia="Arial" w:hAnsi="Arial"/>
                <w:sz w:val="16"/>
                <w:szCs w:val="16"/>
                <w:color w:val="auto"/>
              </w:rPr>
              <w:t>5.80</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4.99</w:t>
            </w:r>
          </w:p>
        </w:tc>
      </w:tr>
      <w:tr>
        <w:trPr>
          <w:trHeight w:val="219"/>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Note Rate</w:t>
            </w:r>
          </w:p>
        </w:tc>
        <w:tc>
          <w:tcPr>
            <w:tcW w:w="38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3.72%</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r>
      <w:tr>
        <w:trPr>
          <w:trHeight w:val="277"/>
        </w:trPr>
        <w:tc>
          <w:tcPr>
            <w:tcW w:w="5860" w:type="dxa"/>
            <w:vAlign w:val="bottom"/>
          </w:tcPr>
          <w:p>
            <w:pPr>
              <w:spacing w:after="0" w:line="276" w:lineRule="exact"/>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7"/>
                <w:szCs w:val="27"/>
                <w:color w:val="auto"/>
                <w:vertAlign w:val="superscript"/>
              </w:rPr>
              <w:t>2</w:t>
            </w:r>
          </w:p>
        </w:tc>
        <w:tc>
          <w:tcPr>
            <w:tcW w:w="3880" w:type="dxa"/>
            <w:vAlign w:val="bottom"/>
          </w:tcPr>
          <w:p>
            <w:pPr>
              <w:jc w:val="right"/>
              <w:ind w:right="299"/>
              <w:spacing w:after="0"/>
              <w:rPr>
                <w:sz w:val="20"/>
                <w:szCs w:val="20"/>
                <w:color w:val="auto"/>
              </w:rPr>
            </w:pPr>
            <w:r>
              <w:rPr>
                <w:rFonts w:ascii="Arial" w:cs="Arial" w:eastAsia="Arial" w:hAnsi="Arial"/>
                <w:sz w:val="16"/>
                <w:szCs w:val="16"/>
                <w:color w:val="auto"/>
              </w:rPr>
              <w:t>6.51%</w:t>
            </w:r>
          </w:p>
        </w:tc>
        <w:tc>
          <w:tcPr>
            <w:tcW w:w="1500" w:type="dxa"/>
            <w:vAlign w:val="bottom"/>
          </w:tcPr>
          <w:p>
            <w:pPr>
              <w:jc w:val="right"/>
              <w:spacing w:after="0"/>
              <w:rPr>
                <w:sz w:val="20"/>
                <w:szCs w:val="20"/>
                <w:color w:val="auto"/>
              </w:rPr>
            </w:pPr>
            <w:r>
              <w:rPr>
                <w:rFonts w:ascii="Arial" w:cs="Arial" w:eastAsia="Arial" w:hAnsi="Arial"/>
                <w:sz w:val="16"/>
                <w:szCs w:val="16"/>
                <w:color w:val="auto"/>
              </w:rPr>
              <w:t>5.81%</w:t>
            </w:r>
          </w:p>
        </w:tc>
      </w:tr>
    </w:tbl>
    <w:p>
      <w:pPr>
        <w:ind w:left="180" w:hanging="172"/>
        <w:spacing w:after="0" w:line="221" w:lineRule="auto"/>
        <w:tabs>
          <w:tab w:leader="none" w:pos="1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Represents annualized loan prepayment rate assumption.</w:t>
      </w:r>
    </w:p>
    <w:p>
      <w:pPr>
        <w:ind w:left="180" w:hanging="172"/>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6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June 30, 2021, and December 31, 2020, is presented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Constant Prepayment Rate</w:t>
            </w:r>
          </w:p>
        </w:tc>
        <w:tc>
          <w:tcPr>
            <w:tcW w:w="2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6140" w:type="dxa"/>
            <w:vAlign w:val="bottom"/>
          </w:tcPr>
          <w:p>
            <w:pPr>
              <w:ind w:left="260"/>
              <w:spacing w:after="0"/>
              <w:rPr>
                <w:sz w:val="20"/>
                <w:szCs w:val="20"/>
                <w:color w:val="auto"/>
              </w:rPr>
            </w:pPr>
            <w:r>
              <w:rPr>
                <w:rFonts w:ascii="Arial" w:cs="Arial" w:eastAsia="Arial" w:hAnsi="Arial"/>
                <w:sz w:val="16"/>
                <w:szCs w:val="16"/>
                <w:color w:val="auto"/>
              </w:rPr>
              <w:t>Decrease in fair value from 25 basis points (“bps”) adverse change</w:t>
            </w:r>
          </w:p>
        </w:tc>
        <w:tc>
          <w:tcPr>
            <w:tcW w:w="21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9"/>
        </w:trPr>
        <w:tc>
          <w:tcPr>
            <w:tcW w:w="6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 fair value from 50 bps adverse change</w:t>
            </w:r>
          </w:p>
        </w:tc>
        <w:tc>
          <w:tcPr>
            <w:tcW w:w="2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Discount Rate</w:t>
            </w:r>
          </w:p>
        </w:tc>
        <w:tc>
          <w:tcPr>
            <w:tcW w:w="2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 fair value from 25 bps adverse change</w:t>
            </w:r>
          </w:p>
        </w:tc>
        <w:tc>
          <w:tcPr>
            <w:tcW w:w="2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r>
      <w:tr>
        <w:trPr>
          <w:trHeight w:val="210"/>
        </w:trPr>
        <w:tc>
          <w:tcPr>
            <w:tcW w:w="6140" w:type="dxa"/>
            <w:vAlign w:val="bottom"/>
          </w:tcPr>
          <w:p>
            <w:pPr>
              <w:ind w:left="260"/>
              <w:spacing w:after="0"/>
              <w:rPr>
                <w:sz w:val="20"/>
                <w:szCs w:val="20"/>
                <w:color w:val="auto"/>
              </w:rPr>
            </w:pPr>
            <w:r>
              <w:rPr>
                <w:rFonts w:ascii="Arial" w:cs="Arial" w:eastAsia="Arial" w:hAnsi="Arial"/>
                <w:sz w:val="16"/>
                <w:szCs w:val="16"/>
                <w:color w:val="auto"/>
              </w:rPr>
              <w:t>Decrease in fair value from 50 bps adverse change</w:t>
            </w:r>
          </w:p>
        </w:tc>
        <w:tc>
          <w:tcPr>
            <w:tcW w:w="21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(365)</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0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3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4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$130.9 million and $138.9 million as of June 30, 2021, and December 31, 2020, respectively, and are included in other assets in the consolidated statements of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expected payments for unfunded affordable housing commitments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r>
      <w:tr>
        <w:trPr>
          <w:trHeight w:val="213"/>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426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15,213</w:t>
            </w: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2022</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6,757</w:t>
            </w: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19,025</w:t>
            </w: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2024</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173</w:t>
            </w: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w:t>
            </w:r>
          </w:p>
        </w:tc>
      </w:tr>
      <w:tr>
        <w:trPr>
          <w:trHeight w:val="213"/>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3,424</w:t>
            </w:r>
          </w:p>
        </w:tc>
      </w:tr>
      <w:tr>
        <w:trPr>
          <w:trHeight w:val="210"/>
        </w:trPr>
        <w:tc>
          <w:tcPr>
            <w:tcW w:w="5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Unfunded Commitments</w:t>
            </w:r>
          </w:p>
        </w:tc>
        <w:tc>
          <w:tcPr>
            <w:tcW w:w="426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44,648</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six months ended June 30, 2021, and June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20" w:type="dxa"/>
            <w:vAlign w:val="bottom"/>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Effective Yield Method</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Tax credits and other tax benefits recognized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2,151</w:t>
            </w:r>
          </w:p>
        </w:tc>
        <w:tc>
          <w:tcPr>
            <w:tcW w:w="8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2,938</w:t>
            </w:r>
          </w:p>
        </w:tc>
        <w:tc>
          <w:tcPr>
            <w:tcW w:w="1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4,302</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5,876</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Expense in Provision for Income Taxes</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1,670</w:t>
            </w: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3,362</w:t>
            </w:r>
          </w:p>
        </w:tc>
        <w:tc>
          <w:tcPr>
            <w:tcW w:w="7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4,293</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Proportional Amortization Method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credits and other tax benefits recognized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2,879</w:t>
            </w:r>
          </w:p>
        </w:tc>
        <w:tc>
          <w:tcPr>
            <w:tcW w:w="8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5,470</w:t>
            </w:r>
          </w:p>
        </w:tc>
        <w:tc>
          <w:tcPr>
            <w:tcW w:w="76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3,046</w:t>
            </w:r>
          </w:p>
        </w:tc>
      </w:tr>
      <w:tr>
        <w:trPr>
          <w:trHeight w:val="210"/>
        </w:trPr>
        <w:tc>
          <w:tcPr>
            <w:tcW w:w="5840" w:type="dxa"/>
            <w:vAlign w:val="bottom"/>
          </w:tcPr>
          <w:p>
            <w:pPr>
              <w:ind w:left="260"/>
              <w:spacing w:after="0"/>
              <w:rPr>
                <w:sz w:val="20"/>
                <w:szCs w:val="20"/>
                <w:color w:val="auto"/>
              </w:rPr>
            </w:pPr>
            <w:r>
              <w:rPr>
                <w:rFonts w:ascii="Arial" w:cs="Arial" w:eastAsia="Arial" w:hAnsi="Arial"/>
                <w:sz w:val="16"/>
                <w:szCs w:val="16"/>
                <w:color w:val="auto"/>
              </w:rPr>
              <w:t>Amortization Expense in Provision for Income Taxes</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2,385</w:t>
            </w:r>
          </w:p>
        </w:tc>
        <w:tc>
          <w:tcPr>
            <w:tcW w:w="82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1,318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4,711</w:t>
            </w:r>
          </w:p>
        </w:tc>
        <w:tc>
          <w:tcPr>
            <w:tcW w:w="7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2,637</w:t>
            </w:r>
          </w:p>
        </w:tc>
      </w:tr>
    </w:tbl>
    <w:p>
      <w:pPr>
        <w:spacing w:after="0" w:line="208" w:lineRule="exact"/>
        <w:rPr>
          <w:sz w:val="20"/>
          <w:szCs w:val="20"/>
          <w:color w:val="auto"/>
        </w:rPr>
      </w:pPr>
    </w:p>
    <w:p>
      <w:pPr>
        <w:ind w:right="2060"/>
        <w:spacing w:after="0" w:line="477" w:lineRule="auto"/>
        <w:rPr>
          <w:sz w:val="20"/>
          <w:szCs w:val="20"/>
          <w:color w:val="auto"/>
        </w:rPr>
      </w:pPr>
      <w:r>
        <w:rPr>
          <w:rFonts w:ascii="Arial" w:cs="Arial" w:eastAsia="Arial" w:hAnsi="Arial"/>
          <w:sz w:val="18"/>
          <w:szCs w:val="18"/>
          <w:color w:val="auto"/>
        </w:rPr>
        <w:t xml:space="preserve">There were no impairment losses related to LIHTC investments during the six months ended June 30, 2021, and June 30, 2020. </w:t>
      </w:r>
      <w:r>
        <w:rPr>
          <w:rFonts w:ascii="Arial" w:cs="Arial" w:eastAsia="Arial" w:hAnsi="Arial"/>
          <w:sz w:val="18"/>
          <w:szCs w:val="18"/>
          <w:b w:val="1"/>
          <w:bCs w:val="1"/>
          <w:color w:val="auto"/>
        </w:rPr>
        <w:t>Note 7. Balance Sheet Offsetting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of the related collateral pledged against repurchase agreements as of June 30, 2021, and December 31,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8"/>
          </w:tcPr>
          <w:p>
            <w:pPr>
              <w:jc w:val="right"/>
              <w:ind w:right="99"/>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820" w:type="dxa"/>
            <w:vAlign w:val="bottom"/>
            <w:tcBorders>
              <w:bottom w:val="single" w:sz="8" w:color="auto"/>
            </w:tcBorders>
          </w:tcPr>
          <w:p>
            <w:pPr>
              <w:spacing w:after="0"/>
              <w:rPr>
                <w:sz w:val="18"/>
                <w:szCs w:val="18"/>
                <w:color w:val="auto"/>
              </w:rPr>
            </w:pPr>
          </w:p>
        </w:tc>
      </w:tr>
      <w:tr>
        <w:trPr>
          <w:trHeight w:val="199"/>
        </w:trPr>
        <w:tc>
          <w:tcPr>
            <w:tcW w:w="4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Up to</w:t>
            </w:r>
          </w:p>
        </w:tc>
        <w:tc>
          <w:tcPr>
            <w:tcW w:w="4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91-365</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After</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 days</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days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 Years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 Years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2"/>
        </w:trPr>
        <w:tc>
          <w:tcPr>
            <w:tcW w:w="4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6"/>
                <w:szCs w:val="16"/>
                <w:b w:val="1"/>
                <w:bCs w:val="1"/>
                <w:color w:val="auto"/>
              </w:rPr>
              <w:t>Class of Collateral Pledged: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r>
      <w:tr>
        <w:trPr>
          <w:trHeight w:val="213"/>
        </w:trPr>
        <w:tc>
          <w:tcPr>
            <w:tcW w:w="450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15,658</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64,336</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79,994</w:t>
            </w:r>
          </w:p>
        </w:tc>
      </w:tr>
      <w:tr>
        <w:trPr>
          <w:trHeight w:val="213"/>
        </w:trPr>
        <w:tc>
          <w:tcPr>
            <w:tcW w:w="4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9,342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460,664</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470,006</w:t>
            </w:r>
          </w:p>
        </w:tc>
      </w:tr>
      <w:tr>
        <w:trPr>
          <w:trHeight w:val="210"/>
        </w:trPr>
        <w:tc>
          <w:tcPr>
            <w:tcW w:w="4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25,000</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525,490</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550,490</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450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4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Class of Collateral Pledged:</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590</w:t>
            </w:r>
          </w:p>
        </w:tc>
      </w:tr>
      <w:tr>
        <w:trPr>
          <w:trHeight w:val="219"/>
        </w:trPr>
        <w:tc>
          <w:tcPr>
            <w:tcW w:w="45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Mortgage-Backed Securities: </w:t>
            </w:r>
            <w:r>
              <w:rPr>
                <w:rFonts w:ascii="Arial" w:cs="Arial" w:eastAsia="Arial" w:hAnsi="Arial"/>
                <w:sz w:val="25"/>
                <w:szCs w:val="25"/>
                <w:color w:val="auto"/>
                <w:vertAlign w:val="superscript"/>
              </w:rPr>
              <w:t>1</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13"/>
        </w:trPr>
        <w:tc>
          <w:tcPr>
            <w:tcW w:w="450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20,210</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83,599</w:t>
            </w:r>
          </w:p>
        </w:tc>
        <w:tc>
          <w:tcPr>
            <w:tcW w:w="4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103,809</w:t>
            </w:r>
          </w:p>
        </w:tc>
      </w:tr>
      <w:tr>
        <w:trPr>
          <w:trHeight w:val="216"/>
        </w:trPr>
        <w:tc>
          <w:tcPr>
            <w:tcW w:w="45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6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4,790</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491,401</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496,191</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25,000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575,490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600,590</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00" w:hanging="92"/>
        <w:spacing w:after="0"/>
        <w:tabs>
          <w:tab w:leader="none" w:pos="100" w:val="left"/>
        </w:tabs>
        <w:numPr>
          <w:ilvl w:val="0"/>
          <w:numId w:val="14"/>
        </w:numPr>
        <w:rPr>
          <w:rFonts w:ascii="Arial" w:cs="Arial" w:eastAsia="Arial" w:hAnsi="Arial"/>
          <w:sz w:val="12"/>
          <w:szCs w:val="12"/>
          <w:color w:val="auto"/>
        </w:rPr>
      </w:pPr>
      <w:r>
        <w:rPr>
          <w:rFonts w:ascii="Arial" w:cs="Arial" w:eastAsia="Arial" w:hAnsi="Arial"/>
          <w:sz w:val="14"/>
          <w:szCs w:val="14"/>
          <w:color w:val="auto"/>
        </w:rPr>
        <w:t>The class of collateral pledged as of December 31, 2020, have been updated to properly reflect the remaining contractual maturity of repurchase agreements.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The following table presents the assets and liabilities subject to an enforceable master netting arrangement, or repurchase agreements as of June 30, 2021, and December 31, 2020. The swap agreements the Company has with our commercial banking customers are not subject to an enforceable master netting arrangement, and therefore, are excluded from this table. Centrally cleared swap agreements between the Company and institutional counterparties are also excluded from this table. See Note 11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 on swap agreements.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b w:val="1"/>
                <w:bCs w:val="1"/>
                <w:color w:val="auto"/>
              </w:rPr>
              <w:t>(i)</w:t>
            </w:r>
          </w:p>
        </w:tc>
        <w:tc>
          <w:tcPr>
            <w:tcW w:w="1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6"/>
                <w:szCs w:val="16"/>
                <w:b w:val="1"/>
                <w:bCs w:val="1"/>
                <w:color w:val="auto"/>
              </w:rPr>
              <w:t>(ii)</w:t>
            </w:r>
          </w:p>
        </w:tc>
        <w:tc>
          <w:tcPr>
            <w:tcW w:w="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(iii) = (i)-(ii)</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(iv)</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(v) = (iii)-(iv)</w:t>
            </w:r>
          </w:p>
        </w:tc>
      </w:tr>
      <w:tr>
        <w:trPr>
          <w:trHeight w:val="199"/>
        </w:trPr>
        <w:tc>
          <w:tcPr>
            <w:tcW w:w="3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w w:val="90"/>
              </w:rPr>
              <w:t>Gross Amounts Not Offset in</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3"/>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w w:val="90"/>
              </w:rPr>
              <w:t>the Statements of Condition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9"/>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Netting</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3"/>
              </w:rPr>
              <w:t>Gross Amounts</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3"/>
              </w:rPr>
              <w:t>Gross Amounts</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Adjustments</w:t>
            </w: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Recognized in</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Offset in</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Presented in</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per Master</w:t>
            </w: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of Collateral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the Statements</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the Statements</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the Statements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Netting</w:t>
            </w: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Pledged/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3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of Condition</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of Condition</w:t>
            </w: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of Condition</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Arrangements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line="216" w:lineRule="exact"/>
              <w:rPr>
                <w:sz w:val="20"/>
                <w:szCs w:val="20"/>
                <w:color w:val="auto"/>
              </w:rPr>
            </w:pPr>
            <w:r>
              <w:rPr>
                <w:rFonts w:ascii="Arial" w:cs="Arial" w:eastAsia="Arial" w:hAnsi="Arial"/>
                <w:sz w:val="15"/>
                <w:szCs w:val="15"/>
                <w:b w:val="1"/>
                <w:bCs w:val="1"/>
                <w:color w:val="auto"/>
              </w:rPr>
              <w:t xml:space="preserve">Received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Net Amount</w:t>
            </w:r>
          </w:p>
        </w:tc>
      </w:tr>
      <w:tr>
        <w:trPr>
          <w:trHeight w:val="209"/>
        </w:trPr>
        <w:tc>
          <w:tcPr>
            <w:tcW w:w="3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Institutional Counterparties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Institutional Counterparties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10,118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10,118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6,549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3,545</w:t>
            </w: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Repurchase Agreements: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Private Institutions</w:t>
            </w: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Government Entities</w:t>
            </w: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0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550,490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550,490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550,490</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Institutional Counterparties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Interest Rate Swap Agreements: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Institutional Counterparties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9,286</w:t>
            </w: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Repurchase Agreements: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Private Institutions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0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Government Entities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0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600,590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600,590</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600,590</w:t>
            </w: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49" w:lineRule="exact"/>
        <w:rPr>
          <w:sz w:val="20"/>
          <w:szCs w:val="20"/>
          <w:color w:val="auto"/>
        </w:rPr>
      </w:pPr>
    </w:p>
    <w:p>
      <w:pPr>
        <w:ind w:left="180" w:right="60" w:hanging="172"/>
        <w:spacing w:after="0" w:line="238" w:lineRule="auto"/>
        <w:tabs>
          <w:tab w:leader="none" w:pos="1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$606.8 million and $635.2 million as of June 30, 2021, and December 31, 2020, respectively. For repurchase agreements with government entities, the fair value of investment securities pledged was $1.8 million and $2.5 million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other comprehensive income (loss) for the three and six months ended June 30, 2021, and June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Before Tax</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Tax Effect</w:t>
            </w: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Net of Tax</w:t>
            </w:r>
          </w:p>
        </w:tc>
      </w:tr>
      <w:tr>
        <w:trPr>
          <w:trHeight w:val="142"/>
        </w:trPr>
        <w:tc>
          <w:tcPr>
            <w:tcW w:w="52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Three Months Ended June 30, 2021</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Unrealized Gains (Losses) Arising During the Period</w:t>
            </w:r>
          </w:p>
        </w:tc>
        <w:tc>
          <w:tcPr>
            <w:tcW w:w="172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3,129</w:t>
            </w:r>
          </w:p>
        </w:tc>
        <w:tc>
          <w:tcPr>
            <w:tcW w:w="4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848</w:t>
            </w:r>
          </w:p>
        </w:tc>
        <w:tc>
          <w:tcPr>
            <w:tcW w:w="4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2,281</w:t>
            </w:r>
          </w:p>
        </w:tc>
      </w:tr>
      <w:tr>
        <w:trPr>
          <w:trHeight w:val="134"/>
        </w:trPr>
        <w:tc>
          <w:tcPr>
            <w:tcW w:w="5280" w:type="dxa"/>
            <w:vAlign w:val="bottom"/>
          </w:tcPr>
          <w:p>
            <w:pPr>
              <w:ind w:left="260"/>
              <w:spacing w:after="0" w:line="134" w:lineRule="exact"/>
              <w:rPr>
                <w:sz w:val="20"/>
                <w:szCs w:val="20"/>
                <w:color w:val="auto"/>
              </w:rPr>
            </w:pPr>
            <w:r>
              <w:rPr>
                <w:rFonts w:ascii="Arial" w:cs="Arial" w:eastAsia="Arial" w:hAnsi="Arial"/>
                <w:sz w:val="13"/>
                <w:szCs w:val="13"/>
                <w:color w:val="auto"/>
              </w:rPr>
              <w:t>Amounts Reclassified from Accumulated Other Comprehensive Income</w:t>
            </w: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280" w:type="dxa"/>
            <w:vAlign w:val="bottom"/>
          </w:tcPr>
          <w:p>
            <w:pPr>
              <w:ind w:left="340"/>
              <w:spacing w:after="0"/>
              <w:rPr>
                <w:sz w:val="20"/>
                <w:szCs w:val="20"/>
                <w:color w:val="auto"/>
              </w:rPr>
            </w:pPr>
            <w:r>
              <w:rPr>
                <w:rFonts w:ascii="Arial" w:cs="Arial" w:eastAsia="Arial" w:hAnsi="Arial"/>
                <w:sz w:val="13"/>
                <w:szCs w:val="13"/>
                <w:color w:val="auto"/>
              </w:rPr>
              <w:t>(Loss) that (Increase) Decrease Net Income:</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Loss on Sale</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(3,675)</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(992)</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(2,683)</w:t>
            </w:r>
          </w:p>
        </w:tc>
      </w:tr>
      <w:tr>
        <w:trPr>
          <w:trHeight w:val="134"/>
        </w:trPr>
        <w:tc>
          <w:tcPr>
            <w:tcW w:w="5280" w:type="dxa"/>
            <w:vAlign w:val="bottom"/>
          </w:tcPr>
          <w:p>
            <w:pPr>
              <w:ind w:left="500"/>
              <w:spacing w:after="0" w:line="134" w:lineRule="exact"/>
              <w:rPr>
                <w:sz w:val="20"/>
                <w:szCs w:val="20"/>
                <w:color w:val="auto"/>
              </w:rPr>
            </w:pPr>
            <w:r>
              <w:rPr>
                <w:rFonts w:ascii="Arial" w:cs="Arial" w:eastAsia="Arial" w:hAnsi="Arial"/>
                <w:sz w:val="13"/>
                <w:szCs w:val="13"/>
                <w:color w:val="auto"/>
              </w:rPr>
              <w:t>Amortization of Unrealized Holding (Gains) Losses on Held-to-</w:t>
            </w: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2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 xml:space="preserve">Maturity Securities </w:t>
            </w:r>
            <w:r>
              <w:rPr>
                <w:rFonts w:ascii="Arial" w:cs="Arial" w:eastAsia="Arial" w:hAnsi="Arial"/>
                <w:sz w:val="10"/>
                <w:szCs w:val="10"/>
                <w:color w:val="auto"/>
              </w:rPr>
              <w:t>1</w:t>
            </w:r>
          </w:p>
        </w:tc>
        <w:tc>
          <w:tcPr>
            <w:tcW w:w="1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380</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101</w:t>
            </w: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279</w:t>
            </w:r>
          </w:p>
        </w:tc>
      </w:tr>
      <w:tr>
        <w:trPr>
          <w:trHeight w:val="142"/>
        </w:trPr>
        <w:tc>
          <w:tcPr>
            <w:tcW w:w="528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(166)</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(43)</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(123)</w:t>
            </w:r>
          </w:p>
        </w:tc>
      </w:tr>
      <w:tr>
        <w:trPr>
          <w:trHeight w:val="148"/>
        </w:trPr>
        <w:tc>
          <w:tcPr>
            <w:tcW w:w="5280" w:type="dxa"/>
            <w:vAlign w:val="bottom"/>
          </w:tcPr>
          <w:p>
            <w:pPr>
              <w:spacing w:after="0"/>
              <w:rPr>
                <w:sz w:val="20"/>
                <w:szCs w:val="20"/>
                <w:color w:val="auto"/>
              </w:rPr>
            </w:pPr>
            <w:r>
              <w:rPr>
                <w:rFonts w:ascii="Arial" w:cs="Arial" w:eastAsia="Arial" w:hAnsi="Arial"/>
                <w:sz w:val="13"/>
                <w:szCs w:val="13"/>
                <w:color w:val="auto"/>
              </w:rPr>
              <w:t>Defined Benefit Plans:</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Net Actuarial Losses (Gains)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661</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174</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487</w:t>
            </w:r>
          </w:p>
        </w:tc>
      </w:tr>
      <w:tr>
        <w:trPr>
          <w:trHeight w:val="149"/>
        </w:trPr>
        <w:tc>
          <w:tcPr>
            <w:tcW w:w="52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Amortization of Prior Service Credit</w:t>
            </w:r>
          </w:p>
        </w:tc>
        <w:tc>
          <w:tcPr>
            <w:tcW w:w="1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(62)</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w:t>
            </w: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r>
      <w:tr>
        <w:trPr>
          <w:trHeight w:val="142"/>
        </w:trPr>
        <w:tc>
          <w:tcPr>
            <w:tcW w:w="5280" w:type="dxa"/>
            <w:vAlign w:val="bottom"/>
            <w:tcBorders>
              <w:bottom w:val="single" w:sz="8" w:color="auto"/>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Defined Benefit Plans, Net</w:t>
            </w:r>
          </w:p>
        </w:tc>
        <w:tc>
          <w:tcPr>
            <w:tcW w:w="17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599</w:t>
            </w:r>
          </w:p>
        </w:tc>
        <w:tc>
          <w:tcPr>
            <w:tcW w:w="4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157</w:t>
            </w:r>
          </w:p>
        </w:tc>
        <w:tc>
          <w:tcPr>
            <w:tcW w:w="4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442</w:t>
            </w:r>
          </w:p>
        </w:tc>
      </w:tr>
      <w:tr>
        <w:trPr>
          <w:trHeight w:val="182"/>
        </w:trPr>
        <w:tc>
          <w:tcPr>
            <w:tcW w:w="52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Other Comprehensive Income (Loss)</w:t>
            </w:r>
          </w:p>
        </w:tc>
        <w:tc>
          <w:tcPr>
            <w:tcW w:w="1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433</w:t>
            </w:r>
          </w:p>
        </w:tc>
        <w:tc>
          <w:tcPr>
            <w:tcW w:w="4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114</w:t>
            </w:r>
          </w:p>
        </w:tc>
        <w:tc>
          <w:tcPr>
            <w:tcW w:w="4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319</w:t>
            </w:r>
          </w:p>
        </w:tc>
      </w:tr>
      <w:tr>
        <w:trPr>
          <w:trHeight w:val="129"/>
        </w:trPr>
        <w:tc>
          <w:tcPr>
            <w:tcW w:w="528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r>
      <w:tr>
        <w:trPr>
          <w:trHeight w:val="148"/>
        </w:trPr>
        <w:tc>
          <w:tcPr>
            <w:tcW w:w="5280" w:type="dxa"/>
            <w:vAlign w:val="bottom"/>
          </w:tcPr>
          <w:p>
            <w:pPr>
              <w:spacing w:after="0"/>
              <w:rPr>
                <w:sz w:val="20"/>
                <w:szCs w:val="20"/>
                <w:color w:val="auto"/>
              </w:rPr>
            </w:pPr>
            <w:r>
              <w:rPr>
                <w:rFonts w:ascii="Arial" w:cs="Arial" w:eastAsia="Arial" w:hAnsi="Arial"/>
                <w:sz w:val="13"/>
                <w:szCs w:val="13"/>
                <w:b w:val="1"/>
                <w:bCs w:val="1"/>
                <w:color w:val="auto"/>
              </w:rPr>
              <w:t>Three Months Ended June 30, 2020</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9"/>
        </w:trPr>
        <w:tc>
          <w:tcPr>
            <w:tcW w:w="5280" w:type="dxa"/>
            <w:vAlign w:val="bottom"/>
          </w:tcPr>
          <w:p>
            <w:pPr>
              <w:ind w:left="260"/>
              <w:spacing w:after="0"/>
              <w:rPr>
                <w:sz w:val="20"/>
                <w:szCs w:val="20"/>
                <w:color w:val="auto"/>
              </w:rPr>
            </w:pPr>
            <w:r>
              <w:rPr>
                <w:rFonts w:ascii="Arial" w:cs="Arial" w:eastAsia="Arial" w:hAnsi="Arial"/>
                <w:sz w:val="13"/>
                <w:szCs w:val="13"/>
                <w:color w:val="auto"/>
              </w:rPr>
              <w:t>Net Unrealized Gains (Losses) Arising During the Period</w:t>
            </w:r>
          </w:p>
        </w:tc>
        <w:tc>
          <w:tcPr>
            <w:tcW w:w="17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10,393</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2,752</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7,641</w:t>
            </w:r>
          </w:p>
        </w:tc>
      </w:tr>
      <w:tr>
        <w:trPr>
          <w:trHeight w:val="134"/>
        </w:trPr>
        <w:tc>
          <w:tcPr>
            <w:tcW w:w="52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Amounts Reclassified from Accumulated Other Comprehensive Income</w:t>
            </w:r>
          </w:p>
        </w:tc>
        <w:tc>
          <w:tcPr>
            <w:tcW w:w="17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r>
      <w:tr>
        <w:trPr>
          <w:trHeight w:val="149"/>
        </w:trPr>
        <w:tc>
          <w:tcPr>
            <w:tcW w:w="52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(Loss) that (Increase) Decrease Net Income:</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34"/>
        </w:trPr>
        <w:tc>
          <w:tcPr>
            <w:tcW w:w="5280" w:type="dxa"/>
            <w:vAlign w:val="bottom"/>
          </w:tcPr>
          <w:p>
            <w:pPr>
              <w:ind w:left="500"/>
              <w:spacing w:after="0" w:line="134" w:lineRule="exact"/>
              <w:rPr>
                <w:sz w:val="20"/>
                <w:szCs w:val="20"/>
                <w:color w:val="auto"/>
              </w:rPr>
            </w:pPr>
            <w:r>
              <w:rPr>
                <w:rFonts w:ascii="Arial" w:cs="Arial" w:eastAsia="Arial" w:hAnsi="Arial"/>
                <w:sz w:val="13"/>
                <w:szCs w:val="13"/>
                <w:color w:val="auto"/>
              </w:rPr>
              <w:t>Amortization of Unrealized Holding (Gains) Losses on Held-to-</w:t>
            </w: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2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 xml:space="preserve">Maturity Securities </w:t>
            </w:r>
            <w:r>
              <w:rPr>
                <w:rFonts w:ascii="Arial" w:cs="Arial" w:eastAsia="Arial" w:hAnsi="Arial"/>
                <w:sz w:val="10"/>
                <w:szCs w:val="10"/>
                <w:color w:val="auto"/>
              </w:rPr>
              <w:t>1</w:t>
            </w:r>
          </w:p>
        </w:tc>
        <w:tc>
          <w:tcPr>
            <w:tcW w:w="1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121</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32</w:t>
            </w: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w:t>
            </w:r>
          </w:p>
        </w:tc>
      </w:tr>
      <w:tr>
        <w:trPr>
          <w:trHeight w:val="142"/>
        </w:trPr>
        <w:tc>
          <w:tcPr>
            <w:tcW w:w="528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10,514</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2,784</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7,730</w:t>
            </w:r>
          </w:p>
        </w:tc>
      </w:tr>
      <w:tr>
        <w:trPr>
          <w:trHeight w:val="149"/>
        </w:trPr>
        <w:tc>
          <w:tcPr>
            <w:tcW w:w="5280" w:type="dxa"/>
            <w:vAlign w:val="bottom"/>
          </w:tcPr>
          <w:p>
            <w:pPr>
              <w:spacing w:after="0"/>
              <w:rPr>
                <w:sz w:val="20"/>
                <w:szCs w:val="20"/>
                <w:color w:val="auto"/>
              </w:rPr>
            </w:pPr>
            <w:r>
              <w:rPr>
                <w:rFonts w:ascii="Arial" w:cs="Arial" w:eastAsia="Arial" w:hAnsi="Arial"/>
                <w:sz w:val="13"/>
                <w:szCs w:val="13"/>
                <w:color w:val="auto"/>
              </w:rPr>
              <w:t>Defined Benefit Plans:</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Net Actuarial Losses (Gains)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571</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151</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420</w:t>
            </w:r>
          </w:p>
        </w:tc>
      </w:tr>
      <w:tr>
        <w:trPr>
          <w:trHeight w:val="148"/>
        </w:trPr>
        <w:tc>
          <w:tcPr>
            <w:tcW w:w="52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Amortization of Prior Service Credit</w:t>
            </w:r>
          </w:p>
        </w:tc>
        <w:tc>
          <w:tcPr>
            <w:tcW w:w="1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(62)</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r>
      <w:tr>
        <w:trPr>
          <w:trHeight w:val="142"/>
        </w:trPr>
        <w:tc>
          <w:tcPr>
            <w:tcW w:w="5280" w:type="dxa"/>
            <w:vAlign w:val="bottom"/>
            <w:tcBorders>
              <w:bottom w:val="single" w:sz="8" w:color="auto"/>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Defined Benefit Plans, Net</w:t>
            </w:r>
          </w:p>
        </w:tc>
        <w:tc>
          <w:tcPr>
            <w:tcW w:w="17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509</w:t>
            </w:r>
          </w:p>
        </w:tc>
        <w:tc>
          <w:tcPr>
            <w:tcW w:w="4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135</w:t>
            </w:r>
          </w:p>
        </w:tc>
        <w:tc>
          <w:tcPr>
            <w:tcW w:w="4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374</w:t>
            </w:r>
          </w:p>
        </w:tc>
      </w:tr>
      <w:tr>
        <w:trPr>
          <w:trHeight w:val="182"/>
        </w:trPr>
        <w:tc>
          <w:tcPr>
            <w:tcW w:w="52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Other Comprehensive Income (Loss)</w:t>
            </w:r>
          </w:p>
        </w:tc>
        <w:tc>
          <w:tcPr>
            <w:tcW w:w="1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11,023</w:t>
            </w:r>
          </w:p>
        </w:tc>
        <w:tc>
          <w:tcPr>
            <w:tcW w:w="4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2,919</w:t>
            </w:r>
          </w:p>
        </w:tc>
        <w:tc>
          <w:tcPr>
            <w:tcW w:w="4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8,104</w:t>
            </w:r>
          </w:p>
        </w:tc>
      </w:tr>
      <w:tr>
        <w:trPr>
          <w:trHeight w:val="129"/>
        </w:trPr>
        <w:tc>
          <w:tcPr>
            <w:tcW w:w="528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r>
      <w:tr>
        <w:trPr>
          <w:trHeight w:val="148"/>
        </w:trPr>
        <w:tc>
          <w:tcPr>
            <w:tcW w:w="5280" w:type="dxa"/>
            <w:vAlign w:val="bottom"/>
          </w:tcPr>
          <w:p>
            <w:pPr>
              <w:spacing w:after="0"/>
              <w:rPr>
                <w:sz w:val="20"/>
                <w:szCs w:val="20"/>
                <w:color w:val="auto"/>
              </w:rPr>
            </w:pPr>
            <w:r>
              <w:rPr>
                <w:rFonts w:ascii="Arial" w:cs="Arial" w:eastAsia="Arial" w:hAnsi="Arial"/>
                <w:sz w:val="13"/>
                <w:szCs w:val="13"/>
                <w:b w:val="1"/>
                <w:bCs w:val="1"/>
                <w:color w:val="auto"/>
              </w:rPr>
              <w:t>Six Months Ended June 30, 2021</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5280" w:type="dxa"/>
            <w:vAlign w:val="bottom"/>
          </w:tcPr>
          <w:p>
            <w:pPr>
              <w:ind w:left="260"/>
              <w:spacing w:after="0"/>
              <w:rPr>
                <w:sz w:val="20"/>
                <w:szCs w:val="20"/>
                <w:color w:val="auto"/>
              </w:rPr>
            </w:pPr>
            <w:r>
              <w:rPr>
                <w:rFonts w:ascii="Arial" w:cs="Arial" w:eastAsia="Arial" w:hAnsi="Arial"/>
                <w:sz w:val="13"/>
                <w:szCs w:val="13"/>
                <w:color w:val="auto"/>
              </w:rPr>
              <w:t>Net Unrealized Gains (Losses) Arising During the Period</w:t>
            </w:r>
          </w:p>
        </w:tc>
        <w:tc>
          <w:tcPr>
            <w:tcW w:w="172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(65,097)</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(17,235)</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(47,862)</w:t>
            </w:r>
          </w:p>
        </w:tc>
      </w:tr>
      <w:tr>
        <w:trPr>
          <w:trHeight w:val="134"/>
        </w:trPr>
        <w:tc>
          <w:tcPr>
            <w:tcW w:w="52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Amounts Reclassified from Accumulated Other Comprehensive Income</w:t>
            </w:r>
          </w:p>
        </w:tc>
        <w:tc>
          <w:tcPr>
            <w:tcW w:w="17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r>
      <w:tr>
        <w:trPr>
          <w:trHeight w:val="149"/>
        </w:trPr>
        <w:tc>
          <w:tcPr>
            <w:tcW w:w="52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(Loss) that (Increase) Decrease Net Income:</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5280" w:type="dxa"/>
            <w:vAlign w:val="bottom"/>
          </w:tcPr>
          <w:p>
            <w:pPr>
              <w:ind w:left="500"/>
              <w:spacing w:after="0"/>
              <w:rPr>
                <w:sz w:val="20"/>
                <w:szCs w:val="20"/>
                <w:color w:val="auto"/>
              </w:rPr>
            </w:pPr>
            <w:r>
              <w:rPr>
                <w:rFonts w:ascii="Arial" w:cs="Arial" w:eastAsia="Arial" w:hAnsi="Arial"/>
                <w:sz w:val="13"/>
                <w:szCs w:val="13"/>
                <w:color w:val="auto"/>
              </w:rPr>
              <w:t>(Gain) Loss on Sale</w:t>
            </w:r>
          </w:p>
        </w:tc>
        <w:tc>
          <w:tcPr>
            <w:tcW w:w="1720" w:type="dxa"/>
            <w:vAlign w:val="bottom"/>
          </w:tcPr>
          <w:p>
            <w:pPr>
              <w:spacing w:after="0"/>
              <w:rPr>
                <w:sz w:val="12"/>
                <w:szCs w:val="1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(3,675)</w:t>
            </w:r>
          </w:p>
        </w:tc>
        <w:tc>
          <w:tcPr>
            <w:tcW w:w="480" w:type="dxa"/>
            <w:vAlign w:val="bottom"/>
          </w:tcPr>
          <w:p>
            <w:pPr>
              <w:spacing w:after="0"/>
              <w:rPr>
                <w:sz w:val="12"/>
                <w:szCs w:val="12"/>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(992)</w:t>
            </w:r>
          </w:p>
        </w:tc>
        <w:tc>
          <w:tcPr>
            <w:tcW w:w="4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(2,683)</w:t>
            </w:r>
          </w:p>
        </w:tc>
      </w:tr>
      <w:tr>
        <w:trPr>
          <w:trHeight w:val="134"/>
        </w:trPr>
        <w:tc>
          <w:tcPr>
            <w:tcW w:w="5280" w:type="dxa"/>
            <w:vAlign w:val="bottom"/>
            <w:shd w:val="clear" w:color="auto" w:fill="CFF0FC"/>
          </w:tcPr>
          <w:p>
            <w:pPr>
              <w:ind w:left="500"/>
              <w:spacing w:after="0" w:line="134" w:lineRule="exact"/>
              <w:rPr>
                <w:sz w:val="20"/>
                <w:szCs w:val="20"/>
                <w:color w:val="auto"/>
              </w:rPr>
            </w:pPr>
            <w:r>
              <w:rPr>
                <w:rFonts w:ascii="Arial" w:cs="Arial" w:eastAsia="Arial" w:hAnsi="Arial"/>
                <w:sz w:val="13"/>
                <w:szCs w:val="13"/>
                <w:color w:val="auto"/>
              </w:rPr>
              <w:t>Amortization of Unrealized Holding (Gains) Losses on Held-to-</w:t>
            </w:r>
          </w:p>
        </w:tc>
        <w:tc>
          <w:tcPr>
            <w:tcW w:w="17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r>
      <w:tr>
        <w:trPr>
          <w:trHeight w:val="149"/>
        </w:trPr>
        <w:tc>
          <w:tcPr>
            <w:tcW w:w="52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3"/>
                <w:szCs w:val="13"/>
                <w:color w:val="auto"/>
              </w:rPr>
              <w:t xml:space="preserve">Maturity Securities </w:t>
            </w:r>
            <w:r>
              <w:rPr>
                <w:rFonts w:ascii="Arial" w:cs="Arial" w:eastAsia="Arial" w:hAnsi="Arial"/>
                <w:sz w:val="10"/>
                <w:szCs w:val="10"/>
                <w:color w:val="auto"/>
              </w:rPr>
              <w:t>1</w:t>
            </w:r>
          </w:p>
        </w:tc>
        <w:tc>
          <w:tcPr>
            <w:tcW w:w="17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506</w:t>
            </w:r>
          </w:p>
        </w:tc>
        <w:tc>
          <w:tcPr>
            <w:tcW w:w="4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134</w:t>
            </w:r>
          </w:p>
        </w:tc>
        <w:tc>
          <w:tcPr>
            <w:tcW w:w="4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372</w:t>
            </w:r>
          </w:p>
        </w:tc>
      </w:tr>
      <w:tr>
        <w:trPr>
          <w:trHeight w:val="142"/>
        </w:trPr>
        <w:tc>
          <w:tcPr>
            <w:tcW w:w="5280" w:type="dxa"/>
            <w:vAlign w:val="bottom"/>
          </w:tcPr>
          <w:p>
            <w:pPr>
              <w:ind w:left="500"/>
              <w:spacing w:after="0" w:line="142" w:lineRule="exact"/>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tcPr>
          <w:p>
            <w:pPr>
              <w:spacing w:after="0"/>
              <w:rPr>
                <w:sz w:val="12"/>
                <w:szCs w:val="12"/>
                <w:color w:val="auto"/>
              </w:rPr>
            </w:pPr>
          </w:p>
        </w:tc>
        <w:tc>
          <w:tcPr>
            <w:tcW w:w="1120" w:type="dxa"/>
            <w:vAlign w:val="bottom"/>
          </w:tcPr>
          <w:p>
            <w:pPr>
              <w:jc w:val="right"/>
              <w:ind w:right="37"/>
              <w:spacing w:after="0" w:line="142" w:lineRule="exact"/>
              <w:rPr>
                <w:sz w:val="20"/>
                <w:szCs w:val="20"/>
                <w:color w:val="auto"/>
              </w:rPr>
            </w:pPr>
            <w:r>
              <w:rPr>
                <w:rFonts w:ascii="Arial" w:cs="Arial" w:eastAsia="Arial" w:hAnsi="Arial"/>
                <w:sz w:val="13"/>
                <w:szCs w:val="13"/>
                <w:color w:val="auto"/>
              </w:rPr>
              <w:t>(68,266)</w:t>
            </w:r>
          </w:p>
        </w:tc>
        <w:tc>
          <w:tcPr>
            <w:tcW w:w="480" w:type="dxa"/>
            <w:vAlign w:val="bottom"/>
          </w:tcPr>
          <w:p>
            <w:pPr>
              <w:spacing w:after="0"/>
              <w:rPr>
                <w:sz w:val="12"/>
                <w:szCs w:val="12"/>
                <w:color w:val="auto"/>
              </w:rPr>
            </w:pPr>
          </w:p>
        </w:tc>
        <w:tc>
          <w:tcPr>
            <w:tcW w:w="11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(18,093)</w:t>
            </w:r>
          </w:p>
        </w:tc>
        <w:tc>
          <w:tcPr>
            <w:tcW w:w="4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3"/>
                <w:szCs w:val="13"/>
                <w:color w:val="auto"/>
              </w:rPr>
              <w:t>(50,173)</w:t>
            </w:r>
          </w:p>
        </w:tc>
      </w:tr>
      <w:tr>
        <w:trPr>
          <w:trHeight w:val="148"/>
        </w:trPr>
        <w:tc>
          <w:tcPr>
            <w:tcW w:w="5280" w:type="dxa"/>
            <w:vAlign w:val="bottom"/>
            <w:shd w:val="clear" w:color="auto" w:fill="CFF0FC"/>
          </w:tcPr>
          <w:p>
            <w:pPr>
              <w:spacing w:after="0"/>
              <w:rPr>
                <w:sz w:val="20"/>
                <w:szCs w:val="20"/>
                <w:color w:val="auto"/>
              </w:rPr>
            </w:pPr>
            <w:r>
              <w:rPr>
                <w:rFonts w:ascii="Arial" w:cs="Arial" w:eastAsia="Arial" w:hAnsi="Arial"/>
                <w:sz w:val="13"/>
                <w:szCs w:val="13"/>
                <w:color w:val="auto"/>
              </w:rPr>
              <w:t>Defined Benefit Plans: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9"/>
        </w:trPr>
        <w:tc>
          <w:tcPr>
            <w:tcW w:w="5280" w:type="dxa"/>
            <w:vAlign w:val="bottom"/>
          </w:tcPr>
          <w:p>
            <w:pPr>
              <w:ind w:left="260"/>
              <w:spacing w:after="0"/>
              <w:rPr>
                <w:sz w:val="20"/>
                <w:szCs w:val="20"/>
                <w:color w:val="auto"/>
              </w:rPr>
            </w:pPr>
            <w:r>
              <w:rPr>
                <w:rFonts w:ascii="Arial" w:cs="Arial" w:eastAsia="Arial" w:hAnsi="Arial"/>
                <w:sz w:val="13"/>
                <w:szCs w:val="13"/>
                <w:color w:val="auto"/>
              </w:rPr>
              <w:t>Amortization of Net Actuarial Losses (Gains)</w:t>
            </w:r>
          </w:p>
        </w:tc>
        <w:tc>
          <w:tcPr>
            <w:tcW w:w="1720" w:type="dxa"/>
            <w:vAlign w:val="bottom"/>
          </w:tcPr>
          <w:p>
            <w:pPr>
              <w:spacing w:after="0"/>
              <w:rPr>
                <w:sz w:val="12"/>
                <w:szCs w:val="12"/>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1,323</w:t>
            </w:r>
          </w:p>
        </w:tc>
        <w:tc>
          <w:tcPr>
            <w:tcW w:w="480" w:type="dxa"/>
            <w:vAlign w:val="bottom"/>
          </w:tcPr>
          <w:p>
            <w:pPr>
              <w:spacing w:after="0"/>
              <w:rPr>
                <w:sz w:val="12"/>
                <w:szCs w:val="12"/>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350</w:t>
            </w:r>
          </w:p>
        </w:tc>
        <w:tc>
          <w:tcPr>
            <w:tcW w:w="48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973</w:t>
            </w:r>
          </w:p>
        </w:tc>
      </w:tr>
      <w:tr>
        <w:trPr>
          <w:trHeight w:val="148"/>
        </w:trPr>
        <w:tc>
          <w:tcPr>
            <w:tcW w:w="52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3"/>
                <w:szCs w:val="13"/>
                <w:color w:val="auto"/>
              </w:rPr>
              <w:t>Amortization of Prior Service Credit</w:t>
            </w:r>
          </w:p>
        </w:tc>
        <w:tc>
          <w:tcPr>
            <w:tcW w:w="17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(123)</w:t>
            </w:r>
          </w:p>
        </w:tc>
        <w:tc>
          <w:tcPr>
            <w:tcW w:w="4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(33)</w:t>
            </w:r>
          </w:p>
        </w:tc>
        <w:tc>
          <w:tcPr>
            <w:tcW w:w="4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w:t>
            </w:r>
          </w:p>
        </w:tc>
      </w:tr>
      <w:tr>
        <w:trPr>
          <w:trHeight w:val="142"/>
        </w:trPr>
        <w:tc>
          <w:tcPr>
            <w:tcW w:w="5280" w:type="dxa"/>
            <w:vAlign w:val="bottom"/>
            <w:tcBorders>
              <w:bottom w:val="single" w:sz="8" w:color="auto"/>
            </w:tcBorders>
          </w:tcPr>
          <w:p>
            <w:pPr>
              <w:ind w:left="500"/>
              <w:spacing w:after="0" w:line="142" w:lineRule="exact"/>
              <w:rPr>
                <w:sz w:val="20"/>
                <w:szCs w:val="20"/>
                <w:color w:val="auto"/>
              </w:rPr>
            </w:pPr>
            <w:r>
              <w:rPr>
                <w:rFonts w:ascii="Arial" w:cs="Arial" w:eastAsia="Arial" w:hAnsi="Arial"/>
                <w:sz w:val="13"/>
                <w:szCs w:val="13"/>
                <w:color w:val="auto"/>
              </w:rPr>
              <w:t>Defined Benefit Plans, Net</w:t>
            </w:r>
          </w:p>
        </w:tc>
        <w:tc>
          <w:tcPr>
            <w:tcW w:w="1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1,200</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317</w:t>
            </w: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883</w:t>
            </w:r>
          </w:p>
        </w:tc>
      </w:tr>
      <w:tr>
        <w:trPr>
          <w:trHeight w:val="142"/>
        </w:trPr>
        <w:tc>
          <w:tcPr>
            <w:tcW w:w="528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Other Comprehensive Income (Loss)</w:t>
            </w:r>
          </w:p>
        </w:tc>
        <w:tc>
          <w:tcPr>
            <w:tcW w:w="1720" w:type="dxa"/>
            <w:vAlign w:val="bottom"/>
            <w:tcBorders>
              <w:bottom w:val="single" w:sz="8" w:color="auto"/>
            </w:tcBorders>
            <w:shd w:val="clear" w:color="auto" w:fill="CFF0FC"/>
          </w:tcPr>
          <w:p>
            <w:pPr>
              <w:jc w:val="right"/>
              <w:ind w:right="217"/>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(67,066)</w:t>
            </w:r>
          </w:p>
        </w:tc>
        <w:tc>
          <w:tcPr>
            <w:tcW w:w="480" w:type="dxa"/>
            <w:vAlign w:val="bottom"/>
            <w:tcBorders>
              <w:bottom w:val="single" w:sz="8" w:color="auto"/>
            </w:tcBorders>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(17,776)</w:t>
            </w:r>
          </w:p>
        </w:tc>
        <w:tc>
          <w:tcPr>
            <w:tcW w:w="480" w:type="dxa"/>
            <w:vAlign w:val="bottom"/>
            <w:tcBorders>
              <w:bottom w:val="single" w:sz="8" w:color="auto"/>
            </w:tcBorders>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(49,290)</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5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Six Months Ended June 30, 2020</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5280" w:type="dxa"/>
            <w:vAlign w:val="bottom"/>
          </w:tcPr>
          <w:p>
            <w:pPr>
              <w:spacing w:after="0"/>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Unrealized Gains (Losses) Arising During the Period</w:t>
            </w:r>
          </w:p>
        </w:tc>
        <w:tc>
          <w:tcPr>
            <w:tcW w:w="172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66,949</w:t>
            </w:r>
          </w:p>
        </w:tc>
        <w:tc>
          <w:tcPr>
            <w:tcW w:w="4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17,741</w:t>
            </w:r>
          </w:p>
        </w:tc>
        <w:tc>
          <w:tcPr>
            <w:tcW w:w="4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49,208</w:t>
            </w:r>
          </w:p>
        </w:tc>
      </w:tr>
      <w:tr>
        <w:trPr>
          <w:trHeight w:val="134"/>
        </w:trPr>
        <w:tc>
          <w:tcPr>
            <w:tcW w:w="5280" w:type="dxa"/>
            <w:vAlign w:val="bottom"/>
          </w:tcPr>
          <w:p>
            <w:pPr>
              <w:ind w:left="260"/>
              <w:spacing w:after="0" w:line="134" w:lineRule="exact"/>
              <w:rPr>
                <w:sz w:val="20"/>
                <w:szCs w:val="20"/>
                <w:color w:val="auto"/>
              </w:rPr>
            </w:pPr>
            <w:r>
              <w:rPr>
                <w:rFonts w:ascii="Arial" w:cs="Arial" w:eastAsia="Arial" w:hAnsi="Arial"/>
                <w:sz w:val="13"/>
                <w:szCs w:val="13"/>
                <w:color w:val="auto"/>
              </w:rPr>
              <w:t>Amounts Reclassified from Accumulated Other Comprehensive Income</w:t>
            </w: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280" w:type="dxa"/>
            <w:vAlign w:val="bottom"/>
          </w:tcPr>
          <w:p>
            <w:pPr>
              <w:ind w:left="340"/>
              <w:spacing w:after="0"/>
              <w:rPr>
                <w:sz w:val="20"/>
                <w:szCs w:val="20"/>
                <w:color w:val="auto"/>
              </w:rPr>
            </w:pPr>
            <w:r>
              <w:rPr>
                <w:rFonts w:ascii="Arial" w:cs="Arial" w:eastAsia="Arial" w:hAnsi="Arial"/>
                <w:sz w:val="13"/>
                <w:szCs w:val="13"/>
                <w:color w:val="auto"/>
              </w:rPr>
              <w:t>(Loss) that (Increase) Decrease Net Income:</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Loss on Sale</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(77)</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(21)</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r>
      <w:tr>
        <w:trPr>
          <w:trHeight w:val="134"/>
        </w:trPr>
        <w:tc>
          <w:tcPr>
            <w:tcW w:w="5280" w:type="dxa"/>
            <w:vAlign w:val="bottom"/>
          </w:tcPr>
          <w:p>
            <w:pPr>
              <w:ind w:left="500"/>
              <w:spacing w:after="0" w:line="134" w:lineRule="exact"/>
              <w:rPr>
                <w:sz w:val="20"/>
                <w:szCs w:val="20"/>
                <w:color w:val="auto"/>
              </w:rPr>
            </w:pPr>
            <w:r>
              <w:rPr>
                <w:rFonts w:ascii="Arial" w:cs="Arial" w:eastAsia="Arial" w:hAnsi="Arial"/>
                <w:sz w:val="13"/>
                <w:szCs w:val="13"/>
                <w:color w:val="auto"/>
              </w:rPr>
              <w:t>Amortization of Unrealized Holding (Gains) Losses on Held-to-</w:t>
            </w: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2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 xml:space="preserve">Maturity Securities </w:t>
            </w:r>
            <w:r>
              <w:rPr>
                <w:rFonts w:ascii="Arial" w:cs="Arial" w:eastAsia="Arial" w:hAnsi="Arial"/>
                <w:sz w:val="10"/>
                <w:szCs w:val="10"/>
                <w:color w:val="auto"/>
              </w:rPr>
              <w:t>1</w:t>
            </w:r>
          </w:p>
        </w:tc>
        <w:tc>
          <w:tcPr>
            <w:tcW w:w="1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186</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49</w:t>
            </w: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w:t>
            </w:r>
          </w:p>
        </w:tc>
      </w:tr>
      <w:tr>
        <w:trPr>
          <w:trHeight w:val="142"/>
        </w:trPr>
        <w:tc>
          <w:tcPr>
            <w:tcW w:w="528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Net Unrealized Gains (Losses) on Investment Securities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67,058</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17,769</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49,289</w:t>
            </w:r>
          </w:p>
        </w:tc>
      </w:tr>
      <w:tr>
        <w:trPr>
          <w:trHeight w:val="149"/>
        </w:trPr>
        <w:tc>
          <w:tcPr>
            <w:tcW w:w="5280" w:type="dxa"/>
            <w:vAlign w:val="bottom"/>
          </w:tcPr>
          <w:p>
            <w:pPr>
              <w:spacing w:after="0"/>
              <w:rPr>
                <w:sz w:val="20"/>
                <w:szCs w:val="20"/>
                <w:color w:val="auto"/>
              </w:rPr>
            </w:pPr>
            <w:r>
              <w:rPr>
                <w:rFonts w:ascii="Arial" w:cs="Arial" w:eastAsia="Arial" w:hAnsi="Arial"/>
                <w:sz w:val="13"/>
                <w:szCs w:val="13"/>
                <w:color w:val="auto"/>
              </w:rPr>
              <w:t>Defined Benefit Plans:</w:t>
            </w:r>
          </w:p>
        </w:tc>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Net Actuarial Losses (Gains)</w:t>
            </w:r>
          </w:p>
        </w:tc>
        <w:tc>
          <w:tcPr>
            <w:tcW w:w="17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1,141</w:t>
            </w: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303</w:t>
            </w:r>
          </w:p>
        </w:tc>
        <w:tc>
          <w:tcPr>
            <w:tcW w:w="4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838</w:t>
            </w:r>
          </w:p>
        </w:tc>
      </w:tr>
      <w:tr>
        <w:trPr>
          <w:trHeight w:val="148"/>
        </w:trPr>
        <w:tc>
          <w:tcPr>
            <w:tcW w:w="52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Amortization of Prior Service Credit</w:t>
            </w:r>
          </w:p>
        </w:tc>
        <w:tc>
          <w:tcPr>
            <w:tcW w:w="1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(123)</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w:t>
            </w: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r>
      <w:tr>
        <w:trPr>
          <w:trHeight w:val="142"/>
        </w:trPr>
        <w:tc>
          <w:tcPr>
            <w:tcW w:w="5280" w:type="dxa"/>
            <w:vAlign w:val="bottom"/>
            <w:tcBorders>
              <w:bottom w:val="single" w:sz="8" w:color="auto"/>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Defined Benefit Plans, Net</w:t>
            </w:r>
          </w:p>
        </w:tc>
        <w:tc>
          <w:tcPr>
            <w:tcW w:w="17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1,018</w:t>
            </w:r>
          </w:p>
        </w:tc>
        <w:tc>
          <w:tcPr>
            <w:tcW w:w="4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270</w:t>
            </w:r>
          </w:p>
        </w:tc>
        <w:tc>
          <w:tcPr>
            <w:tcW w:w="4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748</w:t>
            </w:r>
          </w:p>
        </w:tc>
      </w:tr>
      <w:tr>
        <w:trPr>
          <w:trHeight w:val="142"/>
        </w:trPr>
        <w:tc>
          <w:tcPr>
            <w:tcW w:w="52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Other Comprehensive Income (Loss)</w:t>
            </w:r>
          </w:p>
        </w:tc>
        <w:tc>
          <w:tcPr>
            <w:tcW w:w="1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68,076</w:t>
            </w:r>
          </w:p>
        </w:tc>
        <w:tc>
          <w:tcPr>
            <w:tcW w:w="4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18,039</w:t>
            </w:r>
          </w:p>
        </w:tc>
        <w:tc>
          <w:tcPr>
            <w:tcW w:w="4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50,037</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right="140" w:hanging="172"/>
        <w:spacing w:after="0" w:line="253" w:lineRule="auto"/>
        <w:tabs>
          <w:tab w:leader="none" w:pos="1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six months ended June 30, 2021, and June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Accumulated</w:t>
            </w:r>
          </w:p>
        </w:tc>
      </w:t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Held-to-</w:t>
            </w:r>
          </w:p>
        </w:tc>
        <w:tc>
          <w:tcPr>
            <w:tcW w:w="13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Defined Benefit</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Comprehensive</w:t>
            </w:r>
          </w:p>
        </w:tc>
      </w:tr>
      <w:tr>
        <w:trPr>
          <w:trHeight w:val="21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for-Sale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Maturity</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Income (Loss)</w:t>
            </w:r>
          </w:p>
        </w:tc>
      </w:tr>
      <w:tr>
        <w:trPr>
          <w:trHeight w:val="213"/>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June 30, 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1,352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(42,809)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(41,787)</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2,281</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2,281</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(2,683)</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279</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442</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w:t>
            </w:r>
          </w:p>
        </w:tc>
      </w:tr>
      <w:tr>
        <w:trPr>
          <w:trHeight w:val="209"/>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(402)</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279</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442</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319</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(41,468)</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June 30, 2020</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49,870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(38,382)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10,821</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7,641</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7,641</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463</w:t>
            </w:r>
          </w:p>
        </w:tc>
      </w:tr>
      <w:tr>
        <w:trPr>
          <w:trHeight w:val="209"/>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7,641</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89</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8,104</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57,511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18,925</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Six Months Ended June 30, 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51,495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(43,250)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7,822</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(47,862)</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(47,862)</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(2,683)</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883</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w:t>
            </w:r>
          </w:p>
        </w:tc>
      </w:tr>
      <w:tr>
        <w:trPr>
          <w:trHeight w:val="210"/>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(50,545)</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372</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883</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(49,290)</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(41,468)</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Six Months Ended June 30, 2020</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8,359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(38,756)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(31,112)</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49,208</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49,208</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748</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w:t>
            </w:r>
          </w:p>
        </w:tc>
      </w:tr>
      <w:tr>
        <w:trPr>
          <w:trHeight w:val="210"/>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49,152</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137</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748</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50,037</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57,511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18,925</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six months ended June 30, 2021, and June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00" w:type="dxa"/>
            <w:vAlign w:val="bottom"/>
          </w:tcPr>
          <w:p>
            <w:pPr>
              <w:spacing w:after="0"/>
              <w:rPr>
                <w:sz w:val="20"/>
                <w:szCs w:val="20"/>
                <w:color w:val="auto"/>
              </w:rPr>
            </w:pPr>
            <w:r>
              <w:rPr>
                <w:rFonts w:ascii="Arial" w:cs="Arial" w:eastAsia="Arial" w:hAnsi="Arial"/>
                <w:sz w:val="16"/>
                <w:szCs w:val="16"/>
                <w:b w:val="1"/>
                <w:bCs w:val="1"/>
                <w:color w:val="auto"/>
              </w:rPr>
              <w:t>Details about Accumulated Other</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1"/>
              </w:rPr>
              <w:t>Amount Reclassified from Accumulated</w:t>
            </w:r>
          </w:p>
        </w:tc>
        <w:tc>
          <w:tcPr>
            <w:tcW w:w="340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 Statement</w:t>
            </w:r>
          </w:p>
        </w:tc>
      </w:tr>
      <w:tr>
        <w:trPr>
          <w:trHeight w:val="220"/>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 (Loss) Components</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center"/>
              <w:ind w:right="219"/>
              <w:spacing w:after="0" w:line="220" w:lineRule="exact"/>
              <w:rPr>
                <w:sz w:val="20"/>
                <w:szCs w:val="20"/>
                <w:color w:val="auto"/>
              </w:rPr>
            </w:pPr>
            <w:r>
              <w:rPr>
                <w:rFonts w:ascii="Arial" w:cs="Arial" w:eastAsia="Arial" w:hAnsi="Arial"/>
                <w:sz w:val="15"/>
                <w:szCs w:val="15"/>
                <w:b w:val="1"/>
                <w:bCs w:val="1"/>
                <w:color w:val="auto"/>
                <w:w w:val="96"/>
              </w:rPr>
              <w:t>Other Comprehensive Income (Loss)</w:t>
            </w:r>
            <w:r>
              <w:rPr>
                <w:rFonts w:ascii="Arial" w:cs="Arial" w:eastAsia="Arial" w:hAnsi="Arial"/>
                <w:sz w:val="25"/>
                <w:szCs w:val="25"/>
                <w:b w:val="1"/>
                <w:bCs w:val="1"/>
                <w:color w:val="auto"/>
                <w:w w:val="96"/>
                <w:vertAlign w:val="superscript"/>
              </w:rPr>
              <w:t>1</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Where Net Income Is Presented</w:t>
            </w:r>
          </w:p>
        </w:tc>
      </w:tr>
      <w:tr>
        <w:trPr>
          <w:trHeight w:val="204"/>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6"/>
                <w:szCs w:val="16"/>
                <w:b w:val="1"/>
                <w:bCs w:val="1"/>
                <w:color w:val="auto"/>
                <w:w w:val="92"/>
              </w:rPr>
              <w:t>Three Months Ended June 30,</w:t>
            </w:r>
          </w:p>
        </w:tc>
        <w:tc>
          <w:tcPr>
            <w:tcW w:w="640" w:type="dxa"/>
            <w:vAlign w:val="bottom"/>
            <w:tcBorders>
              <w:bottom w:val="single" w:sz="8" w:color="auto"/>
            </w:tcBorders>
          </w:tcPr>
          <w:p>
            <w:pPr>
              <w:spacing w:after="0"/>
              <w:rPr>
                <w:sz w:val="17"/>
                <w:szCs w:val="17"/>
                <w:color w:val="auto"/>
              </w:rPr>
            </w:pPr>
          </w:p>
        </w:tc>
        <w:tc>
          <w:tcPr>
            <w:tcW w:w="3400" w:type="dxa"/>
            <w:vAlign w:val="bottom"/>
          </w:tcPr>
          <w:p>
            <w:pPr>
              <w:spacing w:after="0"/>
              <w:rPr>
                <w:sz w:val="17"/>
                <w:szCs w:val="17"/>
                <w:color w:val="auto"/>
              </w:rPr>
            </w:pPr>
          </w:p>
        </w:tc>
      </w:tr>
      <w:tr>
        <w:trPr>
          <w:trHeight w:val="212"/>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3400" w:type="dxa"/>
            <w:vAlign w:val="bottom"/>
            <w:tcBorders>
              <w:bottom w:val="single" w:sz="8" w:color="CFF0FC"/>
            </w:tcBorders>
          </w:tcPr>
          <w:p>
            <w:pPr>
              <w:spacing w:after="0"/>
              <w:rPr>
                <w:sz w:val="18"/>
                <w:szCs w:val="18"/>
                <w:color w:val="auto"/>
              </w:rPr>
            </w:pPr>
          </w:p>
        </w:tc>
      </w:tr>
      <w:tr>
        <w:trPr>
          <w:trHeight w:val="202"/>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Unrealized Holding Gains (Losses) on</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0" w:type="dxa"/>
            <w:vAlign w:val="bottom"/>
            <w:shd w:val="clear" w:color="auto" w:fill="CFF0FC"/>
          </w:tcPr>
          <w:p>
            <w:pPr>
              <w:spacing w:after="0"/>
              <w:rPr>
                <w:sz w:val="17"/>
                <w:szCs w:val="17"/>
                <w:color w:val="auto"/>
              </w:rPr>
            </w:pPr>
          </w:p>
        </w:tc>
      </w:tr>
      <w:tr>
        <w:trPr>
          <w:trHeight w:val="212"/>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Investment Securities Held-to-Maturity</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(380)</w:t>
            </w:r>
          </w:p>
        </w:tc>
        <w:tc>
          <w:tcPr>
            <w:tcW w:w="11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w:t>
            </w:r>
          </w:p>
        </w:tc>
      </w:tr>
      <w:tr>
        <w:trPr>
          <w:trHeight w:val="213"/>
        </w:trPr>
        <w:tc>
          <w:tcPr>
            <w:tcW w:w="40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101</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13"/>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Sale of Investment Securities Available-for-Sale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3,675</w:t>
            </w:r>
          </w:p>
        </w:tc>
        <w:tc>
          <w:tcPr>
            <w:tcW w:w="11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0" w:type="dxa"/>
            <w:vAlign w:val="bottom"/>
          </w:tcPr>
          <w:p>
            <w:pPr>
              <w:ind w:left="180"/>
              <w:spacing w:after="0"/>
              <w:rPr>
                <w:sz w:val="20"/>
                <w:szCs w:val="20"/>
                <w:color w:val="auto"/>
              </w:rPr>
            </w:pPr>
            <w:r>
              <w:rPr>
                <w:rFonts w:ascii="Arial" w:cs="Arial" w:eastAsia="Arial" w:hAnsi="Arial"/>
                <w:sz w:val="16"/>
                <w:szCs w:val="16"/>
                <w:color w:val="auto"/>
              </w:rPr>
              <w:t>Investment Securities Gains (Losses), Net</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(992)</w:t>
            </w:r>
          </w:p>
        </w:tc>
        <w:tc>
          <w:tcPr>
            <w:tcW w:w="1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Income Tax</w:t>
            </w:r>
          </w:p>
        </w:tc>
      </w:tr>
      <w:tr>
        <w:trPr>
          <w:trHeight w:val="207"/>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2,683</w:t>
            </w:r>
          </w:p>
        </w:tc>
        <w:tc>
          <w:tcPr>
            <w:tcW w:w="1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0" w:type="dxa"/>
            <w:vAlign w:val="bottom"/>
          </w:tcPr>
          <w:p>
            <w:pPr>
              <w:ind w:left="180"/>
              <w:spacing w:after="0"/>
              <w:rPr>
                <w:sz w:val="20"/>
                <w:szCs w:val="20"/>
                <w:color w:val="auto"/>
              </w:rPr>
            </w:pPr>
            <w:r>
              <w:rPr>
                <w:rFonts w:ascii="Arial" w:cs="Arial" w:eastAsia="Arial" w:hAnsi="Arial"/>
                <w:sz w:val="16"/>
                <w:szCs w:val="16"/>
                <w:color w:val="auto"/>
              </w:rPr>
              <w:t>Net of tax</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Amortization of Defined Benefit Plan Items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9"/>
        </w:trPr>
        <w:tc>
          <w:tcPr>
            <w:tcW w:w="400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Prior Service Credit </w:t>
            </w:r>
            <w:r>
              <w:rPr>
                <w:rFonts w:ascii="Arial" w:cs="Arial" w:eastAsia="Arial" w:hAnsi="Arial"/>
                <w:sz w:val="25"/>
                <w:szCs w:val="25"/>
                <w:color w:val="auto"/>
                <w:vertAlign w:val="superscript"/>
              </w:rPr>
              <w:t>2</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62</w:t>
            </w: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w:t>
            </w:r>
          </w:p>
        </w:tc>
        <w:tc>
          <w:tcPr>
            <w:tcW w:w="3400" w:type="dxa"/>
            <w:vAlign w:val="bottom"/>
            <w:shd w:val="clear" w:color="auto" w:fill="CFF0FC"/>
          </w:tcPr>
          <w:p>
            <w:pPr>
              <w:spacing w:after="0"/>
              <w:rPr>
                <w:sz w:val="19"/>
                <w:szCs w:val="19"/>
                <w:color w:val="auto"/>
              </w:rPr>
            </w:pPr>
          </w:p>
        </w:tc>
      </w:tr>
      <w:tr>
        <w:trPr>
          <w:trHeight w:val="216"/>
        </w:trPr>
        <w:tc>
          <w:tcPr>
            <w:tcW w:w="4000" w:type="dxa"/>
            <w:vAlign w:val="bottom"/>
            <w:tcBorders>
              <w:bottom w:val="single" w:sz="8" w:color="CFF0FC"/>
            </w:tcBorders>
          </w:tcPr>
          <w:p>
            <w:pPr>
              <w:ind w:left="260"/>
              <w:spacing w:after="0" w:line="216" w:lineRule="exact"/>
              <w:rPr>
                <w:sz w:val="20"/>
                <w:szCs w:val="20"/>
                <w:color w:val="auto"/>
              </w:rPr>
            </w:pPr>
            <w:r>
              <w:rPr>
                <w:rFonts w:ascii="Arial" w:cs="Arial" w:eastAsia="Arial" w:hAnsi="Arial"/>
                <w:sz w:val="15"/>
                <w:szCs w:val="15"/>
                <w:color w:val="auto"/>
              </w:rPr>
              <w:t xml:space="preserve">Net Actuarial Losses </w:t>
            </w:r>
            <w:r>
              <w:rPr>
                <w:rFonts w:ascii="Arial" w:cs="Arial" w:eastAsia="Arial" w:hAnsi="Arial"/>
                <w:sz w:val="25"/>
                <w:szCs w:val="25"/>
                <w:color w:val="auto"/>
                <w:vertAlign w:val="superscript"/>
              </w:rPr>
              <w:t>2</w:t>
            </w: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3400" w:type="dxa"/>
            <w:vAlign w:val="bottom"/>
            <w:tcBorders>
              <w:bottom w:val="single" w:sz="8" w:color="CFF0FC"/>
            </w:tcBorders>
          </w:tcPr>
          <w:p>
            <w:pPr>
              <w:spacing w:after="0"/>
              <w:rPr>
                <w:sz w:val="18"/>
                <w:szCs w:val="18"/>
                <w:color w:val="auto"/>
              </w:rPr>
            </w:pPr>
          </w:p>
        </w:tc>
      </w:tr>
      <w:tr>
        <w:trPr>
          <w:trHeight w:val="210"/>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(599)</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Before Tax</w:t>
            </w:r>
          </w:p>
        </w:tc>
      </w:tr>
      <w:tr>
        <w:trPr>
          <w:trHeight w:val="213"/>
        </w:trPr>
        <w:tc>
          <w:tcPr>
            <w:tcW w:w="40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157</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09"/>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(442)</w:t>
            </w:r>
          </w:p>
        </w:tc>
        <w:tc>
          <w:tcPr>
            <w:tcW w:w="1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3"/>
        </w:trPr>
        <w:tc>
          <w:tcPr>
            <w:tcW w:w="4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3"/>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Total Reclassifications for the Period</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1,962</w:t>
            </w:r>
          </w:p>
        </w:tc>
        <w:tc>
          <w:tcPr>
            <w:tcW w:w="11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gridSpan w:val="3"/>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r>
      <w:tr>
        <w:trPr>
          <w:trHeight w:val="398"/>
        </w:trPr>
        <w:tc>
          <w:tcPr>
            <w:tcW w:w="4000" w:type="dxa"/>
            <w:vAlign w:val="bottom"/>
          </w:tcPr>
          <w:p>
            <w:pPr>
              <w:spacing w:after="0"/>
              <w:rPr>
                <w:sz w:val="20"/>
                <w:szCs w:val="20"/>
                <w:color w:val="auto"/>
              </w:rPr>
            </w:pPr>
            <w:r>
              <w:rPr>
                <w:rFonts w:ascii="Arial" w:cs="Arial" w:eastAsia="Arial" w:hAnsi="Arial"/>
                <w:sz w:val="16"/>
                <w:szCs w:val="16"/>
                <w:b w:val="1"/>
                <w:bCs w:val="1"/>
                <w:color w:val="auto"/>
              </w:rPr>
              <w:t>Details about Accumulated Other</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1"/>
              </w:rPr>
              <w:t>Amount Reclassified from Accumulated</w:t>
            </w:r>
          </w:p>
        </w:tc>
        <w:tc>
          <w:tcPr>
            <w:tcW w:w="340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 Statement</w:t>
            </w:r>
          </w:p>
        </w:tc>
      </w:tr>
      <w:tr>
        <w:trPr>
          <w:trHeight w:val="220"/>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 (Loss) Components</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center"/>
              <w:ind w:right="219"/>
              <w:spacing w:after="0" w:line="220" w:lineRule="exact"/>
              <w:rPr>
                <w:sz w:val="20"/>
                <w:szCs w:val="20"/>
                <w:color w:val="auto"/>
              </w:rPr>
            </w:pPr>
            <w:r>
              <w:rPr>
                <w:rFonts w:ascii="Arial" w:cs="Arial" w:eastAsia="Arial" w:hAnsi="Arial"/>
                <w:sz w:val="15"/>
                <w:szCs w:val="15"/>
                <w:b w:val="1"/>
                <w:bCs w:val="1"/>
                <w:color w:val="auto"/>
                <w:w w:val="96"/>
              </w:rPr>
              <w:t>Other Comprehensive Income (Loss)</w:t>
            </w:r>
            <w:r>
              <w:rPr>
                <w:rFonts w:ascii="Arial" w:cs="Arial" w:eastAsia="Arial" w:hAnsi="Arial"/>
                <w:sz w:val="25"/>
                <w:szCs w:val="25"/>
                <w:b w:val="1"/>
                <w:bCs w:val="1"/>
                <w:color w:val="auto"/>
                <w:w w:val="96"/>
                <w:vertAlign w:val="superscript"/>
              </w:rPr>
              <w:t>1</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Where Net Income Is Presented</w:t>
            </w:r>
          </w:p>
        </w:tc>
      </w:tr>
      <w:tr>
        <w:trPr>
          <w:trHeight w:val="204"/>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6"/>
                <w:szCs w:val="16"/>
                <w:b w:val="1"/>
                <w:bCs w:val="1"/>
                <w:color w:val="auto"/>
                <w:w w:val="91"/>
              </w:rPr>
              <w:t>Six Months Ended June 30,</w:t>
            </w:r>
          </w:p>
        </w:tc>
        <w:tc>
          <w:tcPr>
            <w:tcW w:w="640" w:type="dxa"/>
            <w:vAlign w:val="bottom"/>
            <w:tcBorders>
              <w:bottom w:val="single" w:sz="8" w:color="auto"/>
            </w:tcBorders>
          </w:tcPr>
          <w:p>
            <w:pPr>
              <w:spacing w:after="0"/>
              <w:rPr>
                <w:sz w:val="17"/>
                <w:szCs w:val="17"/>
                <w:color w:val="auto"/>
              </w:rPr>
            </w:pPr>
          </w:p>
        </w:tc>
        <w:tc>
          <w:tcPr>
            <w:tcW w:w="3400" w:type="dxa"/>
            <w:vAlign w:val="bottom"/>
          </w:tcPr>
          <w:p>
            <w:pPr>
              <w:spacing w:after="0"/>
              <w:rPr>
                <w:sz w:val="17"/>
                <w:szCs w:val="17"/>
                <w:color w:val="auto"/>
              </w:rPr>
            </w:pPr>
          </w:p>
        </w:tc>
      </w:tr>
      <w:tr>
        <w:trPr>
          <w:trHeight w:val="212"/>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3400" w:type="dxa"/>
            <w:vAlign w:val="bottom"/>
            <w:tcBorders>
              <w:bottom w:val="single" w:sz="8" w:color="CFF0FC"/>
            </w:tcBorders>
          </w:tcPr>
          <w:p>
            <w:pPr>
              <w:spacing w:after="0"/>
              <w:rPr>
                <w:sz w:val="18"/>
                <w:szCs w:val="18"/>
                <w:color w:val="auto"/>
              </w:rPr>
            </w:pPr>
          </w:p>
        </w:tc>
      </w:tr>
      <w:tr>
        <w:trPr>
          <w:trHeight w:val="202"/>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Unrealized Holding Gains (Losses) on</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0" w:type="dxa"/>
            <w:vAlign w:val="bottom"/>
            <w:shd w:val="clear" w:color="auto" w:fill="CFF0FC"/>
          </w:tcPr>
          <w:p>
            <w:pPr>
              <w:spacing w:after="0"/>
              <w:rPr>
                <w:sz w:val="17"/>
                <w:szCs w:val="17"/>
                <w:color w:val="auto"/>
              </w:rPr>
            </w:pPr>
          </w:p>
        </w:tc>
      </w:tr>
      <w:tr>
        <w:trPr>
          <w:trHeight w:val="212"/>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Investment Securities Held-to-Maturity</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(506)</w:t>
            </w:r>
          </w:p>
        </w:tc>
        <w:tc>
          <w:tcPr>
            <w:tcW w:w="11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w:t>
            </w:r>
          </w:p>
        </w:tc>
      </w:tr>
      <w:tr>
        <w:trPr>
          <w:trHeight w:val="213"/>
        </w:trPr>
        <w:tc>
          <w:tcPr>
            <w:tcW w:w="40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134</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13"/>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(372)</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Sale of Investment Securities Available-for-Sale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3,675</w:t>
            </w:r>
          </w:p>
        </w:tc>
        <w:tc>
          <w:tcPr>
            <w:tcW w:w="11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3400" w:type="dxa"/>
            <w:vAlign w:val="bottom"/>
          </w:tcPr>
          <w:p>
            <w:pPr>
              <w:ind w:left="180"/>
              <w:spacing w:after="0"/>
              <w:rPr>
                <w:sz w:val="20"/>
                <w:szCs w:val="20"/>
                <w:color w:val="auto"/>
              </w:rPr>
            </w:pPr>
            <w:r>
              <w:rPr>
                <w:rFonts w:ascii="Arial" w:cs="Arial" w:eastAsia="Arial" w:hAnsi="Arial"/>
                <w:sz w:val="16"/>
                <w:szCs w:val="16"/>
                <w:color w:val="auto"/>
              </w:rPr>
              <w:t>Investment Securities Gains (Losses), Net</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(992)</w:t>
            </w:r>
          </w:p>
        </w:tc>
        <w:tc>
          <w:tcPr>
            <w:tcW w:w="1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Income Tax</w:t>
            </w:r>
          </w:p>
        </w:tc>
      </w:tr>
      <w:tr>
        <w:trPr>
          <w:trHeight w:val="206"/>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2,683</w:t>
            </w:r>
          </w:p>
        </w:tc>
        <w:tc>
          <w:tcPr>
            <w:tcW w:w="1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3400" w:type="dxa"/>
            <w:vAlign w:val="bottom"/>
          </w:tcPr>
          <w:p>
            <w:pPr>
              <w:ind w:left="180"/>
              <w:spacing w:after="0"/>
              <w:rPr>
                <w:sz w:val="20"/>
                <w:szCs w:val="20"/>
                <w:color w:val="auto"/>
              </w:rPr>
            </w:pPr>
            <w:r>
              <w:rPr>
                <w:rFonts w:ascii="Arial" w:cs="Arial" w:eastAsia="Arial" w:hAnsi="Arial"/>
                <w:sz w:val="16"/>
                <w:szCs w:val="16"/>
                <w:color w:val="auto"/>
              </w:rPr>
              <w:t>Net of tax</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Amortization of Defined Benefit Plan Items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9"/>
        </w:trPr>
        <w:tc>
          <w:tcPr>
            <w:tcW w:w="400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Prior Service Credit </w:t>
            </w:r>
            <w:r>
              <w:rPr>
                <w:rFonts w:ascii="Arial" w:cs="Arial" w:eastAsia="Arial" w:hAnsi="Arial"/>
                <w:sz w:val="25"/>
                <w:szCs w:val="25"/>
                <w:color w:val="auto"/>
                <w:vertAlign w:val="superscript"/>
              </w:rPr>
              <w:t>2</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123</w:t>
            </w: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w:t>
            </w:r>
          </w:p>
        </w:tc>
        <w:tc>
          <w:tcPr>
            <w:tcW w:w="3400" w:type="dxa"/>
            <w:vAlign w:val="bottom"/>
            <w:shd w:val="clear" w:color="auto" w:fill="CFF0FC"/>
          </w:tcPr>
          <w:p>
            <w:pPr>
              <w:spacing w:after="0"/>
              <w:rPr>
                <w:sz w:val="19"/>
                <w:szCs w:val="19"/>
                <w:color w:val="auto"/>
              </w:rPr>
            </w:pPr>
          </w:p>
        </w:tc>
      </w:tr>
      <w:tr>
        <w:trPr>
          <w:trHeight w:val="216"/>
        </w:trPr>
        <w:tc>
          <w:tcPr>
            <w:tcW w:w="4000" w:type="dxa"/>
            <w:vAlign w:val="bottom"/>
            <w:tcBorders>
              <w:bottom w:val="single" w:sz="8" w:color="CFF0FC"/>
            </w:tcBorders>
          </w:tcPr>
          <w:p>
            <w:pPr>
              <w:ind w:left="260"/>
              <w:spacing w:after="0" w:line="216" w:lineRule="exact"/>
              <w:rPr>
                <w:sz w:val="20"/>
                <w:szCs w:val="20"/>
                <w:color w:val="auto"/>
              </w:rPr>
            </w:pPr>
            <w:r>
              <w:rPr>
                <w:rFonts w:ascii="Arial" w:cs="Arial" w:eastAsia="Arial" w:hAnsi="Arial"/>
                <w:sz w:val="15"/>
                <w:szCs w:val="15"/>
                <w:color w:val="auto"/>
              </w:rPr>
              <w:t xml:space="preserve">Net Actuarial Losses </w:t>
            </w:r>
            <w:r>
              <w:rPr>
                <w:rFonts w:ascii="Arial" w:cs="Arial" w:eastAsia="Arial" w:hAnsi="Arial"/>
                <w:sz w:val="25"/>
                <w:szCs w:val="25"/>
                <w:color w:val="auto"/>
                <w:vertAlign w:val="superscript"/>
              </w:rPr>
              <w:t>2</w:t>
            </w: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(1,323)</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3400" w:type="dxa"/>
            <w:vAlign w:val="bottom"/>
            <w:tcBorders>
              <w:bottom w:val="single" w:sz="8" w:color="CFF0FC"/>
            </w:tcBorders>
          </w:tcPr>
          <w:p>
            <w:pPr>
              <w:spacing w:after="0"/>
              <w:rPr>
                <w:sz w:val="18"/>
                <w:szCs w:val="18"/>
                <w:color w:val="auto"/>
              </w:rPr>
            </w:pPr>
          </w:p>
        </w:tc>
      </w:tr>
      <w:tr>
        <w:trPr>
          <w:trHeight w:val="210"/>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(1,200)</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Before Tax</w:t>
            </w:r>
          </w:p>
        </w:tc>
      </w:tr>
      <w:tr>
        <w:trPr>
          <w:trHeight w:val="213"/>
        </w:trPr>
        <w:tc>
          <w:tcPr>
            <w:tcW w:w="40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317</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09"/>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(883)</w:t>
            </w:r>
          </w:p>
        </w:tc>
        <w:tc>
          <w:tcPr>
            <w:tcW w:w="1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(748)</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3"/>
        </w:trPr>
        <w:tc>
          <w:tcPr>
            <w:tcW w:w="4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3"/>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Total Reclassifications for the Period</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1,428</w:t>
            </w:r>
          </w:p>
        </w:tc>
        <w:tc>
          <w:tcPr>
            <w:tcW w:w="11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Amounts in parentheses indicate reductions to net income.</w:t>
      </w:r>
    </w:p>
    <w:p>
      <w:pPr>
        <w:ind w:left="180" w:right="620" w:hanging="172"/>
        <w:spacing w:after="0" w:line="237" w:lineRule="auto"/>
        <w:tabs>
          <w:tab w:leader="none" w:pos="1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These accumulated other comprehensive income (loss) components are included in the computation of net periodic benefit cost and are included in Other Noninterest Expense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Common Share</w:t>
      </w:r>
    </w:p>
    <w:p>
      <w:pPr>
        <w:spacing w:after="0" w:line="20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Earnings per common share is computed using the two-class method. The following is a reconciliation of the weighted average number of common shares used in the calculation of basic and diluted earnings per common share and antidilutive stock options and restricted stock outstanding for the three and six months ended June 30, 2021, and June 30,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 except shares and per share amounts)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548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Numerator:</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Net Income Available to Common Shareholders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67,533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38,908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127,482</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73,650</w:t>
            </w:r>
          </w:p>
        </w:tc>
      </w:tr>
      <w:tr>
        <w:trPr>
          <w:trHeight w:val="219"/>
        </w:trPr>
        <w:tc>
          <w:tcPr>
            <w:tcW w:w="548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4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46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r>
      <w:tr>
        <w:trPr>
          <w:trHeight w:val="213"/>
        </w:trPr>
        <w:tc>
          <w:tcPr>
            <w:tcW w:w="5480" w:type="dxa"/>
            <w:vAlign w:val="bottom"/>
          </w:tcPr>
          <w:p>
            <w:pPr>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480" w:type="dxa"/>
            <w:vAlign w:val="bottom"/>
            <w:shd w:val="clear" w:color="auto" w:fill="CCECFF"/>
          </w:tcPr>
          <w:p>
            <w:pPr>
              <w:spacing w:after="0"/>
              <w:rPr>
                <w:sz w:val="20"/>
                <w:szCs w:val="20"/>
                <w:color w:val="auto"/>
              </w:rPr>
            </w:pPr>
            <w:r>
              <w:rPr>
                <w:rFonts w:ascii="Arial" w:cs="Arial" w:eastAsia="Arial" w:hAnsi="Arial"/>
                <w:sz w:val="16"/>
                <w:szCs w:val="16"/>
                <w:color w:val="auto"/>
              </w:rPr>
              <w:t>Weighted Average Common Shares Outstanding - Basic</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rPr>
              <w:t>39,902,583</w:t>
            </w:r>
          </w:p>
        </w:tc>
        <w:tc>
          <w:tcPr>
            <w:tcW w:w="460" w:type="dxa"/>
            <w:vAlign w:val="bottom"/>
            <w:shd w:val="clear" w:color="auto" w:fill="CCECFF"/>
          </w:tcPr>
          <w:p>
            <w:pPr>
              <w:spacing w:after="0"/>
              <w:rPr>
                <w:sz w:val="19"/>
                <w:szCs w:val="19"/>
                <w:color w:val="auto"/>
              </w:rPr>
            </w:pPr>
          </w:p>
        </w:tc>
        <w:tc>
          <w:tcPr>
            <w:tcW w:w="100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rPr>
              <w:t>39,703,735</w:t>
            </w:r>
          </w:p>
        </w:tc>
        <w:tc>
          <w:tcPr>
            <w:tcW w:w="1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rPr>
              <w:t>39,865,268</w:t>
            </w:r>
          </w:p>
        </w:tc>
        <w:tc>
          <w:tcPr>
            <w:tcW w:w="460" w:type="dxa"/>
            <w:vAlign w:val="bottom"/>
            <w:shd w:val="clear" w:color="auto" w:fill="CCECFF"/>
          </w:tcPr>
          <w:p>
            <w:pPr>
              <w:spacing w:after="0"/>
              <w:rPr>
                <w:sz w:val="19"/>
                <w:szCs w:val="19"/>
                <w:color w:val="auto"/>
              </w:rPr>
            </w:pPr>
          </w:p>
        </w:tc>
        <w:tc>
          <w:tcPr>
            <w:tcW w:w="1020" w:type="dxa"/>
            <w:vAlign w:val="bottom"/>
            <w:shd w:val="clear" w:color="auto" w:fill="CCECFF"/>
          </w:tcPr>
          <w:p>
            <w:pPr>
              <w:jc w:val="right"/>
              <w:ind w:right="59"/>
              <w:spacing w:after="0"/>
              <w:rPr>
                <w:sz w:val="20"/>
                <w:szCs w:val="20"/>
                <w:color w:val="auto"/>
              </w:rPr>
            </w:pPr>
            <w:r>
              <w:rPr>
                <w:rFonts w:ascii="Arial" w:cs="Arial" w:eastAsia="Arial" w:hAnsi="Arial"/>
                <w:sz w:val="16"/>
                <w:szCs w:val="16"/>
                <w:color w:val="auto"/>
              </w:rPr>
              <w:t>39,692,695</w:t>
            </w:r>
          </w:p>
        </w:tc>
      </w:tr>
      <w:tr>
        <w:trPr>
          <w:trHeight w:val="213"/>
        </w:trPr>
        <w:tc>
          <w:tcPr>
            <w:tcW w:w="5480" w:type="dxa"/>
            <w:vAlign w:val="bottom"/>
            <w:tcBorders>
              <w:bottom w:val="single" w:sz="8" w:color="CCECFF"/>
            </w:tcBorders>
          </w:tcPr>
          <w:p>
            <w:pPr>
              <w:spacing w:after="0"/>
              <w:rPr>
                <w:sz w:val="20"/>
                <w:szCs w:val="20"/>
                <w:color w:val="auto"/>
              </w:rPr>
            </w:pPr>
            <w:r>
              <w:rPr>
                <w:rFonts w:ascii="Arial" w:cs="Arial" w:eastAsia="Arial" w:hAnsi="Arial"/>
                <w:sz w:val="16"/>
                <w:szCs w:val="16"/>
                <w:color w:val="auto"/>
              </w:rPr>
              <w:t>Dilutive Effect of Equity Based Awards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220,322</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128,740</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231,259</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180,639</w:t>
            </w:r>
          </w:p>
        </w:tc>
      </w:tr>
      <w:tr>
        <w:trPr>
          <w:trHeight w:val="213"/>
        </w:trPr>
        <w:tc>
          <w:tcPr>
            <w:tcW w:w="5480" w:type="dxa"/>
            <w:vAlign w:val="bottom"/>
            <w:shd w:val="clear" w:color="auto" w:fill="CCECFF"/>
          </w:tcPr>
          <w:p>
            <w:pPr>
              <w:spacing w:after="0"/>
              <w:rPr>
                <w:sz w:val="20"/>
                <w:szCs w:val="20"/>
                <w:color w:val="auto"/>
              </w:rPr>
            </w:pPr>
            <w:r>
              <w:rPr>
                <w:rFonts w:ascii="Arial" w:cs="Arial" w:eastAsia="Arial" w:hAnsi="Arial"/>
                <w:sz w:val="16"/>
                <w:szCs w:val="16"/>
                <w:color w:val="auto"/>
              </w:rPr>
              <w:t>Weighted Average Common Shares Outstanding - Diluted</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rPr>
              <w:t>40,122,905</w:t>
            </w:r>
          </w:p>
        </w:tc>
        <w:tc>
          <w:tcPr>
            <w:tcW w:w="460" w:type="dxa"/>
            <w:vAlign w:val="bottom"/>
            <w:shd w:val="clear" w:color="auto" w:fill="CCECFF"/>
          </w:tcPr>
          <w:p>
            <w:pPr>
              <w:spacing w:after="0"/>
              <w:rPr>
                <w:sz w:val="18"/>
                <w:szCs w:val="18"/>
                <w:color w:val="auto"/>
              </w:rPr>
            </w:pPr>
          </w:p>
        </w:tc>
        <w:tc>
          <w:tcPr>
            <w:tcW w:w="100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rPr>
              <w:t>39,832,475</w:t>
            </w:r>
          </w:p>
        </w:tc>
        <w:tc>
          <w:tcPr>
            <w:tcW w:w="1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rPr>
              <w:t>40,096,527</w:t>
            </w:r>
          </w:p>
        </w:tc>
        <w:tc>
          <w:tcPr>
            <w:tcW w:w="460" w:type="dxa"/>
            <w:vAlign w:val="bottom"/>
            <w:shd w:val="clear" w:color="auto" w:fill="CCECFF"/>
          </w:tcPr>
          <w:p>
            <w:pPr>
              <w:spacing w:after="0"/>
              <w:rPr>
                <w:sz w:val="18"/>
                <w:szCs w:val="18"/>
                <w:color w:val="auto"/>
              </w:rPr>
            </w:pPr>
          </w:p>
        </w:tc>
        <w:tc>
          <w:tcPr>
            <w:tcW w:w="1020" w:type="dxa"/>
            <w:vAlign w:val="bottom"/>
            <w:shd w:val="clear" w:color="auto" w:fill="CCECFF"/>
          </w:tcPr>
          <w:p>
            <w:pPr>
              <w:jc w:val="right"/>
              <w:ind w:right="59"/>
              <w:spacing w:after="0"/>
              <w:rPr>
                <w:sz w:val="20"/>
                <w:szCs w:val="20"/>
                <w:color w:val="auto"/>
              </w:rPr>
            </w:pPr>
            <w:r>
              <w:rPr>
                <w:rFonts w:ascii="Arial" w:cs="Arial" w:eastAsia="Arial" w:hAnsi="Arial"/>
                <w:sz w:val="16"/>
                <w:szCs w:val="16"/>
                <w:color w:val="auto"/>
              </w:rPr>
              <w:t>39,873,334</w:t>
            </w:r>
          </w:p>
        </w:tc>
      </w:tr>
      <w:tr>
        <w:trPr>
          <w:trHeight w:val="216"/>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5480" w:type="dxa"/>
            <w:vAlign w:val="bottom"/>
            <w:tcBorders>
              <w:bottom w:val="single" w:sz="8" w:color="auto"/>
            </w:tcBorders>
            <w:shd w:val="clear" w:color="auto" w:fill="CCECFF"/>
          </w:tcPr>
          <w:p>
            <w:pPr>
              <w:spacing w:after="0"/>
              <w:rPr>
                <w:sz w:val="20"/>
                <w:szCs w:val="20"/>
                <w:color w:val="auto"/>
              </w:rPr>
            </w:pPr>
            <w:r>
              <w:rPr>
                <w:rFonts w:ascii="Arial" w:cs="Arial" w:eastAsia="Arial" w:hAnsi="Arial"/>
                <w:sz w:val="16"/>
                <w:szCs w:val="16"/>
                <w:b w:val="1"/>
                <w:bCs w:val="1"/>
                <w:color w:val="auto"/>
              </w:rPr>
              <w:t>Earnings Per Common Share:</w:t>
            </w:r>
          </w:p>
        </w:tc>
        <w:tc>
          <w:tcPr>
            <w:tcW w:w="28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spacing w:after="0"/>
              <w:rPr>
                <w:sz w:val="18"/>
                <w:szCs w:val="18"/>
                <w:color w:val="auto"/>
              </w:rPr>
            </w:pPr>
          </w:p>
        </w:tc>
      </w:tr>
      <w:tr>
        <w:trPr>
          <w:trHeight w:val="249"/>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0.98</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w:t>
            </w:r>
          </w:p>
        </w:tc>
      </w:tr>
      <w:tr>
        <w:trPr>
          <w:trHeight w:val="197"/>
        </w:trPr>
        <w:tc>
          <w:tcPr>
            <w:tcW w:w="5480" w:type="dxa"/>
            <w:vAlign w:val="bottom"/>
            <w:tcBorders>
              <w:bottom w:val="single" w:sz="8" w:color="auto"/>
            </w:tcBorders>
            <w:shd w:val="clear" w:color="auto" w:fill="CCECFF"/>
          </w:tcPr>
          <w:p>
            <w:pPr>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6"/>
                <w:szCs w:val="16"/>
                <w:color w:val="auto"/>
              </w:rPr>
              <w:t>1.68</w:t>
            </w:r>
          </w:p>
        </w:tc>
        <w:tc>
          <w:tcPr>
            <w:tcW w:w="460" w:type="dxa"/>
            <w:vAlign w:val="bottom"/>
            <w:tcBorders>
              <w:bottom w:val="single" w:sz="8" w:color="auto"/>
            </w:tcBorders>
            <w:shd w:val="clear" w:color="auto" w:fill="CCEC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6"/>
                <w:szCs w:val="16"/>
                <w:color w:val="auto"/>
              </w:rPr>
              <w:t>0.98</w:t>
            </w:r>
          </w:p>
        </w:tc>
        <w:tc>
          <w:tcPr>
            <w:tcW w:w="420" w:type="dxa"/>
            <w:vAlign w:val="bottom"/>
            <w:tcBorders>
              <w:bottom w:val="single" w:sz="8" w:color="auto"/>
            </w:tcBorders>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6"/>
                <w:szCs w:val="16"/>
                <w:color w:val="auto"/>
              </w:rPr>
              <w:t>3.18</w:t>
            </w:r>
          </w:p>
        </w:tc>
        <w:tc>
          <w:tcPr>
            <w:tcW w:w="460" w:type="dxa"/>
            <w:vAlign w:val="bottom"/>
            <w:tcBorders>
              <w:bottom w:val="single" w:sz="8" w:color="auto"/>
            </w:tcBorders>
            <w:shd w:val="clear" w:color="auto" w:fill="CCEC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CFF"/>
          </w:tcPr>
          <w:p>
            <w:pPr>
              <w:jc w:val="right"/>
              <w:ind w:right="59"/>
              <w:spacing w:after="0"/>
              <w:rPr>
                <w:sz w:val="20"/>
                <w:szCs w:val="20"/>
                <w:color w:val="auto"/>
              </w:rPr>
            </w:pPr>
            <w:r>
              <w:rPr>
                <w:rFonts w:ascii="Arial" w:cs="Arial" w:eastAsia="Arial" w:hAnsi="Arial"/>
                <w:sz w:val="16"/>
                <w:szCs w:val="16"/>
                <w:color w:val="auto"/>
              </w:rPr>
              <w:t>1.85</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9"/>
        </w:trPr>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480" w:type="dxa"/>
            <w:vAlign w:val="bottom"/>
            <w:tcBorders>
              <w:bottom w:val="single" w:sz="8" w:color="auto"/>
            </w:tcBorders>
            <w:shd w:val="clear" w:color="auto" w:fill="CCECFF"/>
          </w:tcPr>
          <w:p>
            <w:pPr>
              <w:spacing w:after="0"/>
              <w:rPr>
                <w:sz w:val="20"/>
                <w:szCs w:val="20"/>
                <w:color w:val="auto"/>
              </w:rPr>
            </w:pPr>
            <w:r>
              <w:rPr>
                <w:rFonts w:ascii="Arial" w:cs="Arial" w:eastAsia="Arial" w:hAnsi="Arial"/>
                <w:sz w:val="16"/>
                <w:szCs w:val="16"/>
                <w:color w:val="auto"/>
              </w:rPr>
              <w:t>Antidilutive Stock Options and Restricted Stock Outstanding</w:t>
            </w:r>
          </w:p>
        </w:tc>
        <w:tc>
          <w:tcPr>
            <w:tcW w:w="28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6"/>
                <w:szCs w:val="16"/>
                <w:color w:val="auto"/>
              </w:rPr>
              <w:t>45,909</w:t>
            </w:r>
          </w:p>
        </w:tc>
        <w:tc>
          <w:tcPr>
            <w:tcW w:w="46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6"/>
                <w:szCs w:val="16"/>
                <w:color w:val="auto"/>
              </w:rPr>
              <w:t>113,906</w:t>
            </w:r>
          </w:p>
        </w:tc>
        <w:tc>
          <w:tcPr>
            <w:tcW w:w="140" w:type="dxa"/>
            <w:vAlign w:val="bottom"/>
            <w:tcBorders>
              <w:bottom w:val="single" w:sz="8" w:color="auto"/>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6"/>
                <w:szCs w:val="16"/>
                <w:color w:val="auto"/>
              </w:rPr>
              <w:t>95,389</w:t>
            </w:r>
          </w:p>
        </w:tc>
        <w:tc>
          <w:tcPr>
            <w:tcW w:w="460" w:type="dxa"/>
            <w:vAlign w:val="bottom"/>
            <w:tcBorders>
              <w:bottom w:val="single" w:sz="8" w:color="auto"/>
            </w:tcBorders>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jc w:val="right"/>
              <w:ind w:right="59"/>
              <w:spacing w:after="0"/>
              <w:rPr>
                <w:sz w:val="20"/>
                <w:szCs w:val="20"/>
                <w:color w:val="auto"/>
              </w:rPr>
            </w:pPr>
            <w:r>
              <w:rPr>
                <w:rFonts w:ascii="Arial" w:cs="Arial" w:eastAsia="Arial" w:hAnsi="Arial"/>
                <w:sz w:val="16"/>
                <w:szCs w:val="16"/>
                <w:color w:val="auto"/>
              </w:rPr>
              <w:t>111,507</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business segments are defined as Consumer Banking, Commercial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3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6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provision for credit losses for the Consumer Banking and Commercial Banking business segments reflects the actual net charge-offs of those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3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198"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Consumer Banking offers a broad range of financial products and services, including loan, deposit and insurance products; private banking and international client banking services; trust services; investment management; and institutional investment advisory services. Consumer Banking also provides a full service brokerage offering equities, mutual funds, life insurance, and annuity products. Loan and lease products include residential mortgage loans, home equity lines of credit, automobile loans and leases, personal lines of credit, installment loans, small business loans and leases, and credit cards. Deposit products include checking, savings, and time deposit accounts.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Also within Consumer Banking, institutional client services offer investment advice to corporations, government entities, and foundations. Products and services from Consumer Banking are delivered to customers through 54 branch locations and 312 ATMs throughout Hawaii and the Pacific Islands, e-Bankoh (on-line banking service), a 24-hour customer service center, and a mobile banking service.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Selected business segment financial information as of and for the three and six months ended June 30, 2021, and June 30, 2020,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28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Treasury</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Consolidated</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June 30, 2021</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Net Interest Income</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71,167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49,038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123,514</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987</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197</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(17,284)</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(16,100)</w:t>
            </w:r>
          </w:p>
        </w:tc>
      </w:tr>
      <w:tr>
        <w:trPr>
          <w:trHeight w:val="209"/>
        </w:trPr>
        <w:tc>
          <w:tcPr>
            <w:tcW w:w="490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70,180</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48,841</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20,593</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139,614</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32,600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6,575</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5,256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44,431</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(72,868)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(15,742)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(96,527)</w:t>
            </w:r>
          </w:p>
        </w:tc>
      </w:tr>
      <w:tr>
        <w:trPr>
          <w:trHeight w:val="212"/>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29,912</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39,674</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17,932</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87,518</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(9,703)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(19,985)</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22,547</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29,971</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15,015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67,533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Assets as of June 30, 2021</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7,479,986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5,127,431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10,064,766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22,672,183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4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Arial" w:cs="Arial" w:eastAsia="Arial" w:hAnsi="Arial"/>
                <w:sz w:val="15"/>
                <w:szCs w:val="15"/>
                <w:b w:val="1"/>
                <w:bCs w:val="1"/>
                <w:color w:val="auto"/>
              </w:rPr>
              <w:t xml:space="preserve">Three Months Ended June 30, 2020 </w:t>
            </w:r>
            <w:r>
              <w:rPr>
                <w:rFonts w:ascii="Arial" w:cs="Arial" w:eastAsia="Arial" w:hAnsi="Arial"/>
                <w:sz w:val="25"/>
                <w:szCs w:val="25"/>
                <w:b w:val="1"/>
                <w:bCs w:val="1"/>
                <w:color w:val="auto"/>
                <w:vertAlign w:val="superscript"/>
              </w:rPr>
              <w:t>1</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Net Interest Income</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73,221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51,219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2,251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126,691</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6,137</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(1,025)</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35,288</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40,400</w:t>
            </w:r>
          </w:p>
        </w:tc>
      </w:tr>
      <w:tr>
        <w:trPr>
          <w:trHeight w:val="209"/>
        </w:trPr>
        <w:tc>
          <w:tcPr>
            <w:tcW w:w="4900" w:type="dxa"/>
            <w:vAlign w:val="bottom"/>
          </w:tcPr>
          <w:p>
            <w:pPr>
              <w:spacing w:after="0"/>
              <w:rPr>
                <w:sz w:val="20"/>
                <w:szCs w:val="20"/>
                <w:color w:val="auto"/>
              </w:rPr>
            </w:pPr>
            <w:r>
              <w:rPr>
                <w:rFonts w:ascii="Arial" w:cs="Arial" w:eastAsia="Arial" w:hAnsi="Arial"/>
                <w:sz w:val="16"/>
                <w:szCs w:val="16"/>
                <w:color w:val="auto"/>
              </w:rPr>
              <w:t>Net Interest Income (Loss) After Provision for Credit Losses</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67,084</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52,244</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(33,037)</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86,291</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28,943</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7,076</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15,249</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51,268</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(70,590)</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(14,776)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(88,892)</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Provision for Income Taxes</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25,437</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44,544</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48,667</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(10,940)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7,673</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(9,759)</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 (Loss)</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18,945</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33,604</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(13,641)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38,908</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4900" w:type="dxa"/>
            <w:vAlign w:val="bottom"/>
            <w:tcBorders>
              <w:bottom w:val="single" w:sz="8" w:color="auto"/>
            </w:tcBorders>
          </w:tcPr>
          <w:p>
            <w:pPr>
              <w:spacing w:after="0" w:line="199" w:lineRule="exact"/>
              <w:rPr>
                <w:sz w:val="20"/>
                <w:szCs w:val="20"/>
                <w:color w:val="auto"/>
              </w:rPr>
            </w:pPr>
            <w:r>
              <w:rPr>
                <w:rFonts w:ascii="Arial" w:cs="Arial" w:eastAsia="Arial" w:hAnsi="Arial"/>
                <w:sz w:val="14"/>
                <w:szCs w:val="14"/>
                <w:b w:val="1"/>
                <w:bCs w:val="1"/>
                <w:color w:val="auto"/>
              </w:rPr>
              <w:t xml:space="preserve">Total Assets as of June 30, 2020 </w:t>
            </w:r>
            <w:r>
              <w:rPr>
                <w:rFonts w:ascii="Arial" w:cs="Arial" w:eastAsia="Arial" w:hAnsi="Arial"/>
                <w:sz w:val="23"/>
                <w:szCs w:val="23"/>
                <w:b w:val="1"/>
                <w:bCs w:val="1"/>
                <w:color w:val="auto"/>
                <w:vertAlign w:val="superscript"/>
              </w:rPr>
              <w:t>1</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7,416,090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5,033,169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7,320,683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19,769,942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Six Months Ended June 30, 2021</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Net Interest Income</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140,929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96,181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6,973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244,083</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3,853</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247</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(34,500)</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(30,400)</w:t>
            </w:r>
          </w:p>
        </w:tc>
      </w:tr>
      <w:tr>
        <w:trPr>
          <w:trHeight w:val="209"/>
        </w:trPr>
        <w:tc>
          <w:tcPr>
            <w:tcW w:w="490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137,076</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95,934</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41,473</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274,483</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66,298</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14,433</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6,670</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87,401</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(151,049)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(31,419)</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(12,924)</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(195,392)</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52,325</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78,948</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35,219</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166,492</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(19,261)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(39,010)</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39,486</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59,687</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28,309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127,482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Assets as of June 30, 2021</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7,479,986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5,127,431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10,064,766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22,672,183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4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Arial" w:cs="Arial" w:eastAsia="Arial" w:hAnsi="Arial"/>
                <w:sz w:val="15"/>
                <w:szCs w:val="15"/>
                <w:b w:val="1"/>
                <w:bCs w:val="1"/>
                <w:color w:val="auto"/>
              </w:rPr>
              <w:t xml:space="preserve">Six Months Ended June 30, 2020 </w:t>
            </w:r>
            <w:r>
              <w:rPr>
                <w:rFonts w:ascii="Arial" w:cs="Arial" w:eastAsia="Arial" w:hAnsi="Arial"/>
                <w:sz w:val="25"/>
                <w:szCs w:val="25"/>
                <w:b w:val="1"/>
                <w:bCs w:val="1"/>
                <w:color w:val="auto"/>
                <w:vertAlign w:val="superscript"/>
              </w:rPr>
              <w:t>1</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Net Interest Income</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147,135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96,456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9,066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252,657</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9,588</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(735)</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65,147</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74,000</w:t>
            </w:r>
          </w:p>
        </w:tc>
      </w:tr>
      <w:tr>
        <w:trPr>
          <w:trHeight w:val="210"/>
        </w:trPr>
        <w:tc>
          <w:tcPr>
            <w:tcW w:w="4900" w:type="dxa"/>
            <w:vAlign w:val="bottom"/>
          </w:tcPr>
          <w:p>
            <w:pPr>
              <w:spacing w:after="0"/>
              <w:rPr>
                <w:sz w:val="20"/>
                <w:szCs w:val="20"/>
                <w:color w:val="auto"/>
              </w:rPr>
            </w:pPr>
            <w:r>
              <w:rPr>
                <w:rFonts w:ascii="Arial" w:cs="Arial" w:eastAsia="Arial" w:hAnsi="Arial"/>
                <w:sz w:val="16"/>
                <w:szCs w:val="16"/>
                <w:color w:val="auto"/>
              </w:rPr>
              <w:t>Net Interest Income (Loss) After Provision for Credit Losses</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137,547</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97,191</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(56,081)</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178,657</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61,533</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18,811</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17,073</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97,417</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(141,336)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(32,122)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(185,204)</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Provision for Income Taxes</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57,744</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83,880</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(50,754)</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90,870</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(14,608)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(20,494)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17,882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(17,220)</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 (Loss)</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43,136</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63,386</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(32,872)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73,650</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4900" w:type="dxa"/>
            <w:vAlign w:val="bottom"/>
            <w:tcBorders>
              <w:bottom w:val="single" w:sz="8" w:color="auto"/>
            </w:tcBorders>
          </w:tcPr>
          <w:p>
            <w:pPr>
              <w:spacing w:after="0" w:line="199" w:lineRule="exact"/>
              <w:rPr>
                <w:sz w:val="20"/>
                <w:szCs w:val="20"/>
                <w:color w:val="auto"/>
              </w:rPr>
            </w:pPr>
            <w:r>
              <w:rPr>
                <w:rFonts w:ascii="Arial" w:cs="Arial" w:eastAsia="Arial" w:hAnsi="Arial"/>
                <w:sz w:val="14"/>
                <w:szCs w:val="14"/>
                <w:b w:val="1"/>
                <w:bCs w:val="1"/>
                <w:color w:val="auto"/>
              </w:rPr>
              <w:t xml:space="preserve">Total Assets as of June 30, 2020 </w:t>
            </w:r>
            <w:r>
              <w:rPr>
                <w:rFonts w:ascii="Arial" w:cs="Arial" w:eastAsia="Arial" w:hAnsi="Arial"/>
                <w:sz w:val="23"/>
                <w:szCs w:val="23"/>
                <w:b w:val="1"/>
                <w:bCs w:val="1"/>
                <w:color w:val="auto"/>
                <w:vertAlign w:val="superscript"/>
              </w:rPr>
              <w:t>1</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7,416,090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5,033,169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7,320,683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19,769,942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Certain prior period information has been reclassified to conform to current presentation.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June 30, 2021, and December 31, 2020,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 2021</w:t>
            </w: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Notional</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Notional</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64,016</w:t>
            </w:r>
          </w:p>
        </w:tc>
        <w:tc>
          <w:tcPr>
            <w:tcW w:w="5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2,207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102,881</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4,947</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Forward Commitments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97,020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158,759</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rPr>
              <w:t>Receive Fixed/Pay Variable Swaps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1,369,798</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45,844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1,362,778</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90,130</w:t>
            </w:r>
          </w:p>
        </w:tc>
      </w:tr>
      <w:tr>
        <w:trPr>
          <w:trHeight w:val="21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 Fixed/Receive Variable Swaps</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1,369,798</w:t>
            </w: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1,362,778</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(17,197)</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96,138</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90,587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866</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Conversion Rate Swap Agreement</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142,481</w:t>
            </w:r>
          </w:p>
        </w:tc>
        <w:tc>
          <w:tcPr>
            <w:tcW w:w="5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133,286</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June 30,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20"/>
                <w:szCs w:val="20"/>
                <w:color w:val="auto"/>
              </w:rPr>
            </w:pPr>
            <w:r>
              <w:rPr>
                <w:rFonts w:ascii="Arial" w:cs="Arial" w:eastAsia="Arial" w:hAnsi="Arial"/>
                <w:sz w:val="16"/>
                <w:szCs w:val="16"/>
                <w:b w:val="1"/>
                <w:bCs w:val="1"/>
                <w:color w:val="auto"/>
              </w:rPr>
              <w:t>Derivative Financial Instruments</w:t>
            </w: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 2021</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December 31, 2020</w:t>
            </w:r>
          </w:p>
        </w:tc>
      </w:tr>
      <w:tr>
        <w:trPr>
          <w:trHeight w:val="215"/>
        </w:trPr>
        <w:tc>
          <w:tcPr>
            <w:tcW w:w="4480" w:type="dxa"/>
            <w:vAlign w:val="bottom"/>
          </w:tcPr>
          <w:p>
            <w:pPr>
              <w:ind w:left="260"/>
              <w:spacing w:after="0" w:line="216" w:lineRule="exact"/>
              <w:rPr>
                <w:sz w:val="20"/>
                <w:szCs w:val="20"/>
                <w:color w:val="auto"/>
              </w:rPr>
            </w:pPr>
            <w:r>
              <w:rPr>
                <w:rFonts w:ascii="Arial" w:cs="Arial" w:eastAsia="Arial" w:hAnsi="Arial"/>
                <w:sz w:val="15"/>
                <w:szCs w:val="15"/>
                <w:b w:val="1"/>
                <w:bCs w:val="1"/>
                <w:color w:val="auto"/>
              </w:rPr>
              <w:t xml:space="preserve">Not Designated as Hedging Instruments </w:t>
            </w:r>
            <w:r>
              <w:rPr>
                <w:rFonts w:ascii="Arial" w:cs="Arial" w:eastAsia="Arial" w:hAnsi="Arial"/>
                <w:sz w:val="24"/>
                <w:szCs w:val="24"/>
                <w:b w:val="1"/>
                <w:bCs w:val="1"/>
                <w:color w:val="auto"/>
                <w:vertAlign w:val="superscript"/>
              </w:rPr>
              <w:t>1</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Asset</w:t>
            </w: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Liability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Asset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Liability</w:t>
            </w:r>
          </w:p>
        </w:tc>
      </w:tr>
      <w:tr>
        <w:trPr>
          <w:trHeight w:val="213"/>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Derivatives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88"/>
              </w:rPr>
              <w:t>Derivatives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Derivatives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Derivatives</w:t>
            </w:r>
          </w:p>
        </w:tc>
      </w:tr>
      <w:tr>
        <w:trPr>
          <w:trHeight w:val="213"/>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2,207</w:t>
            </w:r>
          </w:p>
        </w:tc>
        <w:tc>
          <w:tcPr>
            <w:tcW w:w="4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4,947</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4480" w:type="dxa"/>
            <w:vAlign w:val="bottom"/>
          </w:tcPr>
          <w:p>
            <w:pPr>
              <w:spacing w:after="0"/>
              <w:rPr>
                <w:sz w:val="20"/>
                <w:szCs w:val="20"/>
                <w:color w:val="auto"/>
              </w:rPr>
            </w:pPr>
            <w:r>
              <w:rPr>
                <w:rFonts w:ascii="Arial" w:cs="Arial" w:eastAsia="Arial" w:hAnsi="Arial"/>
                <w:sz w:val="16"/>
                <w:szCs w:val="16"/>
                <w:color w:val="auto"/>
              </w:rPr>
              <w:t>Forward Commitments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740</w:t>
            </w:r>
          </w:p>
        </w:tc>
      </w:tr>
      <w:tr>
        <w:trPr>
          <w:trHeight w:val="21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52,779</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17,029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90,342</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17,409</w:t>
            </w:r>
          </w:p>
        </w:tc>
      </w:tr>
      <w:tr>
        <w:trPr>
          <w:trHeight w:val="213"/>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Contracts</w:t>
            </w:r>
          </w:p>
        </w:tc>
        <w:tc>
          <w:tcPr>
            <w:tcW w:w="1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475</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1,128</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r>
      <w:tr>
        <w:trPr>
          <w:trHeight w:val="210"/>
        </w:trPr>
        <w:tc>
          <w:tcPr>
            <w:tcW w:w="4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156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55,481</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18,430</w:t>
            </w: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96,167</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18,161</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2"/>
          <w:szCs w:val="12"/>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and six months ended June 30, 2021, and June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28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Location of</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6"/>
                <w:szCs w:val="16"/>
                <w:b w:val="1"/>
                <w:bCs w:val="1"/>
                <w:color w:val="auto"/>
              </w:rPr>
              <w:t>Derivative Financial Instruments</w:t>
            </w:r>
          </w:p>
        </w:tc>
        <w:tc>
          <w:tcPr>
            <w:tcW w:w="28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Net Gains (Losses)</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80" w:type="dxa"/>
            <w:vAlign w:val="bottom"/>
          </w:tcPr>
          <w:p>
            <w:pPr>
              <w:spacing w:after="0"/>
              <w:rPr>
                <w:sz w:val="18"/>
                <w:szCs w:val="18"/>
                <w:color w:val="auto"/>
              </w:rPr>
            </w:pPr>
          </w:p>
        </w:tc>
      </w:tr>
      <w:tr>
        <w:trPr>
          <w:trHeight w:val="216"/>
        </w:trPr>
        <w:tc>
          <w:tcPr>
            <w:tcW w:w="3800" w:type="dxa"/>
            <w:vAlign w:val="bottom"/>
          </w:tcPr>
          <w:p>
            <w:pPr>
              <w:ind w:left="260"/>
              <w:spacing w:after="0"/>
              <w:rPr>
                <w:sz w:val="20"/>
                <w:szCs w:val="20"/>
                <w:color w:val="auto"/>
              </w:rPr>
            </w:pPr>
            <w:r>
              <w:rPr>
                <w:rFonts w:ascii="Arial" w:cs="Arial" w:eastAsia="Arial" w:hAnsi="Arial"/>
                <w:sz w:val="16"/>
                <w:szCs w:val="16"/>
                <w:b w:val="1"/>
                <w:bCs w:val="1"/>
                <w:color w:val="auto"/>
              </w:rPr>
              <w:t>Not Designated as Hedging Instruments</w:t>
            </w:r>
          </w:p>
        </w:tc>
        <w:tc>
          <w:tcPr>
            <w:tcW w:w="28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Recognized in the</w:t>
            </w:r>
          </w:p>
        </w:tc>
        <w:tc>
          <w:tcPr>
            <w:tcW w:w="16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r>
      <w:tr>
        <w:trPr>
          <w:trHeight w:val="213"/>
        </w:trPr>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Statements of Income</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2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Mortgage Banking  $</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4,071</w:t>
            </w:r>
          </w:p>
        </w:tc>
        <w:tc>
          <w:tcPr>
            <w:tcW w:w="72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4,351</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4,844</w:t>
            </w:r>
          </w:p>
        </w:tc>
        <w:tc>
          <w:tcPr>
            <w:tcW w:w="6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10,654</w:t>
            </w: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Forward Commitments</w:t>
            </w:r>
          </w:p>
        </w:tc>
        <w:tc>
          <w:tcPr>
            <w:tcW w:w="2840" w:type="dxa"/>
            <w:vAlign w:val="bottom"/>
            <w:gridSpan w:val="2"/>
          </w:tcPr>
          <w:p>
            <w:pPr>
              <w:jc w:val="right"/>
              <w:ind w:right="360"/>
              <w:spacing w:after="0"/>
              <w:rPr>
                <w:sz w:val="20"/>
                <w:szCs w:val="20"/>
                <w:color w:val="auto"/>
              </w:rPr>
            </w:pPr>
            <w:r>
              <w:rPr>
                <w:rFonts w:ascii="Arial" w:cs="Arial" w:eastAsia="Arial" w:hAnsi="Arial"/>
                <w:sz w:val="16"/>
                <w:szCs w:val="16"/>
                <w:color w:val="auto"/>
              </w:rPr>
              <w:t>Mortgage Banking</w:t>
            </w:r>
          </w:p>
        </w:tc>
        <w:tc>
          <w:tcPr>
            <w:tcW w:w="900" w:type="dxa"/>
            <w:vAlign w:val="bottom"/>
          </w:tcPr>
          <w:p>
            <w:pPr>
              <w:jc w:val="right"/>
              <w:spacing w:after="0"/>
              <w:rPr>
                <w:sz w:val="20"/>
                <w:szCs w:val="20"/>
                <w:color w:val="auto"/>
              </w:rPr>
            </w:pPr>
            <w:r>
              <w:rPr>
                <w:rFonts w:ascii="Arial" w:cs="Arial" w:eastAsia="Arial" w:hAnsi="Arial"/>
                <w:sz w:val="16"/>
                <w:szCs w:val="16"/>
                <w:color w:val="auto"/>
              </w:rPr>
              <w:t>(1,576)</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1,651</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(3,058)</w:t>
            </w: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28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Other Noninterest Income</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1,097</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3,029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2,701</w:t>
            </w: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9,467</w:t>
            </w:r>
          </w:p>
        </w:tc>
      </w:tr>
      <w:tr>
        <w:trPr>
          <w:trHeight w:val="213"/>
        </w:trPr>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Contracts</w:t>
            </w:r>
          </w:p>
        </w:tc>
        <w:tc>
          <w:tcPr>
            <w:tcW w:w="28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Other Noninterest Income</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448</w:t>
            </w: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719</w:t>
            </w: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936</w:t>
            </w:r>
          </w:p>
        </w:tc>
      </w:tr>
      <w:tr>
        <w:trPr>
          <w:trHeight w:val="210"/>
        </w:trPr>
        <w:tc>
          <w:tcPr>
            <w:tcW w:w="3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8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4,040</w:t>
            </w:r>
          </w:p>
        </w:tc>
        <w:tc>
          <w:tcPr>
            <w:tcW w:w="72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6,729</w:t>
            </w:r>
          </w:p>
        </w:tc>
        <w:tc>
          <w:tcPr>
            <w:tcW w:w="40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9,915</w:t>
            </w:r>
          </w:p>
        </w:tc>
        <w:tc>
          <w:tcPr>
            <w:tcW w:w="6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17,999</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June 30, 2021, and December 31, 2020, the Company did not designate any derivative financial instruments as formal hedging relationships. The Company’s free-standing derivative financial instruments are required to be carried at their fair value on the Company’s consolidated statements of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enters into interest rate swap agreements to facilitate the risk management strategies of a small number of commercial banking customers. The Company mitigates the risk of entering into these agreements by entering into equal and offsetting swap agreements with third-party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$10.1 million and $17.2 million as of June 30, 2021, and December 31, 2020, respectively.</w:t>
      </w:r>
    </w:p>
    <w:p>
      <w:pPr>
        <w:spacing w:after="0" w:line="12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Parties to over-the-counter derivatives which are centrally cleared through a clearinghouse exchange daily payments that reflect the daily change in value of the derivatives. Effective 2017, these payments, commonly referred to as variation margin, are recorded as settlements of the derivatives’ mark-to-market exposure rather than collateral against the exposures. This rule change effectively results in all centrally cleared derivatives having a fair value that approximates zero on a daily basis. Substantially all of our swap agreements originated after the rule change are centrally cleared.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Rate Swap Agreements</w:t>
      </w:r>
    </w:p>
    <w:p>
      <w:pPr>
        <w:spacing w:after="0" w:line="19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As certain sales of Visa Class B restricted shares were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June 30, 2021, and December 31, 2020,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Contingencies, and Guarantees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June 30, 2021, and December 31, 2020,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Unfunded Commitments to Extend Credit</w:t>
            </w:r>
          </w:p>
        </w:tc>
        <w:tc>
          <w:tcPr>
            <w:tcW w:w="30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2,819,038</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2,787,123</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Standby Letters of Credit</w:t>
            </w:r>
          </w:p>
        </w:tc>
        <w:tc>
          <w:tcPr>
            <w:tcW w:w="30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99,100</w:t>
            </w:r>
          </w:p>
        </w:tc>
        <w:tc>
          <w:tcPr>
            <w:tcW w:w="4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100,186</w:t>
            </w:r>
          </w:p>
        </w:tc>
      </w:tr>
      <w:tr>
        <w:trPr>
          <w:trHeight w:val="216"/>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Commercial Letters of Credit</w:t>
            </w:r>
          </w:p>
        </w:tc>
        <w:tc>
          <w:tcPr>
            <w:tcW w:w="30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14,953</w:t>
            </w:r>
          </w:p>
        </w:tc>
        <w:tc>
          <w:tcPr>
            <w:tcW w:w="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10,511</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Credit Commitments</w:t>
            </w:r>
          </w:p>
        </w:tc>
        <w:tc>
          <w:tcPr>
            <w:tcW w:w="3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2,933,091</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2,897,820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19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is subject to various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Assets and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ectPr>
          <w:pgSz w:w="11900" w:h="16838" w:orient="portrait"/>
          <w:cols w:equalWidth="0" w:num="1">
            <w:col w:w="11220"/>
          </w:cols>
          <w:pgMar w:left="320" w:top="130" w:right="359" w:bottom="1440" w:gutter="0" w:footer="0" w:header="0"/>
        </w:sectPr>
      </w:pPr>
    </w:p>
    <w:p>
      <w:pPr>
        <w:spacing w:after="0" w:line="22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49"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ectPr>
          <w:pgSz w:w="11900" w:h="16838" w:orient="portrait"/>
          <w:cols w:equalWidth="0" w:num="2">
            <w:col w:w="1120" w:space="440"/>
            <w:col w:w="9660"/>
          </w:cols>
          <w:pgMar w:left="320" w:top="130" w:right="359" w:bottom="1440" w:gutter="0" w:footer="0" w:header="0"/>
          <w:type w:val="continuous"/>
        </w:sectPr>
      </w:pPr>
    </w:p>
    <w:p>
      <w:pPr>
        <w:spacing w:after="0" w:line="68"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Level 3:</w:t>
            </w:r>
          </w:p>
        </w:tc>
        <w:tc>
          <w:tcPr>
            <w:tcW w:w="9080" w:type="dxa"/>
            <w:vAlign w:val="bottom"/>
          </w:tcPr>
          <w:p>
            <w:pPr>
              <w:ind w:left="220"/>
              <w:spacing w:after="0"/>
              <w:rPr>
                <w:sz w:val="20"/>
                <w:szCs w:val="20"/>
                <w:color w:val="auto"/>
              </w:rPr>
            </w:pPr>
            <w:r>
              <w:rPr>
                <w:rFonts w:ascii="Arial" w:cs="Arial" w:eastAsia="Arial" w:hAnsi="Arial"/>
                <w:sz w:val="18"/>
                <w:szCs w:val="18"/>
                <w:color w:val="auto"/>
                <w:w w:val="90"/>
              </w:rPr>
              <w:t>Inputs to the valuation methodology are unobservable and significant to the fair value measurement; inputs to the valuation</w:t>
            </w:r>
          </w:p>
        </w:tc>
      </w:tr>
      <w:tr>
        <w:trPr>
          <w:trHeight w:val="215"/>
        </w:trPr>
        <w:tc>
          <w:tcPr>
            <w:tcW w:w="800" w:type="dxa"/>
            <w:vAlign w:val="bottom"/>
          </w:tcPr>
          <w:p>
            <w:pPr>
              <w:spacing w:after="0"/>
              <w:rPr>
                <w:sz w:val="18"/>
                <w:szCs w:val="18"/>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w w:val="93"/>
              </w:rPr>
              <w:t>methodology that utilize model-based techniques for which significant assumptions are not observable in the market; or</w:t>
            </w:r>
          </w:p>
        </w:tc>
      </w:tr>
      <w:tr>
        <w:trPr>
          <w:trHeight w:val="216"/>
        </w:trPr>
        <w:tc>
          <w:tcPr>
            <w:tcW w:w="800" w:type="dxa"/>
            <w:vAlign w:val="bottom"/>
          </w:tcPr>
          <w:p>
            <w:pPr>
              <w:spacing w:after="0"/>
              <w:rPr>
                <w:sz w:val="18"/>
                <w:szCs w:val="18"/>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w w:val="93"/>
              </w:rPr>
              <w:t>inputs to the valuation methodology that require significant management judgment or estimation, some of which may be</w:t>
            </w:r>
          </w:p>
        </w:tc>
      </w:tr>
      <w:tr>
        <w:trPr>
          <w:trHeight w:val="230"/>
        </w:trPr>
        <w:tc>
          <w:tcPr>
            <w:tcW w:w="800" w:type="dxa"/>
            <w:vAlign w:val="bottom"/>
          </w:tcPr>
          <w:p>
            <w:pPr>
              <w:spacing w:after="0"/>
              <w:rPr>
                <w:sz w:val="20"/>
                <w:szCs w:val="20"/>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rPr>
              <w:t>internally developed.</w:t>
            </w:r>
          </w:p>
        </w:tc>
      </w:tr>
    </w:tbl>
    <w:p>
      <w:pPr>
        <w:spacing w:after="0" w:line="32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 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The valuation methodology for cleared interest rate swaps with financial institution counterparties (and the related customer interest rate swaps) is based on the Secured Overnight Financing Rate, while the valuation methodology for uncleared interest rate swaps is based on the Effective Federal Funds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June 30, 2021, and December 31, 2020, the conversion rate swap agreements were valued at zero as reductions to the conversion ratio were neither probable nor reasonably estimable by management. See Note 11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June 30, 2021, and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Quoted Prices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in Active</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Significant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Markets for</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Significant</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8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Identical Assets</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Unobservable</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5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or Liabilities</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Inputs</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Inputs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the U.S. Treasury and Government</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50,207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154,990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205,197</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24,499</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24,499</w:t>
            </w: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U.S. Government-Sponsored</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1,001</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1,001</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391,463</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391,463</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Mortgage-Backed Securities: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1,544,673</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1,544,673</w:t>
            </w:r>
          </w:p>
        </w:tc>
      </w:tr>
      <w:tr>
        <w:trPr>
          <w:trHeight w:val="213"/>
        </w:trPr>
        <w:tc>
          <w:tcPr>
            <w:tcW w:w="5220" w:type="dxa"/>
            <w:vAlign w:val="bottom"/>
          </w:tcPr>
          <w:p>
            <w:pPr>
              <w:ind w:left="50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2,154,535</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2,154,535</w:t>
            </w:r>
          </w:p>
        </w:tc>
      </w:tr>
      <w:tr>
        <w:trPr>
          <w:trHeight w:val="216"/>
        </w:trPr>
        <w:tc>
          <w:tcPr>
            <w:tcW w:w="5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201,573</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201,573</w:t>
            </w:r>
          </w:p>
        </w:tc>
      </w:tr>
      <w:tr>
        <w:trPr>
          <w:trHeight w:val="209"/>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3,900,781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3,900,781</w:t>
            </w:r>
          </w:p>
        </w:tc>
      </w:tr>
      <w:tr>
        <w:trPr>
          <w:trHeight w:val="209"/>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50,207</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4,472,734</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4,522,941</w:t>
            </w: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Loans Held for Sale</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47,490</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47,490</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875</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Other Assets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56,609</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56,609</w:t>
            </w:r>
          </w:p>
        </w:tc>
      </w:tr>
      <w:tr>
        <w:trPr>
          <w:trHeight w:val="219"/>
        </w:trPr>
        <w:tc>
          <w:tcPr>
            <w:tcW w:w="5220" w:type="dxa"/>
            <w:vAlign w:val="bottom"/>
            <w:tcBorders>
              <w:bottom w:val="single" w:sz="8" w:color="auto"/>
            </w:tcBorders>
            <w:shd w:val="clear" w:color="auto" w:fill="CFF0FC"/>
          </w:tcPr>
          <w:p>
            <w:pPr>
              <w:spacing w:after="0" w:line="218"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495</w:t>
            </w: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54,986</w:t>
            </w: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55,481</w:t>
            </w:r>
          </w:p>
        </w:tc>
      </w:tr>
      <w:tr>
        <w:trPr>
          <w:trHeight w:val="196"/>
        </w:trPr>
        <w:tc>
          <w:tcPr>
            <w:tcW w:w="5220" w:type="dxa"/>
            <w:vAlign w:val="bottom"/>
          </w:tcPr>
          <w:p>
            <w:pPr>
              <w:spacing w:after="0"/>
              <w:rPr>
                <w:sz w:val="20"/>
                <w:szCs w:val="20"/>
                <w:color w:val="auto"/>
              </w:rPr>
            </w:pPr>
            <w:r>
              <w:rPr>
                <w:rFonts w:ascii="Arial" w:cs="Arial" w:eastAsia="Arial" w:hAnsi="Arial"/>
                <w:sz w:val="16"/>
                <w:szCs w:val="16"/>
                <w:b w:val="1"/>
                <w:bCs w:val="1"/>
                <w:color w:val="auto"/>
              </w:rPr>
              <w:t>Total Assets Measured at Fair Value on a Recurring Basis as of</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3"/>
        </w:trPr>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June 30,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106,816</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4,520,719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55,861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4,683,396</w:t>
            </w: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17,029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18,430</w:t>
            </w:r>
          </w:p>
        </w:tc>
      </w:tr>
      <w:tr>
        <w:trPr>
          <w:trHeight w:val="196"/>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Recurring Basis as of June 30, 2021</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1,401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17,029</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18,430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the U.S. Treasury and</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2"/>
        </w:trPr>
        <w:tc>
          <w:tcPr>
            <w:tcW w:w="5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Government Agencies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921</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173,324</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174,245</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24,840</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24,840</w:t>
            </w:r>
          </w:p>
        </w:tc>
      </w:tr>
      <w:tr>
        <w:trPr>
          <w:trHeight w:val="20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U.S. Government-Sponsored</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2"/>
        </w:trPr>
        <w:tc>
          <w:tcPr>
            <w:tcW w:w="5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Enterprises</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1,062</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1,062</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224,605</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224,605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Mortgage-Backed Securities: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5220" w:type="dxa"/>
            <w:vAlign w:val="bottom"/>
          </w:tcPr>
          <w:p>
            <w:pPr>
              <w:ind w:left="50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1,594,815</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1,594,815</w:t>
            </w:r>
          </w:p>
        </w:tc>
      </w:tr>
      <w:tr>
        <w:trPr>
          <w:trHeight w:val="219"/>
        </w:trPr>
        <w:tc>
          <w:tcPr>
            <w:tcW w:w="5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1,518,283</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1,518,283</w:t>
            </w:r>
          </w:p>
        </w:tc>
      </w:tr>
      <w:tr>
        <w:trPr>
          <w:trHeight w:val="213"/>
        </w:trPr>
        <w:tc>
          <w:tcPr>
            <w:tcW w:w="52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253,839</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253,839</w:t>
            </w:r>
          </w:p>
        </w:tc>
      </w:tr>
      <w:tr>
        <w:trPr>
          <w:trHeight w:val="209"/>
        </w:trPr>
        <w:tc>
          <w:tcPr>
            <w:tcW w:w="5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3,366,937</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3,366,937</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3,790,768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3,791,689</w:t>
            </w:r>
          </w:p>
        </w:tc>
      </w:tr>
      <w:tr>
        <w:trPr>
          <w:trHeight w:val="212"/>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Loans Held for Sale</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82,565</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82,565</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958</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958</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53,410</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53,410</w:t>
            </w: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95,289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96,167</w:t>
            </w:r>
          </w:p>
        </w:tc>
      </w:tr>
      <w:tr>
        <w:trPr>
          <w:trHeight w:val="196"/>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Assets Measured at Fair Value on a Recurring Basis as of</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December 31, 2020</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54,331</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3,874,211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96,247</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4,024,789</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5220" w:type="dxa"/>
            <w:vAlign w:val="bottom"/>
            <w:tcBorders>
              <w:bottom w:val="single" w:sz="8" w:color="auto"/>
            </w:tcBorders>
            <w:shd w:val="clear" w:color="auto" w:fill="CFF0FC"/>
          </w:tcPr>
          <w:p>
            <w:pPr>
              <w:spacing w:after="0" w:line="218"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17,409</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18,161</w:t>
            </w:r>
          </w:p>
        </w:tc>
      </w:tr>
      <w:tr>
        <w:trPr>
          <w:trHeight w:val="196"/>
        </w:trPr>
        <w:tc>
          <w:tcPr>
            <w:tcW w:w="5220" w:type="dxa"/>
            <w:vAlign w:val="bottom"/>
          </w:tcPr>
          <w:p>
            <w:pPr>
              <w:spacing w:after="0"/>
              <w:rPr>
                <w:sz w:val="20"/>
                <w:szCs w:val="20"/>
                <w:color w:val="auto"/>
              </w:rPr>
            </w:pPr>
            <w:r>
              <w:rPr>
                <w:rFonts w:ascii="Arial" w:cs="Arial" w:eastAsia="Arial" w:hAnsi="Arial"/>
                <w:sz w:val="16"/>
                <w:szCs w:val="16"/>
                <w:b w:val="1"/>
                <w:bCs w:val="1"/>
                <w:color w:val="auto"/>
              </w:rPr>
              <w:t>Total Liabilities Measured at Fair Value on a Recurring Basis as of</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December 31, 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17,409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18,161</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 xml:space="preserve">The fair value of each class of derivatives is shown in Note 11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240"/>
          </w:cols>
          <w:pgMar w:left="320" w:top="130"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three and six months ended June 30, 2021, and June 30, 2020, the changes in Level 3 assets and liabilities measured at fair value on a recurring basis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Mortgage</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Net Derivative</w:t>
            </w:r>
          </w:p>
        </w:tc>
      </w:tr>
      <w:tr>
        <w:trPr>
          <w:trHeight w:val="199"/>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Servicing</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Assets and</w:t>
            </w:r>
          </w:p>
        </w:tc>
      </w:tr>
      <w:tr>
        <w:trPr>
          <w:trHeight w:val="22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line="220" w:lineRule="exact"/>
              <w:rPr>
                <w:sz w:val="20"/>
                <w:szCs w:val="20"/>
                <w:color w:val="auto"/>
              </w:rPr>
            </w:pPr>
            <w:r>
              <w:rPr>
                <w:rFonts w:ascii="Arial" w:cs="Arial" w:eastAsia="Arial" w:hAnsi="Arial"/>
                <w:sz w:val="15"/>
                <w:szCs w:val="15"/>
                <w:b w:val="1"/>
                <w:bCs w:val="1"/>
                <w:color w:val="auto"/>
              </w:rPr>
              <w:t xml:space="preserve">Rights </w:t>
            </w:r>
            <w:r>
              <w:rPr>
                <w:rFonts w:ascii="Arial" w:cs="Arial" w:eastAsia="Arial" w:hAnsi="Arial"/>
                <w:sz w:val="25"/>
                <w:szCs w:val="25"/>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5"/>
                <w:szCs w:val="15"/>
                <w:b w:val="1"/>
                <w:bCs w:val="1"/>
                <w:color w:val="auto"/>
              </w:rPr>
              <w:t xml:space="preserve">Liabilities </w:t>
            </w:r>
            <w:r>
              <w:rPr>
                <w:rFonts w:ascii="Arial" w:cs="Arial" w:eastAsia="Arial" w:hAnsi="Arial"/>
                <w:sz w:val="25"/>
                <w:szCs w:val="25"/>
                <w:b w:val="1"/>
                <w:bCs w:val="1"/>
                <w:color w:val="auto"/>
                <w:vertAlign w:val="superscript"/>
              </w:rPr>
              <w:t>2</w:t>
            </w:r>
          </w:p>
        </w:tc>
      </w:tr>
      <w:tr>
        <w:trPr>
          <w:trHeight w:val="20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June 30, 2021</w:t>
            </w:r>
          </w:p>
        </w:tc>
        <w:tc>
          <w:tcPr>
            <w:tcW w:w="1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April 1, 2021</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919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15,482</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13"/>
        </w:trPr>
        <w:tc>
          <w:tcPr>
            <w:tcW w:w="6880" w:type="dxa"/>
            <w:vAlign w:val="bottom"/>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4,038</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(4,568)</w:t>
            </w:r>
          </w:p>
        </w:tc>
      </w:tr>
      <w:tr>
        <w:trPr>
          <w:trHeight w:val="213"/>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23,005</w:t>
            </w:r>
          </w:p>
        </w:tc>
      </w:tr>
      <w:tr>
        <w:trPr>
          <w:trHeight w:val="210"/>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2021</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875</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37,957</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3"/>
        </w:trPr>
        <w:tc>
          <w:tcPr>
            <w:tcW w:w="6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as of June 30, 2021</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37,957</w:t>
            </w:r>
          </w:p>
        </w:tc>
      </w:tr>
      <w:tr>
        <w:trPr>
          <w:trHeight w:val="199"/>
        </w:trPr>
        <w:tc>
          <w:tcPr>
            <w:tcW w:w="68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Three Months Ended June 30, 2020</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April 1, 2020</w:t>
            </w:r>
          </w:p>
        </w:tc>
        <w:tc>
          <w:tcPr>
            <w:tcW w:w="13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1,101</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80,680</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4,290</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(5,625)</w:t>
            </w:r>
          </w:p>
        </w:tc>
      </w:tr>
      <w:tr>
        <w:trPr>
          <w:trHeight w:val="216"/>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9,650</w:t>
            </w:r>
          </w:p>
        </w:tc>
      </w:tr>
      <w:tr>
        <w:trPr>
          <w:trHeight w:val="25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June 30, 2020</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1,068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88,995</w:t>
            </w:r>
          </w:p>
        </w:tc>
      </w:tr>
      <w:tr>
        <w:trPr>
          <w:trHeight w:val="185"/>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3"/>
        </w:trPr>
        <w:tc>
          <w:tcPr>
            <w:tcW w:w="68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as of June 30, 2020</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88,995</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0"/>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Six Months Ended June 30, 2021</w:t>
            </w:r>
          </w:p>
        </w:tc>
        <w:tc>
          <w:tcPr>
            <w:tcW w:w="1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January 1, 2021</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958</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77,880</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13"/>
        </w:trPr>
        <w:tc>
          <w:tcPr>
            <w:tcW w:w="6880" w:type="dxa"/>
            <w:vAlign w:val="bottom"/>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4,913</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(7,584)</w:t>
            </w:r>
          </w:p>
        </w:tc>
      </w:tr>
      <w:tr>
        <w:trPr>
          <w:trHeight w:val="213"/>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(37,252)</w:t>
            </w:r>
          </w:p>
        </w:tc>
      </w:tr>
      <w:tr>
        <w:trPr>
          <w:trHeight w:val="210"/>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2021</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875</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37,957</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3"/>
        </w:trPr>
        <w:tc>
          <w:tcPr>
            <w:tcW w:w="6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as of June 30, 2021</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37,957</w:t>
            </w:r>
          </w:p>
        </w:tc>
      </w:tr>
      <w:tr>
        <w:trPr>
          <w:trHeight w:val="200"/>
        </w:trPr>
        <w:tc>
          <w:tcPr>
            <w:tcW w:w="68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Six Months Ended June 30, 2020</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January 1, 2020</w:t>
            </w:r>
          </w:p>
        </w:tc>
        <w:tc>
          <w:tcPr>
            <w:tcW w:w="13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1,126</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22,573</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10,462</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(9,278)</w:t>
            </w:r>
          </w:p>
        </w:tc>
      </w:tr>
      <w:tr>
        <w:trPr>
          <w:trHeight w:val="216"/>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65,238</w:t>
            </w:r>
          </w:p>
        </w:tc>
      </w:tr>
      <w:tr>
        <w:trPr>
          <w:trHeight w:val="25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June 30, 2020</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1,068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88,995</w:t>
            </w:r>
          </w:p>
        </w:tc>
      </w:tr>
      <w:tr>
        <w:trPr>
          <w:trHeight w:val="185"/>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3"/>
        </w:trPr>
        <w:tc>
          <w:tcPr>
            <w:tcW w:w="68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as of June 30, 2020</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88,995</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1"/>
          <w:szCs w:val="11"/>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11" w:lineRule="exact"/>
        <w:rPr>
          <w:rFonts w:ascii="Arial" w:cs="Arial" w:eastAsia="Arial" w:hAnsi="Arial"/>
          <w:sz w:val="11"/>
          <w:szCs w:val="11"/>
          <w:color w:val="auto"/>
        </w:rPr>
      </w:pPr>
    </w:p>
    <w:p>
      <w:pPr>
        <w:ind w:left="180" w:right="140" w:hanging="175"/>
        <w:spacing w:after="0" w:line="232" w:lineRule="auto"/>
        <w:rPr>
          <w:rFonts w:ascii="Arial" w:cs="Arial" w:eastAsia="Arial" w:hAnsi="Arial"/>
          <w:sz w:val="11"/>
          <w:szCs w:val="11"/>
          <w:color w:val="auto"/>
        </w:rPr>
      </w:pPr>
      <w:r>
        <w:rPr>
          <w:rFonts w:ascii="Arial" w:cs="Arial" w:eastAsia="Arial" w:hAnsi="Arial"/>
          <w:sz w:val="12"/>
          <w:szCs w:val="12"/>
          <w:color w:val="auto"/>
        </w:rPr>
        <w:t xml:space="preserve">2 </w:t>
      </w:r>
      <w:r>
        <w:rPr>
          <w:rFonts w:ascii="Arial" w:cs="Arial" w:eastAsia="Arial" w:hAnsi="Arial"/>
          <w:sz w:val="14"/>
          <w:szCs w:val="14"/>
          <w:color w:val="auto"/>
        </w:rPr>
        <w:t>Realized and unrealized gains and losses related to interest rate lock commitments are reported as a component of mortgage banking income in the Company’s consolidated statements of</w:t>
      </w:r>
      <w:r>
        <w:rPr>
          <w:rFonts w:ascii="Arial" w:cs="Arial" w:eastAsia="Arial" w:hAnsi="Arial"/>
          <w:sz w:val="12"/>
          <w:szCs w:val="12"/>
          <w:color w:val="auto"/>
        </w:rPr>
        <w:t xml:space="preserve"> </w:t>
      </w:r>
      <w:r>
        <w:rPr>
          <w:rFonts w:ascii="Arial" w:cs="Arial" w:eastAsia="Arial" w:hAnsi="Arial"/>
          <w:sz w:val="14"/>
          <w:szCs w:val="14"/>
          <w:color w:val="auto"/>
        </w:rPr>
        <w:t>income. Realized and unrealized gains and losses related to interest rate swap agreements are reported as a component of other noninterest income in the Company’s consolidated statements of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June 30, 2021, and December 31, 2020, the significant unobservable inputs used in the fair value measurements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Valuation</w:t>
            </w: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Weighted</w:t>
            </w: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Fair</w:t>
            </w:r>
          </w:p>
        </w:tc>
      </w:tr>
      <w:tr>
        <w:trPr>
          <w:trHeight w:val="220"/>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Technique</w:t>
            </w:r>
          </w:p>
        </w:tc>
        <w:tc>
          <w:tcPr>
            <w:tcW w:w="16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Description</w:t>
            </w:r>
          </w:p>
        </w:tc>
        <w:tc>
          <w:tcPr>
            <w:tcW w:w="14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Range</w:t>
            </w: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line="220" w:lineRule="exact"/>
              <w:rPr>
                <w:sz w:val="20"/>
                <w:szCs w:val="20"/>
                <w:color w:val="auto"/>
              </w:rPr>
            </w:pPr>
            <w:r>
              <w:rPr>
                <w:rFonts w:ascii="Arial" w:cs="Arial" w:eastAsia="Arial" w:hAnsi="Arial"/>
                <w:sz w:val="15"/>
                <w:szCs w:val="15"/>
                <w:b w:val="1"/>
                <w:bCs w:val="1"/>
                <w:color w:val="auto"/>
              </w:rPr>
              <w:t>Average</w:t>
            </w:r>
            <w:r>
              <w:rPr>
                <w:rFonts w:ascii="Arial" w:cs="Arial" w:eastAsia="Arial" w:hAnsi="Arial"/>
                <w:sz w:val="25"/>
                <w:szCs w:val="25"/>
                <w:b w:val="1"/>
                <w:bCs w:val="1"/>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Value</w:t>
            </w:r>
          </w:p>
        </w:tc>
      </w:tr>
      <w:tr>
        <w:trPr>
          <w:trHeight w:val="207"/>
        </w:trPr>
        <w:tc>
          <w:tcPr>
            <w:tcW w:w="3000" w:type="dxa"/>
            <w:vAlign w:val="bottom"/>
          </w:tcPr>
          <w:p>
            <w:pPr>
              <w:spacing w:after="0"/>
              <w:rPr>
                <w:sz w:val="20"/>
                <w:szCs w:val="20"/>
                <w:color w:val="auto"/>
              </w:rPr>
            </w:pPr>
            <w:r>
              <w:rPr>
                <w:rFonts w:ascii="Arial" w:cs="Arial" w:eastAsia="Arial" w:hAnsi="Arial"/>
                <w:sz w:val="16"/>
                <w:szCs w:val="16"/>
                <w:b w:val="1"/>
                <w:bCs w:val="1"/>
                <w:color w:val="auto"/>
              </w:rPr>
              <w:t>June 30, 2021</w:t>
            </w:r>
          </w:p>
        </w:tc>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3000" w:type="dxa"/>
            <w:vAlign w:val="bottom"/>
            <w:shd w:val="clear" w:color="auto" w:fill="CFF0FC"/>
          </w:tcPr>
          <w:p>
            <w:pPr>
              <w:spacing w:after="0"/>
              <w:rPr>
                <w:sz w:val="18"/>
                <w:szCs w:val="18"/>
                <w:color w:val="auto"/>
              </w:rPr>
            </w:pP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Discounted Cash</w:t>
            </w:r>
          </w:p>
        </w:tc>
        <w:tc>
          <w:tcPr>
            <w:tcW w:w="1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Constant</w:t>
            </w: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Flow</w:t>
            </w:r>
          </w:p>
        </w:tc>
        <w:tc>
          <w:tcPr>
            <w:tcW w:w="1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Prepayment Rate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5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14.95%</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21,473</w:t>
            </w:r>
          </w:p>
        </w:tc>
      </w:tr>
      <w:tr>
        <w:trPr>
          <w:trHeight w:val="213"/>
        </w:trPr>
        <w:tc>
          <w:tcPr>
            <w:tcW w:w="3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980" w:type="dxa"/>
            <w:vAlign w:val="bottom"/>
          </w:tcPr>
          <w:p>
            <w:pPr>
              <w:jc w:val="right"/>
              <w:spacing w:after="0"/>
              <w:rPr>
                <w:sz w:val="20"/>
                <w:szCs w:val="20"/>
                <w:color w:val="auto"/>
              </w:rPr>
            </w:pPr>
            <w:r>
              <w:rPr>
                <w:rFonts w:ascii="Arial" w:cs="Arial" w:eastAsia="Arial" w:hAnsi="Arial"/>
                <w:sz w:val="16"/>
                <w:szCs w:val="16"/>
                <w:color w:val="auto"/>
              </w:rPr>
              <w:t>5.58%</w:t>
            </w:r>
          </w:p>
        </w:tc>
        <w:tc>
          <w:tcPr>
            <w:tcW w:w="500" w:type="dxa"/>
            <w:vAlign w:val="bottom"/>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6.77%</w:t>
            </w:r>
          </w:p>
        </w:tc>
        <w:tc>
          <w:tcPr>
            <w:tcW w:w="1060" w:type="dxa"/>
            <w:vAlign w:val="bottom"/>
          </w:tcPr>
          <w:p>
            <w:pPr>
              <w:jc w:val="right"/>
              <w:spacing w:after="0"/>
              <w:rPr>
                <w:sz w:val="20"/>
                <w:szCs w:val="20"/>
                <w:color w:val="auto"/>
              </w:rPr>
            </w:pPr>
            <w:r>
              <w:rPr>
                <w:rFonts w:ascii="Arial" w:cs="Arial" w:eastAsia="Arial" w:hAnsi="Arial"/>
                <w:sz w:val="16"/>
                <w:szCs w:val="16"/>
                <w:color w:val="auto"/>
              </w:rPr>
              <w:t>6.51%</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Net Derivative Assets and Liabilities:</w:t>
            </w:r>
          </w:p>
        </w:tc>
        <w:tc>
          <w:tcPr>
            <w:tcW w:w="18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Interest Rate Lock Commitments</w:t>
            </w:r>
          </w:p>
        </w:tc>
        <w:tc>
          <w:tcPr>
            <w:tcW w:w="1800" w:type="dxa"/>
            <w:vAlign w:val="bottom"/>
          </w:tcPr>
          <w:p>
            <w:pPr>
              <w:ind w:left="560"/>
              <w:spacing w:after="0"/>
              <w:rPr>
                <w:sz w:val="20"/>
                <w:szCs w:val="20"/>
                <w:color w:val="auto"/>
              </w:rPr>
            </w:pPr>
            <w:r>
              <w:rPr>
                <w:rFonts w:ascii="Arial" w:cs="Arial" w:eastAsia="Arial" w:hAnsi="Arial"/>
                <w:sz w:val="16"/>
                <w:szCs w:val="16"/>
                <w:color w:val="auto"/>
              </w:rPr>
              <w:t>Pricing Model</w:t>
            </w:r>
          </w:p>
        </w:tc>
        <w:tc>
          <w:tcPr>
            <w:tcW w:w="1680" w:type="dxa"/>
            <w:vAlign w:val="bottom"/>
          </w:tcPr>
          <w:p>
            <w:pPr>
              <w:ind w:left="60"/>
              <w:spacing w:after="0"/>
              <w:rPr>
                <w:sz w:val="20"/>
                <w:szCs w:val="20"/>
                <w:color w:val="auto"/>
              </w:rPr>
            </w:pPr>
            <w:r>
              <w:rPr>
                <w:rFonts w:ascii="Arial" w:cs="Arial" w:eastAsia="Arial" w:hAnsi="Arial"/>
                <w:sz w:val="16"/>
                <w:szCs w:val="16"/>
                <w:color w:val="auto"/>
              </w:rPr>
              <w:t>Closing Ratio</w:t>
            </w:r>
          </w:p>
        </w:tc>
        <w:tc>
          <w:tcPr>
            <w:tcW w:w="980" w:type="dxa"/>
            <w:vAlign w:val="bottom"/>
          </w:tcPr>
          <w:p>
            <w:pPr>
              <w:jc w:val="right"/>
              <w:spacing w:after="0"/>
              <w:rPr>
                <w:sz w:val="20"/>
                <w:szCs w:val="20"/>
                <w:color w:val="auto"/>
              </w:rPr>
            </w:pPr>
            <w:r>
              <w:rPr>
                <w:rFonts w:ascii="Arial" w:cs="Arial" w:eastAsia="Arial" w:hAnsi="Arial"/>
                <w:sz w:val="16"/>
                <w:szCs w:val="16"/>
                <w:color w:val="auto"/>
              </w:rPr>
              <w:t>82.10%</w:t>
            </w:r>
          </w:p>
        </w:tc>
        <w:tc>
          <w:tcPr>
            <w:tcW w:w="500" w:type="dxa"/>
            <w:vAlign w:val="bottom"/>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1060" w:type="dxa"/>
            <w:vAlign w:val="bottom"/>
          </w:tcPr>
          <w:p>
            <w:pPr>
              <w:jc w:val="right"/>
              <w:spacing w:after="0"/>
              <w:rPr>
                <w:sz w:val="20"/>
                <w:szCs w:val="20"/>
                <w:color w:val="auto"/>
              </w:rPr>
            </w:pPr>
            <w:r>
              <w:rPr>
                <w:rFonts w:ascii="Arial" w:cs="Arial" w:eastAsia="Arial" w:hAnsi="Arial"/>
                <w:sz w:val="16"/>
                <w:szCs w:val="16"/>
                <w:color w:val="auto"/>
              </w:rPr>
              <w:t>92.00%</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2,207</w:t>
            </w:r>
          </w:p>
        </w:tc>
      </w:tr>
      <w:tr>
        <w:trPr>
          <w:trHeight w:val="209"/>
        </w:trPr>
        <w:tc>
          <w:tcPr>
            <w:tcW w:w="3000" w:type="dxa"/>
            <w:vAlign w:val="bottom"/>
            <w:shd w:val="clear" w:color="auto" w:fill="CFF0FC"/>
          </w:tcPr>
          <w:p>
            <w:pPr>
              <w:spacing w:after="0"/>
              <w:rPr>
                <w:sz w:val="18"/>
                <w:szCs w:val="18"/>
                <w:color w:val="auto"/>
              </w:rPr>
            </w:pP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Discounted Cash</w:t>
            </w:r>
          </w:p>
        </w:tc>
        <w:tc>
          <w:tcPr>
            <w:tcW w:w="1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Rate Swap Agreements</w:t>
            </w: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Flow</w:t>
            </w:r>
          </w:p>
        </w:tc>
        <w:tc>
          <w:tcPr>
            <w:tcW w:w="1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Credit Factor</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5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0.49%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0.25%</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35,742</w:t>
            </w:r>
          </w:p>
        </w:tc>
      </w:tr>
      <w:tr>
        <w:trPr>
          <w:trHeight w:val="216"/>
        </w:trPr>
        <w:tc>
          <w:tcPr>
            <w:tcW w:w="3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18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06"/>
        </w:trPr>
        <w:tc>
          <w:tcPr>
            <w:tcW w:w="3000" w:type="dxa"/>
            <w:vAlign w:val="bottom"/>
          </w:tcPr>
          <w:p>
            <w:pPr>
              <w:spacing w:after="0"/>
              <w:rPr>
                <w:sz w:val="17"/>
                <w:szCs w:val="17"/>
                <w:color w:val="auto"/>
              </w:rPr>
            </w:pPr>
          </w:p>
        </w:tc>
        <w:tc>
          <w:tcPr>
            <w:tcW w:w="1800" w:type="dxa"/>
            <w:vAlign w:val="bottom"/>
          </w:tcPr>
          <w:p>
            <w:pPr>
              <w:ind w:left="560"/>
              <w:spacing w:after="0"/>
              <w:rPr>
                <w:sz w:val="20"/>
                <w:szCs w:val="20"/>
                <w:color w:val="auto"/>
              </w:rPr>
            </w:pPr>
            <w:r>
              <w:rPr>
                <w:rFonts w:ascii="Arial" w:cs="Arial" w:eastAsia="Arial" w:hAnsi="Arial"/>
                <w:sz w:val="16"/>
                <w:szCs w:val="16"/>
                <w:color w:val="auto"/>
              </w:rPr>
              <w:t>Discounted Cash</w:t>
            </w:r>
          </w:p>
        </w:tc>
        <w:tc>
          <w:tcPr>
            <w:tcW w:w="1680" w:type="dxa"/>
            <w:vAlign w:val="bottom"/>
          </w:tcPr>
          <w:p>
            <w:pPr>
              <w:ind w:left="60"/>
              <w:spacing w:after="0"/>
              <w:rPr>
                <w:sz w:val="20"/>
                <w:szCs w:val="20"/>
                <w:color w:val="auto"/>
              </w:rPr>
            </w:pPr>
            <w:r>
              <w:rPr>
                <w:rFonts w:ascii="Arial" w:cs="Arial" w:eastAsia="Arial" w:hAnsi="Arial"/>
                <w:sz w:val="16"/>
                <w:szCs w:val="16"/>
                <w:color w:val="auto"/>
              </w:rPr>
              <w:t>Constant</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3000" w:type="dxa"/>
            <w:vAlign w:val="bottom"/>
          </w:tcPr>
          <w:p>
            <w:pPr>
              <w:spacing w:after="0"/>
              <w:rPr>
                <w:sz w:val="20"/>
                <w:szCs w:val="20"/>
                <w:color w:val="auto"/>
              </w:rPr>
            </w:pPr>
            <w:r>
              <w:rPr>
                <w:rFonts w:ascii="Arial" w:cs="Arial" w:eastAsia="Arial" w:hAnsi="Arial"/>
                <w:sz w:val="16"/>
                <w:szCs w:val="16"/>
                <w:color w:val="auto"/>
              </w:rPr>
              <w:t>Mortgage Servicing Rights</w:t>
            </w:r>
          </w:p>
        </w:tc>
        <w:tc>
          <w:tcPr>
            <w:tcW w:w="1800" w:type="dxa"/>
            <w:vAlign w:val="bottom"/>
          </w:tcPr>
          <w:p>
            <w:pPr>
              <w:ind w:left="560"/>
              <w:spacing w:after="0"/>
              <w:rPr>
                <w:sz w:val="20"/>
                <w:szCs w:val="20"/>
                <w:color w:val="auto"/>
              </w:rPr>
            </w:pPr>
            <w:r>
              <w:rPr>
                <w:rFonts w:ascii="Arial" w:cs="Arial" w:eastAsia="Arial" w:hAnsi="Arial"/>
                <w:sz w:val="16"/>
                <w:szCs w:val="16"/>
                <w:color w:val="auto"/>
              </w:rPr>
              <w:t>Flow</w:t>
            </w:r>
          </w:p>
        </w:tc>
        <w:tc>
          <w:tcPr>
            <w:tcW w:w="1680" w:type="dxa"/>
            <w:vAlign w:val="bottom"/>
          </w:tcPr>
          <w:p>
            <w:pPr>
              <w:ind w:left="60"/>
              <w:spacing w:after="0"/>
              <w:rPr>
                <w:sz w:val="20"/>
                <w:szCs w:val="20"/>
                <w:color w:val="auto"/>
              </w:rPr>
            </w:pPr>
            <w:r>
              <w:rPr>
                <w:rFonts w:ascii="Arial" w:cs="Arial" w:eastAsia="Arial" w:hAnsi="Arial"/>
                <w:sz w:val="16"/>
                <w:szCs w:val="16"/>
                <w:color w:val="auto"/>
              </w:rPr>
              <w:t>Prepayment Rate</w:t>
            </w:r>
          </w:p>
        </w:tc>
        <w:tc>
          <w:tcPr>
            <w:tcW w:w="980" w:type="dxa"/>
            <w:vAlign w:val="bottom"/>
          </w:tcPr>
          <w:p>
            <w:pPr>
              <w:jc w:val="right"/>
              <w:spacing w:after="0"/>
              <w:rPr>
                <w:sz w:val="20"/>
                <w:szCs w:val="20"/>
                <w:color w:val="auto"/>
              </w:rPr>
            </w:pPr>
            <w:r>
              <w:rPr>
                <w:rFonts w:ascii="Arial" w:cs="Arial" w:eastAsia="Arial" w:hAnsi="Arial"/>
                <w:sz w:val="16"/>
                <w:szCs w:val="16"/>
                <w:color w:val="auto"/>
              </w:rPr>
              <w:t>8.71%</w:t>
            </w:r>
          </w:p>
        </w:tc>
        <w:tc>
          <w:tcPr>
            <w:tcW w:w="500" w:type="dxa"/>
            <w:vAlign w:val="bottom"/>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15.89%</w:t>
            </w:r>
          </w:p>
        </w:tc>
        <w:tc>
          <w:tcPr>
            <w:tcW w:w="1060" w:type="dxa"/>
            <w:vAlign w:val="bottom"/>
          </w:tcPr>
          <w:p>
            <w:pPr>
              <w:jc w:val="right"/>
              <w:spacing w:after="0"/>
              <w:rPr>
                <w:sz w:val="20"/>
                <w:szCs w:val="20"/>
                <w:color w:val="auto"/>
              </w:rPr>
            </w:pPr>
            <w:r>
              <w:rPr>
                <w:rFonts w:ascii="Arial" w:cs="Arial" w:eastAsia="Arial" w:hAnsi="Arial"/>
                <w:sz w:val="16"/>
                <w:szCs w:val="16"/>
                <w:color w:val="auto"/>
              </w:rPr>
              <w:t>14.42%</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19,652</w:t>
            </w:r>
          </w:p>
        </w:tc>
      </w:tr>
      <w:tr>
        <w:trPr>
          <w:trHeight w:val="219"/>
        </w:trPr>
        <w:tc>
          <w:tcPr>
            <w:tcW w:w="30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Discount Rate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5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6.28%</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color w:val="auto"/>
              </w:rPr>
              <w:t>Net Derivative Assets and Liabilities:</w:t>
            </w: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Rate Lock Commitments</w:t>
            </w: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Pricing Model</w:t>
            </w:r>
          </w:p>
        </w:tc>
        <w:tc>
          <w:tcPr>
            <w:tcW w:w="1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Closing Ratio</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84.10%</w:t>
            </w:r>
          </w:p>
        </w:tc>
        <w:tc>
          <w:tcPr>
            <w:tcW w:w="5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99.00%</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90.76%</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4,947</w:t>
            </w:r>
          </w:p>
        </w:tc>
      </w:tr>
      <w:tr>
        <w:trPr>
          <w:trHeight w:val="206"/>
        </w:trPr>
        <w:tc>
          <w:tcPr>
            <w:tcW w:w="3000" w:type="dxa"/>
            <w:vAlign w:val="bottom"/>
          </w:tcPr>
          <w:p>
            <w:pPr>
              <w:spacing w:after="0"/>
              <w:rPr>
                <w:sz w:val="17"/>
                <w:szCs w:val="17"/>
                <w:color w:val="auto"/>
              </w:rPr>
            </w:pPr>
          </w:p>
        </w:tc>
        <w:tc>
          <w:tcPr>
            <w:tcW w:w="1800" w:type="dxa"/>
            <w:vAlign w:val="bottom"/>
          </w:tcPr>
          <w:p>
            <w:pPr>
              <w:ind w:left="560"/>
              <w:spacing w:after="0"/>
              <w:rPr>
                <w:sz w:val="20"/>
                <w:szCs w:val="20"/>
                <w:color w:val="auto"/>
              </w:rPr>
            </w:pPr>
            <w:r>
              <w:rPr>
                <w:rFonts w:ascii="Arial" w:cs="Arial" w:eastAsia="Arial" w:hAnsi="Arial"/>
                <w:sz w:val="16"/>
                <w:szCs w:val="16"/>
                <w:color w:val="auto"/>
              </w:rPr>
              <w:t>Discounted Cash</w:t>
            </w: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Interest Rate Swap Agreements</w:t>
            </w:r>
          </w:p>
        </w:tc>
        <w:tc>
          <w:tcPr>
            <w:tcW w:w="1800" w:type="dxa"/>
            <w:vAlign w:val="bottom"/>
          </w:tcPr>
          <w:p>
            <w:pPr>
              <w:ind w:left="560"/>
              <w:spacing w:after="0"/>
              <w:rPr>
                <w:sz w:val="20"/>
                <w:szCs w:val="20"/>
                <w:color w:val="auto"/>
              </w:rPr>
            </w:pPr>
            <w:r>
              <w:rPr>
                <w:rFonts w:ascii="Arial" w:cs="Arial" w:eastAsia="Arial" w:hAnsi="Arial"/>
                <w:sz w:val="16"/>
                <w:szCs w:val="16"/>
                <w:color w:val="auto"/>
              </w:rPr>
              <w:t>Flow</w:t>
            </w:r>
          </w:p>
        </w:tc>
        <w:tc>
          <w:tcPr>
            <w:tcW w:w="1680" w:type="dxa"/>
            <w:vAlign w:val="bottom"/>
          </w:tcPr>
          <w:p>
            <w:pPr>
              <w:ind w:left="60"/>
              <w:spacing w:after="0"/>
              <w:rPr>
                <w:sz w:val="20"/>
                <w:szCs w:val="20"/>
                <w:color w:val="auto"/>
              </w:rPr>
            </w:pPr>
            <w:r>
              <w:rPr>
                <w:rFonts w:ascii="Arial" w:cs="Arial" w:eastAsia="Arial" w:hAnsi="Arial"/>
                <w:sz w:val="16"/>
                <w:szCs w:val="16"/>
                <w:color w:val="auto"/>
              </w:rPr>
              <w:t>Credit Factor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0.00%</w:t>
            </w:r>
          </w:p>
        </w:tc>
        <w:tc>
          <w:tcPr>
            <w:tcW w:w="500" w:type="dxa"/>
            <w:vAlign w:val="bottom"/>
          </w:tcPr>
          <w:p>
            <w:pPr>
              <w:jc w:val="right"/>
              <w:ind w:right="359"/>
              <w:spacing w:after="0"/>
              <w:rPr>
                <w:sz w:val="20"/>
                <w:szCs w:val="20"/>
                <w:color w:val="auto"/>
              </w:rPr>
            </w:pPr>
            <w:r>
              <w:rPr>
                <w:rFonts w:ascii="Arial" w:cs="Arial" w:eastAsia="Arial" w:hAnsi="Arial"/>
                <w:sz w:val="16"/>
                <w:szCs w:val="16"/>
                <w:color w:val="auto"/>
                <w:w w:val="74"/>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0.49%</w:t>
            </w:r>
          </w:p>
        </w:tc>
        <w:tc>
          <w:tcPr>
            <w:tcW w:w="1060" w:type="dxa"/>
            <w:vAlign w:val="bottom"/>
          </w:tcPr>
          <w:p>
            <w:pPr>
              <w:jc w:val="right"/>
              <w:spacing w:after="0"/>
              <w:rPr>
                <w:sz w:val="20"/>
                <w:szCs w:val="20"/>
                <w:color w:val="auto"/>
              </w:rPr>
            </w:pPr>
            <w:r>
              <w:rPr>
                <w:rFonts w:ascii="Arial" w:cs="Arial" w:eastAsia="Arial" w:hAnsi="Arial"/>
                <w:sz w:val="16"/>
                <w:szCs w:val="16"/>
                <w:color w:val="auto"/>
              </w:rPr>
              <w:t>0.29%</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72,933</w:t>
            </w:r>
          </w:p>
        </w:tc>
      </w:tr>
    </w:tbl>
    <w:p>
      <w:pPr>
        <w:spacing w:after="0" w:line="55" w:lineRule="exact"/>
        <w:rPr>
          <w:sz w:val="20"/>
          <w:szCs w:val="20"/>
          <w:color w:val="auto"/>
        </w:rPr>
      </w:pPr>
    </w:p>
    <w:p>
      <w:pPr>
        <w:ind w:left="180" w:hanging="172"/>
        <w:spacing w:after="0" w:line="253" w:lineRule="auto"/>
        <w:tabs>
          <w:tab w:leader="none" w:pos="1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Unobservable inputs for mortgage servicing rights and interest rate lock commitments were weighted by loan amount. Unobservable inputs for interest rate swap agreements were weighted by fair value.</w:t>
      </w:r>
    </w:p>
    <w:p>
      <w:pPr>
        <w:spacing w:after="0" w:line="15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8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 a nonrecurring basis as of June 30, 2021, and December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Net Carrying</w:t>
            </w:r>
          </w:p>
        </w:tc>
        <w:tc>
          <w:tcPr>
            <w:tcW w:w="4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Valuation</w:t>
            </w:r>
          </w:p>
        </w:tc>
      </w:tr>
      <w:tr>
        <w:trPr>
          <w:trHeight w:val="21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Hierarchy</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Allowance</w:t>
            </w: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5420" w:type="dxa"/>
            <w:vAlign w:val="bottom"/>
          </w:tcPr>
          <w:p>
            <w:pPr>
              <w:ind w:left="260"/>
              <w:spacing w:after="0"/>
              <w:rPr>
                <w:sz w:val="20"/>
                <w:szCs w:val="20"/>
                <w:color w:val="auto"/>
              </w:rPr>
            </w:pPr>
            <w:r>
              <w:rPr>
                <w:rFonts w:ascii="Arial" w:cs="Arial" w:eastAsia="Arial" w:hAnsi="Arial"/>
                <w:sz w:val="16"/>
                <w:szCs w:val="16"/>
                <w:color w:val="auto"/>
              </w:rPr>
              <w:t>Mortgage Servicing Rights - amortization method</w:t>
            </w:r>
          </w:p>
        </w:tc>
        <w:tc>
          <w:tcPr>
            <w:tcW w:w="2720" w:type="dxa"/>
            <w:vAlign w:val="bottom"/>
          </w:tcPr>
          <w:p>
            <w:pPr>
              <w:jc w:val="right"/>
              <w:spacing w:after="0"/>
              <w:rPr>
                <w:sz w:val="20"/>
                <w:szCs w:val="20"/>
                <w:color w:val="auto"/>
              </w:rPr>
            </w:pPr>
            <w:r>
              <w:rPr>
                <w:rFonts w:ascii="Arial" w:cs="Arial" w:eastAsia="Arial" w:hAnsi="Arial"/>
                <w:sz w:val="16"/>
                <w:szCs w:val="16"/>
                <w:color w:val="auto"/>
              </w:rPr>
              <w:t>Level 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20,598</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(2,769)</w:t>
            </w:r>
          </w:p>
        </w:tc>
      </w:tr>
      <w:tr>
        <w:trPr>
          <w:trHeight w:val="233"/>
        </w:trPr>
        <w:tc>
          <w:tcPr>
            <w:tcW w:w="542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 Servicing Rights - amortization method</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Level 3</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18,694</w:t>
            </w:r>
          </w:p>
        </w:tc>
        <w:tc>
          <w:tcPr>
            <w:tcW w:w="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r>
    </w:tbl>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9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June 30,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Unpaid</w:t>
            </w: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Less Aggregate</w:t>
            </w:r>
          </w:p>
        </w:tc>
      </w:tr>
      <w:tr>
        <w:trPr>
          <w:trHeight w:val="21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Principal</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Unpaid Principal</w:t>
            </w:r>
          </w:p>
        </w:tc>
      </w:tr>
      <w:tr>
        <w:trPr>
          <w:trHeight w:val="212"/>
        </w:trPr>
        <w:tc>
          <w:tcPr>
            <w:tcW w:w="4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2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4100" w:type="dxa"/>
            <w:vAlign w:val="bottom"/>
          </w:tcPr>
          <w:p>
            <w:pPr>
              <w:ind w:left="260"/>
              <w:spacing w:after="0"/>
              <w:rPr>
                <w:sz w:val="20"/>
                <w:szCs w:val="20"/>
                <w:color w:val="auto"/>
              </w:rPr>
            </w:pPr>
            <w:r>
              <w:rPr>
                <w:rFonts w:ascii="Arial" w:cs="Arial" w:eastAsia="Arial" w:hAnsi="Arial"/>
                <w:sz w:val="16"/>
                <w:szCs w:val="16"/>
                <w:color w:val="auto"/>
              </w:rPr>
              <w:t>Loans Held for Sale</w:t>
            </w:r>
          </w:p>
        </w:tc>
        <w:tc>
          <w:tcPr>
            <w:tcW w:w="2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47,490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45,974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1,516</w:t>
            </w:r>
          </w:p>
        </w:tc>
      </w:tr>
      <w:tr>
        <w:trPr>
          <w:trHeight w:val="219"/>
        </w:trPr>
        <w:tc>
          <w:tcPr>
            <w:tcW w:w="410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Loans Held for Sale</w:t>
            </w:r>
          </w:p>
        </w:tc>
        <w:tc>
          <w:tcPr>
            <w:tcW w:w="28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82,565</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78,577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3,988</w:t>
            </w: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six months ended June 30, 2021, and June 30, 2020, the net gains or losses from the change in fair value of the Company’s residential mortgage loans held for sale were not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June 30, 2021, and December 31, 2020.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940" w:type="dxa"/>
            <w:vAlign w:val="bottom"/>
            <w:tcBorders>
              <w:bottom w:val="single" w:sz="8" w:color="auto"/>
            </w:tcBorders>
          </w:tcPr>
          <w:p>
            <w:pPr>
              <w:spacing w:after="0"/>
              <w:rPr>
                <w:sz w:val="18"/>
                <w:szCs w:val="18"/>
                <w:color w:val="auto"/>
              </w:rPr>
            </w:pPr>
          </w:p>
        </w:tc>
      </w:tr>
      <w:tr>
        <w:trPr>
          <w:trHeight w:val="199"/>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Quoted Prices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in Active</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Significant</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Markets for</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Significant</w:t>
            </w: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w w:val="95"/>
              </w:rPr>
              <w:t>Identical Assets</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Observable</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Unobservable</w:t>
            </w:r>
          </w:p>
        </w:tc>
      </w:tr>
      <w:tr>
        <w:trPr>
          <w:trHeight w:val="210"/>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or Liabilities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Inputs</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Inputs</w:t>
            </w:r>
          </w:p>
        </w:tc>
      </w:tr>
      <w:tr>
        <w:trPr>
          <w:trHeight w:val="21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r>
      <w:tr>
        <w:trPr>
          <w:trHeight w:val="213"/>
        </w:trPr>
        <w:tc>
          <w:tcPr>
            <w:tcW w:w="4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6"/>
                <w:szCs w:val="16"/>
                <w:color w:val="auto"/>
              </w:rPr>
              <w:t>Financial Instruments - Assets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Held-to-Maturity</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3,947,613</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3,965,117</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132,215</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3,832,902</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Loans </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11,670,385</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w w:val="99"/>
              </w:rPr>
              <w:t>11,959,346</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11,959,346</w:t>
            </w: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Financial Instruments - Liabilities</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Time Deposits</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1,396,077</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1,398,076</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1,398,076</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550,490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583,775</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583,775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Financial Instruments - Assets</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Investment Securities Held-to-Maturity</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3,262,727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3,348,693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3,341,193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Loans </w:t>
            </w:r>
            <w:r>
              <w:rPr>
                <w:rFonts w:ascii="Arial" w:cs="Arial" w:eastAsia="Arial" w:hAnsi="Arial"/>
                <w:sz w:val="25"/>
                <w:szCs w:val="25"/>
                <w:color w:val="auto"/>
                <w:vertAlign w:val="superscript"/>
              </w:rPr>
              <w:t>1</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99"/>
              </w:rPr>
              <w:t>11,536,011</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99"/>
              </w:rPr>
              <w:t>12,019,151</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12,019,151</w:t>
            </w:r>
          </w:p>
        </w:tc>
      </w:tr>
      <w:tr>
        <w:trPr>
          <w:trHeight w:val="213"/>
        </w:trPr>
        <w:tc>
          <w:tcPr>
            <w:tcW w:w="4320" w:type="dxa"/>
            <w:vAlign w:val="bottom"/>
          </w:tcPr>
          <w:p>
            <w:pPr>
              <w:spacing w:after="0"/>
              <w:rPr>
                <w:sz w:val="20"/>
                <w:szCs w:val="20"/>
                <w:color w:val="auto"/>
              </w:rPr>
            </w:pPr>
            <w:r>
              <w:rPr>
                <w:rFonts w:ascii="Arial" w:cs="Arial" w:eastAsia="Arial" w:hAnsi="Arial"/>
                <w:sz w:val="16"/>
                <w:szCs w:val="16"/>
                <w:color w:val="auto"/>
              </w:rPr>
              <w:t>Financial Instruments - Liabilities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1,662,063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1,667,774</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1,667,774</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600,590</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649,039</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649,039</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Debt </w:t>
            </w:r>
            <w:r>
              <w:rPr>
                <w:rFonts w:ascii="Arial" w:cs="Arial" w:eastAsia="Arial" w:hAnsi="Arial"/>
                <w:sz w:val="25"/>
                <w:szCs w:val="25"/>
                <w:color w:val="auto"/>
                <w:vertAlign w:val="superscript"/>
              </w:rPr>
              <w:t>2</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50,000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51,546</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51,546</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48"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Carrying amount is net of unearned income and the Allowance.</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Excludes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7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8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the compounding effects of the COVID-19 pandemic, including reduced tourism in Hawaii, the duration and scope of government mandates or other limitations on travel and any lingering effects therefrom, volatility in the international and national economy and credit markets, worker absenteeism, quarantines or other travel or health-related restrictions, the length and severity of the COVID-19 pandemic, the pace of recovery following the COVID-19 pandemic, and the effect of government, business and individual actions intended to mitigate the effects of the COVID-19 pandemic; 3) changes in market interest rates that may affect credit markets and our ability to maintain our net interest margin; 4) changes in our credit quality or risk profile that may increase or decrease the required level of our reserve for credit losses; 5) the impact of legislative and regulatory initiatives, particularly the Dodd-Frank Wall Street Reform and Consumer Protection Act of 2010 (the “Dodd-Frank Act”) and Economic Growth, Regulatory Relief, and Consumer Protection Act of 2018; 6) changes to the amount and timing of proposed common stock repurchases; 7) unanticipated changes in the securities markets, public debt markets, and other capital markets in the U.S. and internationally, including, without limitation, the anticipated elimination of the London Interbank Offered Rate (“LIBOR”) as a benchmark interest rate;</w:t>
      </w:r>
    </w:p>
    <w:p>
      <w:pPr>
        <w:spacing w:after="0" w:line="11" w:lineRule="exact"/>
        <w:rPr>
          <w:sz w:val="20"/>
          <w:szCs w:val="20"/>
          <w:color w:val="auto"/>
        </w:rPr>
      </w:pPr>
    </w:p>
    <w:p>
      <w:pPr>
        <w:ind w:right="120" w:firstLine="8"/>
        <w:spacing w:after="0" w:line="281" w:lineRule="auto"/>
        <w:tabs>
          <w:tab w:leader="none" w:pos="1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fiscal and monetary policies of the markets in which we operate; 9) the increased cost of maintaining or the Company’s ability to maintain adequate liquidity and capital, based on the requirements adopted by the Basel Committee on Banking Supervision and U.S. regulators; 10) changes in accounting standards; 11) changes in tax laws or regulations, including Public Law 115-97, commonly known as the Tax Cuts and Jobs Act, or the interpretation of such laws and regulations; 12) any failure in or breach of our operational systems, information systems or infrastructure, or those of our merchants, third party vendors and other service providers; 13) any interruption or breach of security of our information systems resulting in failures or disruptions in customer account management, general ledger processing, and loan or deposit systems; 14) natural disasters, public unrest or adverse weather, public health, disease outbreaks, and other conditions impacting us and our customers’ operations or negatively impacting the tourism industry in Hawaii; 15) competitive pressures in the markets for financial services and products; 16) actual or alleged conduct which could harm our reputation; and</w:t>
      </w:r>
    </w:p>
    <w:p>
      <w:pPr>
        <w:spacing w:after="0" w:line="4" w:lineRule="exact"/>
        <w:rPr>
          <w:rFonts w:ascii="Arial" w:cs="Arial" w:eastAsia="Arial" w:hAnsi="Arial"/>
          <w:sz w:val="16"/>
          <w:szCs w:val="16"/>
          <w:color w:val="auto"/>
        </w:rPr>
      </w:pPr>
    </w:p>
    <w:p>
      <w:pPr>
        <w:ind w:firstLine="8"/>
        <w:spacing w:after="0" w:line="288" w:lineRule="auto"/>
        <w:tabs>
          <w:tab w:leader="none" w:pos="2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impact of litigation and regulatory investigations of the Company, including costs, expenses, settlements, and judgments.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2020,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Company’s Annual Report on Form 10-K for the year ended December 31, 2020.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presented in the section titled “Critical Accounting Policies” in Management’s Discussion and Analysis of Financial Condition and Results of Operations included in the Company’s Annual Report on Form 10-K for the year ended December 31, 2020. There have been no significant changes in the Company’s application of critical accounting policies since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4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COVID-19 pandemic has had and is continuing to have an impact on the Hawaii economy. The actions taken by the State of Hawaii beginning in March 2020 were imposed to mitigate the spread and lessen the public health impact of the COVID-19 virus in Hawaii. Prior to the COVID-19 pandemic, at risk industries of leisure and hospitality represented 19% of jobs and 10% of Hawaii’s GDP. Hawaii benefits from a wide range of industries that help to provide stability in the case of economic shocks. Federal government jobs, primarily military, have historically been a stabilizing part of Hawaii’s economy, supplying about 20% of GDP. Construction activity, including the Honolulu Rail Project, and other non-visitor-related activities have continued despite COVID-19. Hawaii’s large retiree population also contributes to a stable economic base. The U.S. government has enacted several stimulus programs to counteract the economic disruptions caused by the COVID-19 pandemic, including the Coronavirus Aid, Relief, and Economic Security (“CARES”) Act, Paycheck Protection Program (“PPP”), Consolidated Appropriations Act (“CAA”), and American Rescue Plan (“ARP”). Notwithstanding, the Hawaii economy will likely continue to face significant challenges.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taken and continue to take significant steps to help our customers who have been impacted by COVID-19. For our consumer customers, we initially provided payment relief for residential mortgage, home equity, auto loan, auto lease and direct personal loans for up to six months. We waived associated late fees, while not reporting these payment deferrals as late payments to the credit bureaus for all customers who were current prior to the event. For our commercial customers that continued to make interest payments, we provided six months of principal deferral, or alternatively, three months of interest or interest and principal deferral. As the COVID-19 pandemic persists in negatively impacting the economy, the Company continues to offer some loan modifications to borrowers struggling as a result of COVID-19.</w:t>
      </w:r>
    </w:p>
    <w:p>
      <w:pPr>
        <w:spacing w:after="0" w:line="152"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Bank continues to responsibly lend to qualified consumer and commercial customers. We participated in the SBA’s Small Business Paycheck Protection Program. As of June 30, 2021, the Bank had 4,685 PPP loans totaling $513.5 million net of deferred cost and fees.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19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Net income for the second quarter of 2021 was $67.5 million, an increase of $28.6 million or 74% compared to the same period in 2020. Diluted earnings per common share was $1.68 for the second quarter of 2021, an increase of $0.70 or 71% compared to the same period in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second quarter of 2021 were primarily due to the following:</w:t>
      </w:r>
    </w:p>
    <w:p>
      <w:pPr>
        <w:spacing w:after="0" w:line="185" w:lineRule="exact"/>
        <w:rPr>
          <w:sz w:val="20"/>
          <w:szCs w:val="20"/>
          <w:color w:val="auto"/>
        </w:rPr>
      </w:pPr>
    </w:p>
    <w:p>
      <w:pPr>
        <w:ind w:left="740" w:right="60" w:hanging="368"/>
        <w:spacing w:after="0" w:line="279"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recorded a $16.1 million negative provision for credit losses in the second quarter of 2021 compared to a $40.4 million provision recorded in the same period in 2020. This decrease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30" w:lineRule="exact"/>
        <w:rPr>
          <w:rFonts w:ascii="Arial" w:cs="Arial" w:eastAsia="Arial" w:hAnsi="Arial"/>
          <w:sz w:val="17"/>
          <w:szCs w:val="17"/>
          <w:color w:val="auto"/>
        </w:rPr>
      </w:pPr>
    </w:p>
    <w:p>
      <w:pPr>
        <w:ind w:left="740" w:right="6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exchange, and other service charges for the second quarter of 2021 were $13.8 million, an increase of $4.4 million or 47% compared to the same period in 2020. This increase was primarily due to higher ATM and debit card transaction volume.</w:t>
      </w:r>
    </w:p>
    <w:p>
      <w:pPr>
        <w:spacing w:after="0" w:line="129"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occupancy expenses for the second quarter of 2021 were $5.0 million, a decrease of $3.7 million or 42% compared to the same period in 2020. This decrease was primarily due to a $3.1 million gain on sale of real estate property on the island of Oahu during the second quarter of 2021.</w:t>
      </w:r>
    </w:p>
    <w:p>
      <w:pPr>
        <w:spacing w:after="0" w:line="14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Trust and asset management for the second quarter of 2021 were $11.7 million, an increase of $1.1 million or 11% primarily due to an increase in market value and trust fees.</w:t>
      </w:r>
    </w:p>
    <w:p>
      <w:pPr>
        <w:spacing w:after="0" w:line="129"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Service charges on deposit accounts for the second quarter of 2021 was $6.1 million, an increase of $1.0 million or 19% compared to the same period in 2020 primarily due to an increase in overdraft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net income over the second quarter of 2020 was partially offset by the following:</w:t>
      </w:r>
    </w:p>
    <w:p>
      <w:pPr>
        <w:spacing w:after="0" w:line="198"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Investment securities gains, net totaled $2.4 million for the second quarter of 2021 compared to $13.2 million during the same period in</w:t>
      </w:r>
    </w:p>
    <w:p>
      <w:pPr>
        <w:spacing w:after="0" w:line="34" w:lineRule="exact"/>
        <w:rPr>
          <w:rFonts w:ascii="Arial" w:cs="Arial" w:eastAsia="Arial" w:hAnsi="Arial"/>
          <w:sz w:val="17"/>
          <w:szCs w:val="17"/>
          <w:color w:val="auto"/>
        </w:rPr>
      </w:pPr>
    </w:p>
    <w:p>
      <w:pPr>
        <w:ind w:left="740" w:right="60"/>
        <w:spacing w:after="0" w:line="260" w:lineRule="auto"/>
        <w:rPr>
          <w:rFonts w:ascii="Arial" w:cs="Arial" w:eastAsia="Arial" w:hAnsi="Arial"/>
          <w:sz w:val="17"/>
          <w:szCs w:val="17"/>
          <w:color w:val="auto"/>
        </w:rPr>
      </w:pPr>
      <w:r>
        <w:rPr>
          <w:rFonts w:ascii="Arial" w:cs="Arial" w:eastAsia="Arial" w:hAnsi="Arial"/>
          <w:sz w:val="18"/>
          <w:szCs w:val="18"/>
          <w:color w:val="auto"/>
        </w:rPr>
        <w:t>2020. The net gains in the second quarter of 2021 were due to sales of mortgage-backed securities and corporate debt securities. The net gain in the second quarter of 2020 was primarily due to the sale of our remaining 80,214 Visa Class B shares.</w:t>
      </w:r>
    </w:p>
    <w:p>
      <w:pPr>
        <w:spacing w:after="0" w:line="144" w:lineRule="exact"/>
        <w:rPr>
          <w:rFonts w:ascii="Arial" w:cs="Arial" w:eastAsia="Arial" w:hAnsi="Arial"/>
          <w:sz w:val="17"/>
          <w:szCs w:val="17"/>
          <w:color w:val="auto"/>
        </w:rPr>
      </w:pPr>
    </w:p>
    <w:p>
      <w:pPr>
        <w:ind w:left="740" w:right="260" w:hanging="368"/>
        <w:spacing w:after="0" w:line="263"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 for income taxes for the second quarter of 2021 was $20.0 million, an increase of $10.2 million compared to the same period in 2020 primarily due to higher pretax income. The total tax adjustments were relatively the same in both periods. The effective tax rate for the second quarter of 2021 was 22.84%, up from 20.05% for the same period in 2020.</w:t>
      </w:r>
    </w:p>
    <w:p>
      <w:pPr>
        <w:spacing w:after="0" w:line="143" w:lineRule="exact"/>
        <w:rPr>
          <w:rFonts w:ascii="Arial" w:cs="Arial" w:eastAsia="Arial" w:hAnsi="Arial"/>
          <w:sz w:val="18"/>
          <w:szCs w:val="18"/>
          <w:color w:val="auto"/>
        </w:rPr>
      </w:pPr>
    </w:p>
    <w:p>
      <w:pPr>
        <w:ind w:left="740" w:right="100" w:hanging="368"/>
        <w:spacing w:after="0" w:line="259"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salaries and benefits expense for the second quarter of 2021 was $56.2 million, an increase of $5.4 million or 11% compared to the same period in 2020, due in part to a $2.0 million increase in incentive compensation. Share-based compensation increased by $1.2 million primarily due to a higher number of restricted stock units being amortized. Commission expense increased by $1.0 million primarily due to an increase in loan origination and refinance activity.</w:t>
      </w:r>
    </w:p>
    <w:p>
      <w:pPr>
        <w:spacing w:after="0" w:line="146"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Total other expenses for the second quarter of 2021 were $17.2 million, an increase of $5.0 million or 41% compared to the same period in</w:t>
      </w:r>
    </w:p>
    <w:p>
      <w:pPr>
        <w:spacing w:after="0" w:line="34" w:lineRule="exact"/>
        <w:rPr>
          <w:rFonts w:ascii="Arial" w:cs="Arial" w:eastAsia="Arial" w:hAnsi="Arial"/>
          <w:sz w:val="17"/>
          <w:szCs w:val="17"/>
          <w:color w:val="auto"/>
        </w:rPr>
      </w:pPr>
    </w:p>
    <w:p>
      <w:pPr>
        <w:ind w:left="740" w:right="40"/>
        <w:spacing w:after="0" w:line="260" w:lineRule="auto"/>
        <w:rPr>
          <w:rFonts w:ascii="Arial" w:cs="Arial" w:eastAsia="Arial" w:hAnsi="Arial"/>
          <w:sz w:val="17"/>
          <w:szCs w:val="17"/>
          <w:color w:val="auto"/>
        </w:rPr>
      </w:pPr>
      <w:r>
        <w:rPr>
          <w:rFonts w:ascii="Arial" w:cs="Arial" w:eastAsia="Arial" w:hAnsi="Arial"/>
          <w:sz w:val="18"/>
          <w:szCs w:val="18"/>
          <w:color w:val="auto"/>
        </w:rPr>
        <w:t>2020. This increase was primarily due to $3.2 million of early termination costs incurred in the second quarter of 2021 related to the prepayment of $50.0 million of repurchase agreements and $50.0 million of FHLB advances.</w:t>
      </w:r>
    </w:p>
    <w:p>
      <w:pPr>
        <w:spacing w:after="0" w:line="144" w:lineRule="exact"/>
        <w:rPr>
          <w:rFonts w:ascii="Arial" w:cs="Arial" w:eastAsia="Arial" w:hAnsi="Arial"/>
          <w:sz w:val="17"/>
          <w:szCs w:val="17"/>
          <w:color w:val="auto"/>
        </w:rPr>
      </w:pPr>
    </w:p>
    <w:p>
      <w:pPr>
        <w:ind w:left="740" w:right="460" w:hanging="368"/>
        <w:spacing w:after="0" w:line="263"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interest income was $123.5 million for the second quarter of 2021, a decrease of $3.2 million or 3% compared to the same period in 2020. This decrease was primarily due to lower yields on investment securities and loans and leases. Net interest margin was 2.37% in the second quarter of 2021, a 46 basis point decrease from the same period in 2020.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740" w:right="34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income for the second quarter of 2021 was $4.4 million, a decrease of $1.8 million or 28% compared to the same period in 2020. This decrease was primarily due to a decrease in fees related to our customer interest rate swap derivatives.</w:t>
      </w:r>
    </w:p>
    <w:p>
      <w:pPr>
        <w:spacing w:after="0" w:line="129" w:lineRule="exact"/>
        <w:rPr>
          <w:rFonts w:ascii="Arial" w:cs="Arial" w:eastAsia="Arial" w:hAnsi="Arial"/>
          <w:sz w:val="18"/>
          <w:szCs w:val="18"/>
          <w:color w:val="auto"/>
        </w:rPr>
      </w:pPr>
    </w:p>
    <w:p>
      <w:pPr>
        <w:ind w:left="740" w:right="100" w:hanging="368"/>
        <w:spacing w:after="0" w:line="259"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 banking income was $3.1 million for the second quarter of 2021, a decrease of $1.2 million or 29% compared to the same period in 2020, primarily due to valuation adjustments recorded for our mortgage servicing rights. During the second quarter of 2021, we recognized a $1.1 million valuation impairment to our mortgage servicing rights compared to a $0.7 million valuation allowance recovery recorded in second quarter 2020.</w:t>
      </w:r>
    </w:p>
    <w:p>
      <w:pPr>
        <w:spacing w:after="0" w:line="14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Net income for the first six months of 2021 was $127.5 million, an increase of $53.8 million or 73% compared to the same period in 2020. Diluted earnings per common share was $3.18 for the first six months of 2021, an increase of $1.33 or 72% compared to the same period in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first six months of 2021 were primarily due to the following:</w:t>
      </w:r>
    </w:p>
    <w:p>
      <w:pPr>
        <w:spacing w:after="0" w:line="185" w:lineRule="exact"/>
        <w:rPr>
          <w:sz w:val="20"/>
          <w:szCs w:val="20"/>
          <w:color w:val="auto"/>
        </w:rPr>
      </w:pPr>
    </w:p>
    <w:p>
      <w:pPr>
        <w:ind w:left="740" w:right="100" w:hanging="368"/>
        <w:spacing w:after="0" w:line="279"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recorded a $30.4 million negative provision for credit losses for the first six months of 2021 compared to a $74.0 million provision recorded in the same period in 2020. This decrease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30" w:lineRule="exact"/>
        <w:rPr>
          <w:rFonts w:ascii="Arial" w:cs="Arial" w:eastAsia="Arial" w:hAnsi="Arial"/>
          <w:sz w:val="17"/>
          <w:szCs w:val="17"/>
          <w:color w:val="auto"/>
        </w:rPr>
      </w:pPr>
    </w:p>
    <w:p>
      <w:pPr>
        <w:ind w:left="740" w:right="50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exchange, and other service charges expenses for the first six months of 2021 were $27.4 million, an increase of $4.8 million or 21% compared to the same period in 2020 primarily due to higher ATM and debit card transaction volume.</w:t>
      </w:r>
    </w:p>
    <w:p>
      <w:pPr>
        <w:spacing w:after="0" w:line="129"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occupancy expenses for the first six months of 2021 were $14.1 million, a decrease of $3.6 million or 20% compared to the same period in 2020. This decrease was primarily due to a $3.1 million gain on sale of real estate property on the island of Oahu.</w:t>
      </w:r>
    </w:p>
    <w:p>
      <w:pPr>
        <w:spacing w:after="0" w:line="129" w:lineRule="exact"/>
        <w:rPr>
          <w:rFonts w:ascii="Arial" w:cs="Arial" w:eastAsia="Arial" w:hAnsi="Arial"/>
          <w:sz w:val="18"/>
          <w:szCs w:val="18"/>
          <w:color w:val="auto"/>
        </w:rPr>
      </w:pPr>
    </w:p>
    <w:p>
      <w:pPr>
        <w:ind w:left="740" w:hanging="368"/>
        <w:spacing w:after="0" w:line="259"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 banking income for the first six months of 2021 were $8.9 million, an increase of $1.9 million or 28% compared to the same period in 2020. For the first six months of 2021 we recognized a $1.1 million valuation allowance recovery to our mortgage servicing rights compared to a $1.8 million valuation impairment recorded in 2020. The increase was partially offset by lower conforming salable loans from current production.</w:t>
      </w:r>
    </w:p>
    <w:p>
      <w:pPr>
        <w:spacing w:after="0" w:line="146"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Trust and asset management for the first six months of 2021 were $23.0 million, an increase of $1.5 million or 7% compared to the same period in 2020 primarily due to an increase in market value and trust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net income over the first six months of 2020 was partially offset by the following:</w:t>
      </w:r>
    </w:p>
    <w:p>
      <w:pPr>
        <w:spacing w:after="0" w:line="185" w:lineRule="exact"/>
        <w:rPr>
          <w:sz w:val="20"/>
          <w:szCs w:val="20"/>
          <w:color w:val="auto"/>
        </w:rPr>
      </w:pPr>
    </w:p>
    <w:p>
      <w:pPr>
        <w:ind w:left="740" w:right="140" w:hanging="368"/>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 for income taxes for the first six months of 2021 was $39.0 million, an increase of $21.8 million compared to the same period in 2020. The effective tax rate for the first six months of 2021 was 23.43%, up from 18.95% for the same period in 2020. The higher effective tax rate for the first six months of 2021 compared to the same period in 2020 was primarily due to the aforementioned higher pretax book income compared to a consistent amount of tax adjustments.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740" w:hanging="368"/>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Investment securities gains, net totaled $1.2 million for the first six months of 2021 compared to $12.2 million during the same period in</w:t>
      </w:r>
    </w:p>
    <w:p>
      <w:pPr>
        <w:spacing w:after="0" w:line="34" w:lineRule="exact"/>
        <w:rPr>
          <w:rFonts w:ascii="Arial" w:cs="Arial" w:eastAsia="Arial" w:hAnsi="Arial"/>
          <w:sz w:val="17"/>
          <w:szCs w:val="17"/>
          <w:color w:val="auto"/>
        </w:rPr>
      </w:pPr>
    </w:p>
    <w:p>
      <w:pPr>
        <w:ind w:left="740"/>
        <w:spacing w:after="0" w:line="260" w:lineRule="auto"/>
        <w:rPr>
          <w:rFonts w:ascii="Arial" w:cs="Arial" w:eastAsia="Arial" w:hAnsi="Arial"/>
          <w:sz w:val="17"/>
          <w:szCs w:val="17"/>
          <w:color w:val="auto"/>
        </w:rPr>
      </w:pPr>
      <w:r>
        <w:rPr>
          <w:rFonts w:ascii="Arial" w:cs="Arial" w:eastAsia="Arial" w:hAnsi="Arial"/>
          <w:sz w:val="18"/>
          <w:szCs w:val="18"/>
          <w:color w:val="auto"/>
        </w:rPr>
        <w:t>2020. The net gains in the first six months of 2021 were due to sales of mortgage-backed securities and corporate debt securities. The net gain in the first six months of 2020 was primarily due to the sale of 80,214 Visa Class B shares.</w:t>
      </w:r>
    </w:p>
    <w:p>
      <w:pPr>
        <w:spacing w:after="0" w:line="144" w:lineRule="exact"/>
        <w:rPr>
          <w:rFonts w:ascii="Arial" w:cs="Arial" w:eastAsia="Arial" w:hAnsi="Arial"/>
          <w:sz w:val="17"/>
          <w:szCs w:val="17"/>
          <w:color w:val="auto"/>
        </w:rPr>
      </w:pPr>
    </w:p>
    <w:p>
      <w:pPr>
        <w:ind w:left="740" w:right="2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income for the first six months of 2021 was $9.1 million, a decrease of $7.4 million or 45% compared to the same period in 2020 primarily due to a $7.2 million decrease in fees related to our customer interest rate swap derivatives.</w:t>
      </w:r>
    </w:p>
    <w:p>
      <w:pPr>
        <w:spacing w:after="0" w:line="129" w:lineRule="exact"/>
        <w:rPr>
          <w:rFonts w:ascii="Arial" w:cs="Arial" w:eastAsia="Arial" w:hAnsi="Arial"/>
          <w:sz w:val="18"/>
          <w:szCs w:val="18"/>
          <w:color w:val="auto"/>
        </w:rPr>
      </w:pPr>
    </w:p>
    <w:p>
      <w:pPr>
        <w:ind w:left="740" w:right="100" w:hanging="368"/>
        <w:spacing w:after="0" w:line="259"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salaries and benefits expense for the first six months of 2021 were $112.4 million, an increase of $7.2 million or 7% compared to the same period in 2020 primarily due to a $7.7 million increase in incentive compensation coupled with a $2.4 million increase in share-based compensation due to a higher number of restricted stock units being amortized. These increases were partially offset by a $2.7 million decrease in separation expense.</w:t>
      </w:r>
    </w:p>
    <w:p>
      <w:pPr>
        <w:spacing w:after="0" w:line="146"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other expenses for the first six months of 2021 were $30.4 million, an increase of $3.3 million or 12% compared to the same period in 2020 primarily due to the aforementioned $3.2 million early termination costs incurred in the second quarter of 2021 related to the prepayment of $50.0 million of repurchase agreements and $50.0 million of FHLB advances.</w:t>
      </w:r>
    </w:p>
    <w:p>
      <w:pPr>
        <w:spacing w:after="0" w:line="143"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Data processing expenses for the first six months of 2021 was $10.9 million, an increase of $1.7 million or 18% compared to the same period in 2020 primarily due to the rollout of contactless cards in the first quarter of 2021</w:t>
      </w:r>
    </w:p>
    <w:p>
      <w:pPr>
        <w:spacing w:after="0" w:line="129"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equipment expense for the first six months of 2021 was $17.7 million, an increase of $1.0 million or 6% compared to the same period in 2020. This increase was primarily due to higher depreciation expense.</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maintained a strong balance sheet during the second quarter of 2021, with what we believe are appropriate reserves for credit losses and high levels of liquidity and capital highlighted by the following.</w:t>
      </w:r>
    </w:p>
    <w:p>
      <w:pPr>
        <w:spacing w:after="0" w:line="143" w:lineRule="exact"/>
        <w:rPr>
          <w:sz w:val="20"/>
          <w:szCs w:val="20"/>
          <w:color w:val="auto"/>
        </w:rPr>
      </w:pPr>
    </w:p>
    <w:p>
      <w:pPr>
        <w:ind w:left="740" w:right="54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loans and leases were $12.0 billion as of June 30, 2021, an increase $101.4 million or 1% from December 31, 2020, primarily due to growth in our consumer lending portfolio.</w:t>
      </w:r>
    </w:p>
    <w:p>
      <w:pPr>
        <w:spacing w:after="0" w:line="129" w:lineRule="exact"/>
        <w:rPr>
          <w:rFonts w:ascii="Arial" w:cs="Arial" w:eastAsia="Arial" w:hAnsi="Arial"/>
          <w:sz w:val="18"/>
          <w:szCs w:val="18"/>
          <w:color w:val="auto"/>
        </w:rPr>
      </w:pPr>
    </w:p>
    <w:p>
      <w:pPr>
        <w:ind w:left="740" w:right="200" w:hanging="368"/>
        <w:spacing w:after="0" w:line="259"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Allowance for Credit Losses (the “Allowance”) was $180.4 million as of June 30, 2021, a decrease of $35.9 million or 17% from December 31, 2020. The Allowance represented 1.50% of total loans and leases outstanding as of June 30, 2021, and 1.81% of total loans and leases outstanding as of December 31, 2020. The level of our Allowance was commensurate with the Company’s credit risk profile, future economic outlook, and forecasts utilized.</w:t>
      </w:r>
    </w:p>
    <w:p>
      <w:pPr>
        <w:spacing w:after="0" w:line="146" w:lineRule="exact"/>
        <w:rPr>
          <w:rFonts w:ascii="Arial" w:cs="Arial" w:eastAsia="Arial" w:hAnsi="Arial"/>
          <w:sz w:val="18"/>
          <w:szCs w:val="18"/>
          <w:color w:val="auto"/>
        </w:rPr>
      </w:pPr>
    </w:p>
    <w:p>
      <w:pPr>
        <w:ind w:left="740" w:right="320" w:hanging="368"/>
        <w:spacing w:after="0" w:line="342"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total carrying value of our investment securities portfolio was $8.5 billion, an increase of $1.4 billion or 20% compared to December 31, 2020. Mortgage-backed securities issued by Ginnie Mae, Fannie Mae, and Freddie Mac are the largest concentration in our portfolio.</w:t>
      </w:r>
    </w:p>
    <w:p>
      <w:pPr>
        <w:spacing w:after="0" w:line="83" w:lineRule="exact"/>
        <w:rPr>
          <w:rFonts w:ascii="Arial" w:cs="Arial" w:eastAsia="Arial" w:hAnsi="Arial"/>
          <w:sz w:val="16"/>
          <w:szCs w:val="16"/>
          <w:color w:val="auto"/>
        </w:rPr>
      </w:pPr>
    </w:p>
    <w:p>
      <w:pPr>
        <w:ind w:left="740" w:right="2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deposits were $20.2 billion as of June 30, 2021, an increase of $2.0 billion or 11% from December 31, 2020, primarily due to an increase in commercial and consumer deposits.</w:t>
      </w:r>
    </w:p>
    <w:p>
      <w:pPr>
        <w:spacing w:after="0" w:line="129" w:lineRule="exact"/>
        <w:rPr>
          <w:rFonts w:ascii="Arial" w:cs="Arial" w:eastAsia="Arial" w:hAnsi="Arial"/>
          <w:sz w:val="18"/>
          <w:szCs w:val="18"/>
          <w:color w:val="auto"/>
        </w:rPr>
      </w:pPr>
    </w:p>
    <w:p>
      <w:pPr>
        <w:ind w:left="740" w:right="80" w:hanging="368"/>
        <w:spacing w:after="0" w:line="263"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June 15, 2021, the Company issued and sold 7,200,000 depositary shares, each representing a 1/40th ownership interest in a share of 4.375% Fixed Rate Non-Cumulative Perpetual Preferred Stock, Series A, par value $0.01 per share. Net proceeds after underwriting discounts and expenses were $175.5 million.</w:t>
      </w:r>
    </w:p>
    <w:p>
      <w:pPr>
        <w:spacing w:after="0" w:line="143" w:lineRule="exact"/>
        <w:rPr>
          <w:rFonts w:ascii="Arial" w:cs="Arial" w:eastAsia="Arial" w:hAnsi="Arial"/>
          <w:sz w:val="18"/>
          <w:szCs w:val="18"/>
          <w:color w:val="auto"/>
        </w:rPr>
      </w:pPr>
    </w:p>
    <w:p>
      <w:pPr>
        <w:ind w:left="740" w:right="60" w:hanging="368"/>
        <w:spacing w:after="0" w:line="255"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shareholders’ equity was $1.6 billion as of June 30, 2021, an increase of $209.0 million or 15% from December 31, 2020. While we continued to return capital to our shareholders in the form of dividends, in March 2020, we suspended share repurchases in light of the COVID-19 pandemic. We plan to resume our share repurchase program as soon as practicable subject to market and economic conditions and applicable SEC rules. During the first six months of 2021, we acquired 37,156 shares of our common stock at a total cost of $3.3 million from shares obtained from employees and/or directors in connection with income tax withholdings related to the vesting of restricted stock and shares purchased for a deferred compensation plan.</w:t>
      </w:r>
    </w:p>
    <w:p>
      <w:pPr>
        <w:spacing w:after="0" w:line="151"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dividends on common shares of $54.1 million were distributed during the first six months of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highlights are presented in Table 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Financial Highlights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Table 1</w:t>
            </w:r>
          </w:p>
        </w:tc>
      </w:tr>
      <w:tr>
        <w:trPr>
          <w:trHeight w:val="207"/>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400" w:type="dxa"/>
            <w:vAlign w:val="bottom"/>
            <w:gridSpan w:val="3"/>
          </w:tcPr>
          <w:p>
            <w:pPr>
              <w:jc w:val="right"/>
              <w:ind w:right="707"/>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3"/>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(dollars in thousands, except per share amounts)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2020</w:t>
            </w:r>
          </w:p>
        </w:tc>
      </w:tr>
      <w:tr>
        <w:trPr>
          <w:trHeight w:val="145"/>
        </w:trPr>
        <w:tc>
          <w:tcPr>
            <w:tcW w:w="960" w:type="dxa"/>
            <w:vAlign w:val="bottom"/>
            <w:tcBorders>
              <w:bottom w:val="single" w:sz="8" w:color="auto"/>
            </w:tcBorders>
            <w:shd w:val="clear" w:color="auto" w:fill="CCECFF"/>
          </w:tcPr>
          <w:p>
            <w:pPr>
              <w:spacing w:after="0" w:line="145" w:lineRule="exact"/>
              <w:rPr>
                <w:sz w:val="20"/>
                <w:szCs w:val="20"/>
                <w:color w:val="auto"/>
              </w:rPr>
            </w:pPr>
            <w:r>
              <w:rPr>
                <w:rFonts w:ascii="Arial" w:cs="Arial" w:eastAsia="Arial" w:hAnsi="Arial"/>
                <w:sz w:val="14"/>
                <w:szCs w:val="14"/>
                <w:b w:val="1"/>
                <w:bCs w:val="1"/>
                <w:color w:val="auto"/>
                <w:w w:val="94"/>
              </w:rPr>
              <w:t>For the Period:</w:t>
            </w:r>
          </w:p>
        </w:tc>
        <w:tc>
          <w:tcPr>
            <w:tcW w:w="4800" w:type="dxa"/>
            <w:vAlign w:val="bottom"/>
            <w:tcBorders>
              <w:bottom w:val="single" w:sz="8" w:color="CCECFF"/>
            </w:tcBorders>
            <w:gridSpan w:val="2"/>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1040" w:type="dxa"/>
            <w:vAlign w:val="bottom"/>
            <w:tcBorders>
              <w:bottom w:val="single" w:sz="8" w:color="CCECFF"/>
            </w:tcBorders>
            <w:shd w:val="clear" w:color="auto" w:fill="CCECFF"/>
          </w:tcPr>
          <w:p>
            <w:pPr>
              <w:spacing w:after="0"/>
              <w:rPr>
                <w:sz w:val="12"/>
                <w:szCs w:val="12"/>
                <w:color w:val="auto"/>
              </w:rPr>
            </w:pPr>
          </w:p>
        </w:tc>
        <w:tc>
          <w:tcPr>
            <w:tcW w:w="40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10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1100" w:type="dxa"/>
            <w:vAlign w:val="bottom"/>
            <w:tcBorders>
              <w:bottom w:val="single" w:sz="8" w:color="CCECFF"/>
            </w:tcBorders>
            <w:shd w:val="clear" w:color="auto" w:fill="CCECFF"/>
          </w:tcPr>
          <w:p>
            <w:pPr>
              <w:spacing w:after="0"/>
              <w:rPr>
                <w:sz w:val="12"/>
                <w:szCs w:val="12"/>
                <w:color w:val="auto"/>
              </w:rPr>
            </w:pPr>
          </w:p>
        </w:tc>
      </w:tr>
      <w:tr>
        <w:trPr>
          <w:trHeight w:val="156"/>
        </w:trPr>
        <w:tc>
          <w:tcPr>
            <w:tcW w:w="5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Operating Results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Interest Income</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123,514</w:t>
            </w:r>
          </w:p>
        </w:tc>
        <w:tc>
          <w:tcPr>
            <w:tcW w:w="40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126,691</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244,083</w:t>
            </w:r>
          </w:p>
        </w:tc>
        <w:tc>
          <w:tcPr>
            <w:tcW w:w="24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252,657</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Provision for Credit Losses</w:t>
            </w:r>
          </w:p>
        </w:tc>
        <w:tc>
          <w:tcPr>
            <w:tcW w:w="280" w:type="dxa"/>
            <w:vAlign w:val="bottom"/>
          </w:tcPr>
          <w:p>
            <w:pPr>
              <w:spacing w:after="0"/>
              <w:rPr>
                <w:sz w:val="14"/>
                <w:szCs w:val="14"/>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(16,100)</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40,400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Arial" w:cs="Arial" w:eastAsia="Arial" w:hAnsi="Arial"/>
                <w:sz w:val="14"/>
                <w:szCs w:val="14"/>
                <w:color w:val="auto"/>
              </w:rPr>
              <w:t>(30,400)</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74,000</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Total Noninterest Income</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44,431</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51,268</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87,401</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97,417</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Total Noninterest Expense</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96,527</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88,892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195,392</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185,204</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67,533</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38,908</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127,482</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73,650</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Basic Earnings Per Common Share</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1.69</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0.98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3.20</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1.86</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Diluted Earnings Per Common Share</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1.68</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0.98</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3.18</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1.85</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Dividends Declared Per Common Share</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0.67</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1.34</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1.34</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Performance Ratios</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Return on Average Assets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Arial" w:cs="Arial" w:eastAsia="Arial" w:hAnsi="Arial"/>
                <w:sz w:val="14"/>
                <w:szCs w:val="14"/>
                <w:color w:val="auto"/>
              </w:rPr>
              <w:t>1.19%</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0.79%</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Return on Average Shareholders’ Equity</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19.17</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18.43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11.11</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Return on Average Common Equity</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19.60</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18.63</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11.11</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12"/>
                <w:szCs w:val="12"/>
                <w:color w:val="auto"/>
              </w:rPr>
              <w:t>1</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57.47</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49.95</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58.94</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52.90</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2"/>
                <w:szCs w:val="12"/>
                <w:color w:val="auto"/>
              </w:rPr>
              <w:t>2</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2.37</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2.40</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2.90</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12"/>
                <w:szCs w:val="12"/>
                <w:color w:val="auto"/>
              </w:rPr>
              <w:t>3</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39.64</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68.37</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41.88</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72.04</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Average Shareholders’ Equity to Average Assets</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6.40</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6.45</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7.12</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Average Balances</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Average Loans and Leases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12,096,308</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11,727,649</w:t>
            </w:r>
          </w:p>
        </w:tc>
        <w:tc>
          <w:tcPr>
            <w:tcW w:w="1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12,024,844</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11,394,178</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Average Assets</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22,073,569</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19,189,581</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21,614,669</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18,706,092</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Average Deposits</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19,698,285</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16,679,511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19,184,607</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16,248,628</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Average Shareholders’ Equity</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1,412,924</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1,351,345</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1,395,197</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1,332,596</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Market Price Per Share of Common Stock</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Closing</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84.22</w:t>
            </w:r>
          </w:p>
        </w:tc>
        <w:tc>
          <w:tcPr>
            <w:tcW w:w="40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61.41</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84.22</w:t>
            </w:r>
          </w:p>
        </w:tc>
        <w:tc>
          <w:tcPr>
            <w:tcW w:w="24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61.41</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High</w:t>
            </w:r>
          </w:p>
        </w:tc>
        <w:tc>
          <w:tcPr>
            <w:tcW w:w="280" w:type="dxa"/>
            <w:vAlign w:val="bottom"/>
          </w:tcPr>
          <w:p>
            <w:pPr>
              <w:spacing w:after="0"/>
              <w:rPr>
                <w:sz w:val="14"/>
                <w:szCs w:val="14"/>
                <w:color w:val="auto"/>
              </w:rPr>
            </w:pPr>
          </w:p>
        </w:tc>
        <w:tc>
          <w:tcPr>
            <w:tcW w:w="1040" w:type="dxa"/>
            <w:vAlign w:val="bottom"/>
          </w:tcPr>
          <w:p>
            <w:pPr>
              <w:jc w:val="right"/>
              <w:ind w:right="127"/>
              <w:spacing w:after="0"/>
              <w:rPr>
                <w:sz w:val="20"/>
                <w:szCs w:val="20"/>
                <w:color w:val="auto"/>
              </w:rPr>
            </w:pPr>
            <w:r>
              <w:rPr>
                <w:rFonts w:ascii="Arial" w:cs="Arial" w:eastAsia="Arial" w:hAnsi="Arial"/>
                <w:sz w:val="14"/>
                <w:szCs w:val="14"/>
                <w:color w:val="auto"/>
              </w:rPr>
              <w:t>95.95</w:t>
            </w:r>
          </w:p>
        </w:tc>
        <w:tc>
          <w:tcPr>
            <w:tcW w:w="4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72.74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95.53</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Low</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ind w:right="127"/>
              <w:spacing w:after="0"/>
              <w:rPr>
                <w:sz w:val="20"/>
                <w:szCs w:val="20"/>
                <w:color w:val="auto"/>
              </w:rPr>
            </w:pPr>
            <w:r>
              <w:rPr>
                <w:rFonts w:ascii="Arial" w:cs="Arial" w:eastAsia="Arial" w:hAnsi="Arial"/>
                <w:sz w:val="14"/>
                <w:szCs w:val="14"/>
                <w:color w:val="auto"/>
              </w:rPr>
              <w:t>81.23</w:t>
            </w: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51.15</w:t>
            </w: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75.65</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46.70</w:t>
            </w:r>
          </w:p>
        </w:tc>
      </w:tr>
      <w:tr>
        <w:trPr>
          <w:trHeight w:val="418"/>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2020</w:t>
            </w:r>
          </w:p>
        </w:tc>
      </w:tr>
      <w:tr>
        <w:trPr>
          <w:trHeight w:val="145"/>
        </w:trPr>
        <w:tc>
          <w:tcPr>
            <w:tcW w:w="57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As of Period End:</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5"/>
        </w:trPr>
        <w:tc>
          <w:tcPr>
            <w:tcW w:w="5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Balance Sheet Totals</w:t>
            </w: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Loans and Leases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12,041,378</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11,940,020</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22,672,183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20,603,651</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Total Deposits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20,169,709</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18,211,621</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Other Debt</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10,437</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60,481</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Total Shareholders’ Equity</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1,583,531</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1,374,507</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Asset Quality</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Non-Performing Assets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18,974</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18,481</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Allowance for Credit Losses - Loans and Leases</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180,385</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216,252</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 xml:space="preserve">Allowance to Loans and Leases Outstanding </w:t>
            </w:r>
            <w:r>
              <w:rPr>
                <w:rFonts w:ascii="Arial" w:cs="Arial" w:eastAsia="Arial" w:hAnsi="Arial"/>
                <w:sz w:val="12"/>
                <w:szCs w:val="12"/>
                <w:color w:val="auto"/>
              </w:rPr>
              <w:t>4</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Arial" w:cs="Arial" w:eastAsia="Arial" w:hAnsi="Arial"/>
                <w:sz w:val="14"/>
                <w:szCs w:val="14"/>
                <w:color w:val="auto"/>
              </w:rPr>
              <w:t>1.50%</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Capital Ratios</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Common Equity Tier 1 Capital Ratio</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Arial" w:cs="Arial" w:eastAsia="Arial" w:hAnsi="Arial"/>
                <w:sz w:val="14"/>
                <w:szCs w:val="14"/>
                <w:color w:val="auto"/>
              </w:rPr>
              <w:t>12.36%</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12.06%</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Tier 1 Capital Ratio</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13.87</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12.06</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Total Capital Ratio</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15.13</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13.31</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Tier 1 Leverage Ratio</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7.31</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6.71</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Total Shareholders’ Equity to Total Assets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6.98</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6.67</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12"/>
                <w:szCs w:val="12"/>
                <w:color w:val="auto"/>
              </w:rPr>
              <w:t>5</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6.08</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6.53</w:t>
            </w: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12"/>
                <w:szCs w:val="12"/>
                <w:color w:val="auto"/>
              </w:rPr>
              <w:t>5</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11.85</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11.89</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Non-Financial Data</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r>
      <w:tr>
        <w:trPr>
          <w:trHeight w:val="162"/>
        </w:trPr>
        <w:tc>
          <w:tcPr>
            <w:tcW w:w="5760" w:type="dxa"/>
            <w:vAlign w:val="bottom"/>
            <w:gridSpan w:val="3"/>
          </w:tcPr>
          <w:p>
            <w:pPr>
              <w:spacing w:after="0"/>
              <w:rPr>
                <w:sz w:val="20"/>
                <w:szCs w:val="20"/>
                <w:color w:val="auto"/>
              </w:rPr>
            </w:pPr>
            <w:r>
              <w:rPr>
                <w:rFonts w:ascii="Arial" w:cs="Arial" w:eastAsia="Arial" w:hAnsi="Arial"/>
                <w:sz w:val="14"/>
                <w:szCs w:val="14"/>
                <w:color w:val="auto"/>
              </w:rPr>
              <w:t>Full-Time Equivalent Employees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2,085</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2,022</w:t>
            </w:r>
          </w:p>
        </w:tc>
      </w:tr>
      <w:tr>
        <w:trPr>
          <w:trHeight w:val="162"/>
        </w:trPr>
        <w:tc>
          <w:tcPr>
            <w:tcW w:w="5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Branches</w:t>
            </w: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ind w:right="147"/>
              <w:spacing w:after="0"/>
              <w:rPr>
                <w:sz w:val="20"/>
                <w:szCs w:val="20"/>
                <w:color w:val="auto"/>
              </w:rPr>
            </w:pPr>
            <w:r>
              <w:rPr>
                <w:rFonts w:ascii="Arial" w:cs="Arial" w:eastAsia="Arial" w:hAnsi="Arial"/>
                <w:sz w:val="14"/>
                <w:szCs w:val="14"/>
                <w:color w:val="auto"/>
              </w:rPr>
              <w:t>54</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67"/>
              <w:spacing w:after="0"/>
              <w:rPr>
                <w:sz w:val="20"/>
                <w:szCs w:val="20"/>
                <w:color w:val="auto"/>
              </w:rPr>
            </w:pPr>
            <w:r>
              <w:rPr>
                <w:rFonts w:ascii="Arial" w:cs="Arial" w:eastAsia="Arial" w:hAnsi="Arial"/>
                <w:sz w:val="14"/>
                <w:szCs w:val="14"/>
                <w:color w:val="auto"/>
              </w:rPr>
              <w:t>65</w:t>
            </w:r>
          </w:p>
        </w:tc>
      </w:tr>
      <w:tr>
        <w:trPr>
          <w:trHeight w:val="182"/>
        </w:trPr>
        <w:tc>
          <w:tcPr>
            <w:tcW w:w="5760" w:type="dxa"/>
            <w:vAlign w:val="bottom"/>
            <w:gridSpan w:val="3"/>
          </w:tcPr>
          <w:p>
            <w:pPr>
              <w:spacing w:after="0"/>
              <w:rPr>
                <w:sz w:val="20"/>
                <w:szCs w:val="20"/>
                <w:color w:val="auto"/>
              </w:rPr>
            </w:pPr>
            <w:r>
              <w:rPr>
                <w:rFonts w:ascii="Arial" w:cs="Arial" w:eastAsia="Arial" w:hAnsi="Arial"/>
                <w:sz w:val="14"/>
                <w:szCs w:val="14"/>
                <w:color w:val="auto"/>
              </w:rPr>
              <w:t>ATMs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312</w:t>
            </w:r>
          </w:p>
        </w:tc>
        <w:tc>
          <w:tcPr>
            <w:tcW w:w="240" w:type="dxa"/>
            <w:vAlign w:val="bottom"/>
          </w:tcPr>
          <w:p>
            <w:pPr>
              <w:spacing w:after="0"/>
              <w:rPr>
                <w:sz w:val="15"/>
                <w:szCs w:val="15"/>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color w:val="auto"/>
              </w:rPr>
              <w:t>357</w:t>
            </w:r>
          </w:p>
        </w:tc>
      </w:tr>
    </w:tbl>
    <w:p>
      <w:pPr>
        <w:spacing w:after="0" w:line="36"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1"/>
          <w:szCs w:val="11"/>
          <w:color w:val="auto"/>
        </w:rPr>
      </w:pPr>
      <w:r>
        <w:rPr>
          <w:rFonts w:ascii="Arial" w:cs="Arial" w:eastAsia="Arial" w:hAnsi="Arial"/>
          <w:sz w:val="13"/>
          <w:szCs w:val="13"/>
          <w:color w:val="auto"/>
        </w:rPr>
        <w:t>Efficiency ratio is defined as noninterest expense divided by total revenue (net interest income and total noninterest income).</w:t>
      </w:r>
    </w:p>
    <w:p>
      <w:pPr>
        <w:spacing w:after="0" w:line="1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3"/>
          <w:szCs w:val="13"/>
          <w:color w:val="auto"/>
        </w:rPr>
        <w:t>Net interest margin is defined as net interest income, on a taxable-equivalent basis, as a percentage of average earning assets.</w:t>
      </w:r>
    </w:p>
    <w:p>
      <w:pPr>
        <w:spacing w:after="0"/>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3"/>
          <w:szCs w:val="13"/>
          <w:color w:val="auto"/>
        </w:rPr>
        <w:t>Dividend payout ratio is defined as dividends declared per common share divided by basic earnings per common share.</w:t>
      </w:r>
    </w:p>
    <w:p>
      <w:pPr>
        <w:spacing w:after="0"/>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3"/>
          <w:szCs w:val="13"/>
          <w:color w:val="auto"/>
        </w:rPr>
        <w:t>The numerator comprises the Allowance for Credit Losses – Loans and Leases.</w:t>
      </w:r>
    </w:p>
    <w:p>
      <w:pPr>
        <w:spacing w:after="0"/>
        <w:rPr>
          <w:rFonts w:ascii="Arial" w:cs="Arial" w:eastAsia="Arial" w:hAnsi="Arial"/>
          <w:sz w:val="11"/>
          <w:szCs w:val="11"/>
          <w:color w:val="auto"/>
        </w:rPr>
      </w:pPr>
      <w:r>
        <w:rPr>
          <w:rFonts w:ascii="Arial" w:cs="Arial" w:eastAsia="Arial" w:hAnsi="Arial"/>
          <w:sz w:val="11"/>
          <w:szCs w:val="11"/>
          <w:color w:val="auto"/>
        </w:rPr>
        <w:t xml:space="preserve">5   </w:t>
      </w:r>
      <w:r>
        <w:rPr>
          <w:rFonts w:ascii="Arial" w:cs="Arial" w:eastAsia="Arial" w:hAnsi="Arial"/>
          <w:sz w:val="13"/>
          <w:szCs w:val="13"/>
          <w:color w:val="auto"/>
        </w:rPr>
        <w:t>Tangible common equity, a non-GAAP financial measure, is defined by the Company as shareholders’ equity minus preferred stock and goodwill.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GAAP to Non-GAAP Reconciliation</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199"/>
        </w:trPr>
        <w:tc>
          <w:tcPr>
            <w:tcW w:w="6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3"/>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Total Shareholders’ Equity</w:t>
            </w:r>
          </w:p>
        </w:tc>
        <w:tc>
          <w:tcPr>
            <w:tcW w:w="13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1,583,531</w:t>
            </w:r>
          </w:p>
        </w:tc>
        <w:tc>
          <w:tcPr>
            <w:tcW w:w="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1,374,507</w:t>
            </w:r>
          </w:p>
        </w:tc>
      </w:tr>
      <w:tr>
        <w:trPr>
          <w:trHeight w:val="213"/>
        </w:trPr>
        <w:tc>
          <w:tcPr>
            <w:tcW w:w="6740" w:type="dxa"/>
            <w:vAlign w:val="bottom"/>
          </w:tcPr>
          <w:p>
            <w:pPr>
              <w:spacing w:after="0"/>
              <w:rPr>
                <w:sz w:val="20"/>
                <w:szCs w:val="20"/>
                <w:color w:val="auto"/>
              </w:rPr>
            </w:pPr>
            <w:r>
              <w:rPr>
                <w:rFonts w:ascii="Arial" w:cs="Arial" w:eastAsia="Arial" w:hAnsi="Arial"/>
                <w:sz w:val="16"/>
                <w:szCs w:val="16"/>
                <w:color w:val="auto"/>
              </w:rPr>
              <w:t>Less: Preferred Stock</w:t>
            </w:r>
          </w:p>
        </w:tc>
        <w:tc>
          <w:tcPr>
            <w:tcW w:w="136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175,487</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674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6"/>
                <w:szCs w:val="16"/>
                <w:color w:val="auto"/>
              </w:rPr>
              <w:t>Goodwill</w:t>
            </w:r>
          </w:p>
        </w:tc>
        <w:tc>
          <w:tcPr>
            <w:tcW w:w="1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31,517</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31,517</w:t>
            </w:r>
          </w:p>
        </w:tc>
      </w:tr>
      <w:tr>
        <w:trPr>
          <w:trHeight w:val="250"/>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Tangible Common Equity</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1,376,527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1,342,990</w:t>
            </w:r>
          </w:p>
        </w:tc>
      </w:tr>
      <w:tr>
        <w:trPr>
          <w:trHeight w:val="199"/>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3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22,672,183</w:t>
            </w:r>
          </w:p>
        </w:tc>
        <w:tc>
          <w:tcPr>
            <w:tcW w:w="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20,603,651</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Goodwill</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31,517</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31,517</w:t>
            </w:r>
          </w:p>
        </w:tc>
      </w:tr>
      <w:tr>
        <w:trPr>
          <w:trHeight w:val="210"/>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Tangible Assets</w:t>
            </w:r>
          </w:p>
        </w:tc>
        <w:tc>
          <w:tcPr>
            <w:tcW w:w="13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22,640,666</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20,572,134</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6"/>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11,614,522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11,295,077</w:t>
            </w:r>
          </w:p>
        </w:tc>
      </w:tr>
      <w:tr>
        <w:trPr>
          <w:trHeight w:val="199"/>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Total Shareholders’ Equity to Total Assets</w:t>
            </w:r>
          </w:p>
        </w:tc>
        <w:tc>
          <w:tcPr>
            <w:tcW w:w="1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4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Tangible Common Equity to Tangible Assets (Non-GAAP)</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r>
      <w:tr>
        <w:trPr>
          <w:trHeight w:val="213"/>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Tier 1 Capital Ratio</w:t>
            </w:r>
          </w:p>
        </w:tc>
        <w:tc>
          <w:tcPr>
            <w:tcW w:w="1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Tangible Common Equity to Risk-Weighted Assets (Non-GAAP)</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Average Balances and Interest Rates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Table 3</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Taxable-Equivalent Basis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7"/>
          </w:tcPr>
          <w:p>
            <w:pPr>
              <w:jc w:val="right"/>
              <w:ind w:right="569"/>
              <w:spacing w:after="0" w:line="147" w:lineRule="exact"/>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7"/>
          </w:tcPr>
          <w:p>
            <w:pPr>
              <w:ind w:left="240"/>
              <w:spacing w:after="0" w:line="147" w:lineRule="exact"/>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5"/>
          </w:tcPr>
          <w:p>
            <w:pPr>
              <w:jc w:val="center"/>
              <w:ind w:left="228"/>
              <w:spacing w:after="0" w:line="147" w:lineRule="exact"/>
              <w:rPr>
                <w:sz w:val="20"/>
                <w:szCs w:val="20"/>
                <w:color w:val="auto"/>
              </w:rPr>
            </w:pPr>
            <w:r>
              <w:rPr>
                <w:rFonts w:ascii="Arial" w:cs="Arial" w:eastAsia="Arial" w:hAnsi="Arial"/>
                <w:sz w:val="14"/>
                <w:szCs w:val="14"/>
                <w:b w:val="1"/>
                <w:bCs w:val="1"/>
                <w:color w:val="auto"/>
                <w:w w:val="93"/>
              </w:rPr>
              <w:t>Six Months Ended</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right"/>
              <w:ind w:right="48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2021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2020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left="248"/>
              <w:spacing w:after="0"/>
              <w:rPr>
                <w:sz w:val="20"/>
                <w:szCs w:val="20"/>
                <w:color w:val="auto"/>
              </w:rPr>
            </w:pPr>
            <w:r>
              <w:rPr>
                <w:rFonts w:ascii="Arial" w:cs="Arial" w:eastAsia="Arial" w:hAnsi="Arial"/>
                <w:sz w:val="14"/>
                <w:szCs w:val="14"/>
                <w:b w:val="1"/>
                <w:bCs w:val="1"/>
                <w:color w:val="auto"/>
                <w:w w:val="92"/>
              </w:rPr>
              <w:t>June 30, 2021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2020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6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Income/</w:t>
            </w:r>
          </w:p>
        </w:tc>
        <w:tc>
          <w:tcPr>
            <w:tcW w:w="68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Yield/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6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Income/</w:t>
            </w:r>
          </w:p>
        </w:tc>
        <w:tc>
          <w:tcPr>
            <w:tcW w:w="68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Yield/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7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Income/</w:t>
            </w:r>
          </w:p>
        </w:tc>
        <w:tc>
          <w:tcPr>
            <w:tcW w:w="54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Yield/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w w:val="94"/>
              </w:rPr>
              <w:t>Average</w:t>
            </w:r>
          </w:p>
        </w:tc>
        <w:tc>
          <w:tcPr>
            <w:tcW w:w="60" w:type="dxa"/>
            <w:vAlign w:val="bottom"/>
          </w:tcPr>
          <w:p>
            <w:pPr>
              <w:spacing w:after="0"/>
              <w:rPr>
                <w:sz w:val="12"/>
                <w:szCs w:val="12"/>
                <w:color w:val="auto"/>
              </w:rPr>
            </w:pPr>
          </w:p>
        </w:tc>
        <w:tc>
          <w:tcPr>
            <w:tcW w:w="6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Income/</w:t>
            </w:r>
          </w:p>
        </w:tc>
        <w:tc>
          <w:tcPr>
            <w:tcW w:w="68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82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4"/>
                <w:szCs w:val="14"/>
                <w:b w:val="1"/>
                <w:bCs w:val="1"/>
                <w:color w:val="auto"/>
              </w:rPr>
              <w:t>Rate</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8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Rate</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Expense</w:t>
            </w:r>
          </w:p>
        </w:tc>
        <w:tc>
          <w:tcPr>
            <w:tcW w:w="6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Rate</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Balance</w:t>
            </w: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55"/>
        </w:trPr>
        <w:tc>
          <w:tcPr>
            <w:tcW w:w="26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Earning Assets</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Interest-Bearing Deposits in Other Banks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0.04%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3"/>
          </w:tcPr>
          <w:p>
            <w:pPr>
              <w:ind w:left="280"/>
              <w:spacing w:after="0"/>
              <w:rPr>
                <w:sz w:val="20"/>
                <w:szCs w:val="20"/>
                <w:color w:val="auto"/>
              </w:rPr>
            </w:pPr>
            <w:r>
              <w:rPr>
                <w:rFonts w:ascii="Arial" w:cs="Arial" w:eastAsia="Arial" w:hAnsi="Arial"/>
                <w:sz w:val="14"/>
                <w:szCs w:val="14"/>
                <w:color w:val="auto"/>
              </w:rPr>
              <w:t>0.18%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40"/>
              <w:spacing w:after="0"/>
              <w:rPr>
                <w:sz w:val="20"/>
                <w:szCs w:val="20"/>
                <w:color w:val="auto"/>
              </w:rPr>
            </w:pPr>
            <w:r>
              <w:rPr>
                <w:rFonts w:ascii="Arial" w:cs="Arial" w:eastAsia="Arial" w:hAnsi="Arial"/>
                <w:sz w:val="14"/>
                <w:szCs w:val="14"/>
                <w:color w:val="auto"/>
              </w:rPr>
              <w:t>0.56%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ind w:left="280"/>
              <w:spacing w:after="0"/>
              <w:rPr>
                <w:sz w:val="20"/>
                <w:szCs w:val="20"/>
                <w:color w:val="auto"/>
              </w:rPr>
            </w:pPr>
            <w:r>
              <w:rPr>
                <w:rFonts w:ascii="Arial" w:cs="Arial" w:eastAsia="Arial" w:hAnsi="Arial"/>
                <w:sz w:val="14"/>
                <w:szCs w:val="14"/>
                <w:color w:val="auto"/>
                <w:w w:val="95"/>
              </w:rPr>
              <w:t>0.96%</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Funds Sold</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946.2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545.9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0.1</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0.07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749.5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0.11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349.3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0.6</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Available-for-Sale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500"/>
              <w:spacing w:after="0"/>
              <w:rPr>
                <w:sz w:val="20"/>
                <w:szCs w:val="20"/>
                <w:color w:val="auto"/>
              </w:rPr>
            </w:pPr>
            <w:r>
              <w:rPr>
                <w:rFonts w:ascii="Arial" w:cs="Arial" w:eastAsia="Arial" w:hAnsi="Arial"/>
                <w:sz w:val="14"/>
                <w:szCs w:val="14"/>
                <w:color w:val="auto"/>
              </w:rPr>
              <w:t>Taxable</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4,290.8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2,614.1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680" w:type="dxa"/>
            <w:vAlign w:val="bottom"/>
          </w:tcPr>
          <w:p>
            <w:pPr>
              <w:ind w:left="280"/>
              <w:spacing w:after="0"/>
              <w:rPr>
                <w:sz w:val="20"/>
                <w:szCs w:val="20"/>
                <w:color w:val="auto"/>
              </w:rPr>
            </w:pPr>
            <w:r>
              <w:rPr>
                <w:rFonts w:ascii="Arial" w:cs="Arial" w:eastAsia="Arial" w:hAnsi="Arial"/>
                <w:sz w:val="14"/>
                <w:szCs w:val="14"/>
                <w:color w:val="auto"/>
              </w:rPr>
              <w:t>2.19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4,150.2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2,658.3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680" w:type="dxa"/>
            <w:vAlign w:val="bottom"/>
          </w:tcPr>
          <w:p>
            <w:pPr>
              <w:ind w:left="28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Non-Taxable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0.1</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4.27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4.45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4.27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0.7</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62"/>
        </w:trPr>
        <w:tc>
          <w:tcPr>
            <w:tcW w:w="2660" w:type="dxa"/>
            <w:vAlign w:val="bottom"/>
            <w:gridSpan w:val="2"/>
          </w:tcPr>
          <w:p>
            <w:pPr>
              <w:ind w:left="260"/>
              <w:spacing w:after="0"/>
              <w:rPr>
                <w:sz w:val="20"/>
                <w:szCs w:val="20"/>
                <w:color w:val="auto"/>
              </w:rPr>
            </w:pPr>
            <w:r>
              <w:rPr>
                <w:rFonts w:ascii="Arial" w:cs="Arial" w:eastAsia="Arial" w:hAnsi="Arial"/>
                <w:sz w:val="14"/>
                <w:szCs w:val="14"/>
                <w:color w:val="auto"/>
              </w:rPr>
              <w:t>Held-to-Maturity</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Taxable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3,496.2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13.4</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1.53</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2,957.6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16.4</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2.22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3,441.3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26.5</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1.54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2,996.9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35.4</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62"/>
        </w:trPr>
        <w:tc>
          <w:tcPr>
            <w:tcW w:w="2660" w:type="dxa"/>
            <w:vAlign w:val="bottom"/>
            <w:gridSpan w:val="2"/>
          </w:tcPr>
          <w:p>
            <w:pPr>
              <w:ind w:left="500"/>
              <w:spacing w:after="0"/>
              <w:rPr>
                <w:sz w:val="20"/>
                <w:szCs w:val="20"/>
                <w:color w:val="auto"/>
              </w:rPr>
            </w:pPr>
            <w:r>
              <w:rPr>
                <w:rFonts w:ascii="Arial" w:cs="Arial" w:eastAsia="Arial" w:hAnsi="Arial"/>
                <w:sz w:val="14"/>
                <w:szCs w:val="14"/>
                <w:color w:val="auto"/>
              </w:rPr>
              <w:t>Non-Taxable</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680" w:type="dxa"/>
            <w:vAlign w:val="bottom"/>
          </w:tcPr>
          <w:p>
            <w:pPr>
              <w:ind w:left="280"/>
              <w:spacing w:after="0"/>
              <w:rPr>
                <w:sz w:val="20"/>
                <w:szCs w:val="20"/>
                <w:color w:val="auto"/>
              </w:rPr>
            </w:pPr>
            <w:r>
              <w:rPr>
                <w:rFonts w:ascii="Arial" w:cs="Arial" w:eastAsia="Arial" w:hAnsi="Arial"/>
                <w:sz w:val="14"/>
                <w:szCs w:val="14"/>
                <w:color w:val="auto"/>
              </w:rPr>
              <w:t>2.66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rPr>
              <w:t>2.54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680" w:type="dxa"/>
            <w:vAlign w:val="bottom"/>
          </w:tcPr>
          <w:p>
            <w:pPr>
              <w:ind w:left="280"/>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55"/>
        </w:trPr>
        <w:tc>
          <w:tcPr>
            <w:tcW w:w="2600" w:type="dxa"/>
            <w:vAlign w:val="bottom"/>
            <w:tcBorders>
              <w:top w:val="single" w:sz="8" w:color="CFF0FC"/>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Total Investment Securities</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7,840.8</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30.1</w:t>
            </w:r>
          </w:p>
        </w:tc>
        <w:tc>
          <w:tcPr>
            <w:tcW w:w="68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1.54</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5,658.3</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31.5</w:t>
            </w:r>
          </w:p>
        </w:tc>
        <w:tc>
          <w:tcPr>
            <w:tcW w:w="680" w:type="dxa"/>
            <w:vAlign w:val="bottom"/>
            <w:tcBorders>
              <w:top w:val="single" w:sz="8" w:color="auto"/>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2.22</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7,643.6</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59.4</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1.55</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5,742.0</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67.6</w:t>
            </w:r>
          </w:p>
        </w:tc>
        <w:tc>
          <w:tcPr>
            <w:tcW w:w="680" w:type="dxa"/>
            <w:vAlign w:val="bottom"/>
            <w:tcBorders>
              <w:top w:val="single" w:sz="8" w:color="auto"/>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6"/>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Loans Held for Sale</w:t>
            </w: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25.7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6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2.86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680" w:type="dxa"/>
            <w:vAlign w:val="bottom"/>
          </w:tcPr>
          <w:p>
            <w:pPr>
              <w:ind w:left="280"/>
              <w:spacing w:after="0" w:line="155" w:lineRule="exact"/>
              <w:rPr>
                <w:sz w:val="20"/>
                <w:szCs w:val="20"/>
                <w:color w:val="auto"/>
              </w:rPr>
            </w:pPr>
            <w:r>
              <w:rPr>
                <w:rFonts w:ascii="Arial" w:cs="Arial" w:eastAsia="Arial" w:hAnsi="Arial"/>
                <w:sz w:val="14"/>
                <w:szCs w:val="14"/>
                <w:color w:val="auto"/>
              </w:rPr>
              <w:t>3.24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25.9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3"/>
                <w:szCs w:val="13"/>
                <w:color w:val="auto"/>
              </w:rPr>
            </w:pPr>
          </w:p>
        </w:tc>
        <w:tc>
          <w:tcPr>
            <w:tcW w:w="540" w:type="dxa"/>
            <w:vAlign w:val="bottom"/>
          </w:tcPr>
          <w:p>
            <w:pPr>
              <w:ind w:left="140"/>
              <w:spacing w:after="0" w:line="155" w:lineRule="exact"/>
              <w:rPr>
                <w:sz w:val="20"/>
                <w:szCs w:val="20"/>
                <w:color w:val="auto"/>
              </w:rPr>
            </w:pPr>
            <w:r>
              <w:rPr>
                <w:rFonts w:ascii="Arial" w:cs="Arial" w:eastAsia="Arial" w:hAnsi="Arial"/>
                <w:sz w:val="14"/>
                <w:szCs w:val="14"/>
                <w:color w:val="auto"/>
              </w:rPr>
              <w:t>2.81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0.4</w:t>
            </w:r>
          </w:p>
        </w:tc>
        <w:tc>
          <w:tcPr>
            <w:tcW w:w="680" w:type="dxa"/>
            <w:vAlign w:val="bottom"/>
          </w:tcPr>
          <w:p>
            <w:pPr>
              <w:ind w:left="280"/>
              <w:spacing w:after="0" w:line="155"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 xml:space="preserve">Loans and Leases </w:t>
            </w:r>
            <w:r>
              <w:rPr>
                <w:rFonts w:ascii="Arial" w:cs="Arial" w:eastAsia="Arial" w:hAnsi="Arial"/>
                <w:sz w:val="12"/>
                <w:szCs w:val="12"/>
                <w:color w:val="auto"/>
              </w:rPr>
              <w:t>1</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60"/>
              <w:spacing w:after="0"/>
              <w:rPr>
                <w:sz w:val="20"/>
                <w:szCs w:val="20"/>
                <w:color w:val="auto"/>
              </w:rPr>
            </w:pPr>
            <w:r>
              <w:rPr>
                <w:rFonts w:ascii="Arial" w:cs="Arial" w:eastAsia="Arial" w:hAnsi="Arial"/>
                <w:sz w:val="14"/>
                <w:szCs w:val="14"/>
                <w:color w:val="auto"/>
              </w:rPr>
              <w:t>Commercial and Industrial</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1,934.5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3.49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1,963.8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680" w:type="dxa"/>
            <w:vAlign w:val="bottom"/>
          </w:tcPr>
          <w:p>
            <w:pPr>
              <w:ind w:left="280"/>
              <w:spacing w:after="0"/>
              <w:rPr>
                <w:sz w:val="20"/>
                <w:szCs w:val="20"/>
                <w:color w:val="auto"/>
              </w:rPr>
            </w:pPr>
            <w:r>
              <w:rPr>
                <w:rFonts w:ascii="Arial" w:cs="Arial" w:eastAsia="Arial" w:hAnsi="Arial"/>
                <w:sz w:val="14"/>
                <w:szCs w:val="14"/>
                <w:color w:val="auto"/>
              </w:rPr>
              <w:t>3.67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1,919.5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rPr>
              <w:t>3.27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1,686.5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680" w:type="dxa"/>
            <w:vAlign w:val="bottom"/>
          </w:tcPr>
          <w:p>
            <w:pPr>
              <w:ind w:left="280"/>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Commercial Mortgage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2,883.5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21.3</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2.96</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2,622.9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22.3</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3.42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2,864.9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42.6</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3.00</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2,586.2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47.4</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62"/>
        </w:trPr>
        <w:tc>
          <w:tcPr>
            <w:tcW w:w="2660" w:type="dxa"/>
            <w:vAlign w:val="bottom"/>
            <w:gridSpan w:val="2"/>
          </w:tcPr>
          <w:p>
            <w:pPr>
              <w:ind w:left="260"/>
              <w:spacing w:after="0"/>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285.6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3.66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255.8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680" w:type="dxa"/>
            <w:vAlign w:val="bottom"/>
          </w:tcPr>
          <w:p>
            <w:pPr>
              <w:ind w:left="280"/>
              <w:spacing w:after="0"/>
              <w:rPr>
                <w:sz w:val="20"/>
                <w:szCs w:val="20"/>
                <w:color w:val="auto"/>
              </w:rPr>
            </w:pPr>
            <w:r>
              <w:rPr>
                <w:rFonts w:ascii="Arial" w:cs="Arial" w:eastAsia="Arial" w:hAnsi="Arial"/>
                <w:sz w:val="14"/>
                <w:szCs w:val="14"/>
                <w:color w:val="auto"/>
              </w:rPr>
              <w:t>3.93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rPr>
              <w:t>3.57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234.6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680" w:type="dxa"/>
            <w:vAlign w:val="bottom"/>
          </w:tcPr>
          <w:p>
            <w:pPr>
              <w:ind w:left="280"/>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Commercial Lease Financing</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0.5</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1.88</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106.1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1.48</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111.1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2"/>
        </w:trPr>
        <w:tc>
          <w:tcPr>
            <w:tcW w:w="2660" w:type="dxa"/>
            <w:vAlign w:val="bottom"/>
            <w:gridSpan w:val="2"/>
          </w:tcPr>
          <w:p>
            <w:pPr>
              <w:ind w:left="260"/>
              <w:spacing w:after="0"/>
              <w:rPr>
                <w:sz w:val="20"/>
                <w:szCs w:val="20"/>
                <w:color w:val="auto"/>
              </w:rPr>
            </w:pPr>
            <w:r>
              <w:rPr>
                <w:rFonts w:ascii="Arial" w:cs="Arial" w:eastAsia="Arial" w:hAnsi="Arial"/>
                <w:sz w:val="14"/>
                <w:szCs w:val="14"/>
                <w:color w:val="auto"/>
              </w:rPr>
              <w:t>Residential Mortgage</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4,234.3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3,939.6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36.0</w:t>
            </w:r>
          </w:p>
        </w:tc>
        <w:tc>
          <w:tcPr>
            <w:tcW w:w="680" w:type="dxa"/>
            <w:vAlign w:val="bottom"/>
          </w:tcPr>
          <w:p>
            <w:pPr>
              <w:ind w:left="280"/>
              <w:spacing w:after="0"/>
              <w:rPr>
                <w:sz w:val="20"/>
                <w:szCs w:val="20"/>
                <w:color w:val="auto"/>
              </w:rPr>
            </w:pPr>
            <w:r>
              <w:rPr>
                <w:rFonts w:ascii="Arial" w:cs="Arial" w:eastAsia="Arial" w:hAnsi="Arial"/>
                <w:sz w:val="14"/>
                <w:szCs w:val="14"/>
                <w:color w:val="auto"/>
              </w:rPr>
              <w:t>3.65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4,190.7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71.4</w:t>
            </w:r>
          </w:p>
        </w:tc>
        <w:tc>
          <w:tcPr>
            <w:tcW w:w="14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rPr>
              <w:t>3.41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3,917.5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680" w:type="dxa"/>
            <w:vAlign w:val="bottom"/>
          </w:tcPr>
          <w:p>
            <w:pPr>
              <w:ind w:left="280"/>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Home Equity</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1,573.4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12.1</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1,665.2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14.3</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3.45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1,583.7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24.7</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3.14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1,672.7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29.5</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62"/>
        </w:trPr>
        <w:tc>
          <w:tcPr>
            <w:tcW w:w="2660" w:type="dxa"/>
            <w:vAlign w:val="bottom"/>
            <w:gridSpan w:val="2"/>
          </w:tcPr>
          <w:p>
            <w:pPr>
              <w:ind w:left="260"/>
              <w:spacing w:after="0"/>
              <w:rPr>
                <w:sz w:val="20"/>
                <w:szCs w:val="20"/>
                <w:color w:val="auto"/>
              </w:rPr>
            </w:pPr>
            <w:r>
              <w:rPr>
                <w:rFonts w:ascii="Arial" w:cs="Arial" w:eastAsia="Arial" w:hAnsi="Arial"/>
                <w:sz w:val="14"/>
                <w:szCs w:val="14"/>
                <w:color w:val="auto"/>
              </w:rPr>
              <w:t>Automobile</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710.4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3.45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701.2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680" w:type="dxa"/>
            <w:vAlign w:val="bottom"/>
          </w:tcPr>
          <w:p>
            <w:pPr>
              <w:ind w:left="280"/>
              <w:spacing w:after="0"/>
              <w:rPr>
                <w:sz w:val="20"/>
                <w:szCs w:val="20"/>
                <w:color w:val="auto"/>
              </w:rPr>
            </w:pPr>
            <w:r>
              <w:rPr>
                <w:rFonts w:ascii="Arial" w:cs="Arial" w:eastAsia="Arial" w:hAnsi="Arial"/>
                <w:sz w:val="14"/>
                <w:szCs w:val="14"/>
                <w:color w:val="auto"/>
              </w:rPr>
              <w:t>3.55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709.3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4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rPr>
              <w:t>3.48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711.1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680" w:type="dxa"/>
            <w:vAlign w:val="bottom"/>
          </w:tcPr>
          <w:p>
            <w:pPr>
              <w:ind w:left="280"/>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gridSpan w:val="2"/>
            <w:shd w:val="clear" w:color="auto" w:fill="CFF0FC"/>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2"/>
                <w:szCs w:val="12"/>
                <w:color w:val="auto"/>
              </w:rPr>
              <w:t>2</w:t>
            </w: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368.9</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w:t>
            </w: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6.53</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468.2</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7.9</w:t>
            </w:r>
          </w:p>
        </w:tc>
        <w:tc>
          <w:tcPr>
            <w:tcW w:w="68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4"/>
                <w:szCs w:val="14"/>
                <w:color w:val="auto"/>
              </w:rPr>
              <w:t>6.77</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375.7</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12.4</w:t>
            </w: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6.64</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474.5</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16.3</w:t>
            </w:r>
          </w:p>
        </w:tc>
        <w:tc>
          <w:tcPr>
            <w:tcW w:w="68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Loans and Leases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12,096.3</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100.9</w:t>
            </w: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3.34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11,727.6</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107.6</w:t>
            </w:r>
          </w:p>
        </w:tc>
        <w:tc>
          <w:tcPr>
            <w:tcW w:w="68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3.68</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12,024.8</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200.2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3.35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11,394.2</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215.9</w:t>
            </w:r>
          </w:p>
        </w:tc>
        <w:tc>
          <w:tcPr>
            <w:tcW w:w="68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32.3</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6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2.26</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34.0</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0.1</w:t>
            </w:r>
          </w:p>
        </w:tc>
        <w:tc>
          <w:tcPr>
            <w:tcW w:w="680" w:type="dxa"/>
            <w:vAlign w:val="bottom"/>
            <w:tcBorders>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1.47</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32.9</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0.4</w:t>
            </w: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2.24</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34.2</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0.3</w:t>
            </w:r>
          </w:p>
        </w:tc>
        <w:tc>
          <w:tcPr>
            <w:tcW w:w="680" w:type="dxa"/>
            <w:vAlign w:val="bottom"/>
            <w:tcBorders>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 xml:space="preserve">Total Earning Assets </w:t>
            </w:r>
            <w:r>
              <w:rPr>
                <w:rFonts w:ascii="Arial" w:cs="Arial" w:eastAsia="Arial" w:hAnsi="Arial"/>
                <w:sz w:val="12"/>
                <w:szCs w:val="12"/>
                <w:b w:val="1"/>
                <w:bCs w:val="1"/>
                <w:color w:val="auto"/>
              </w:rPr>
              <w:t>3</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20,943.5</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131.7</w:t>
            </w: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2.52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17,991.8</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139.5</w:t>
            </w:r>
          </w:p>
        </w:tc>
        <w:tc>
          <w:tcPr>
            <w:tcW w:w="68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3.11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20,479.4</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260.8</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2.56</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5"/>
              </w:rPr>
              <w:t>17,545.0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284.8</w:t>
            </w:r>
          </w:p>
        </w:tc>
        <w:tc>
          <w:tcPr>
            <w:tcW w:w="68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55"/>
        </w:trPr>
        <w:tc>
          <w:tcPr>
            <w:tcW w:w="26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Cash and Due From Banks</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256.1</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302.4</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263.4</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290.6</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874.0</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895.4</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871.9</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870.5</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22,073.6</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19,189.6</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21,614.7</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18,706.1</w:t>
            </w: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Interest-Bearing Liabilities</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Interest-Bearing Deposits</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60"/>
              <w:spacing w:after="0"/>
              <w:rPr>
                <w:sz w:val="20"/>
                <w:szCs w:val="20"/>
                <w:color w:val="auto"/>
              </w:rPr>
            </w:pPr>
            <w:r>
              <w:rPr>
                <w:rFonts w:ascii="Arial" w:cs="Arial" w:eastAsia="Arial" w:hAnsi="Arial"/>
                <w:sz w:val="14"/>
                <w:szCs w:val="14"/>
                <w:color w:val="auto"/>
              </w:rPr>
              <w:t>Demand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4,452.4</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0.07%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3,226.6</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820" w:type="dxa"/>
            <w:vAlign w:val="bottom"/>
            <w:gridSpan w:val="3"/>
          </w:tcPr>
          <w:p>
            <w:pPr>
              <w:ind w:left="280"/>
              <w:spacing w:after="0"/>
              <w:rPr>
                <w:sz w:val="20"/>
                <w:szCs w:val="20"/>
                <w:color w:val="auto"/>
              </w:rPr>
            </w:pPr>
            <w:r>
              <w:rPr>
                <w:rFonts w:ascii="Arial" w:cs="Arial" w:eastAsia="Arial" w:hAnsi="Arial"/>
                <w:sz w:val="14"/>
                <w:szCs w:val="14"/>
                <w:color w:val="auto"/>
              </w:rPr>
              <w:t>0.07%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4,320.2</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680" w:type="dxa"/>
            <w:vAlign w:val="bottom"/>
            <w:gridSpan w:val="3"/>
          </w:tcPr>
          <w:p>
            <w:pPr>
              <w:ind w:left="140"/>
              <w:spacing w:after="0"/>
              <w:rPr>
                <w:sz w:val="20"/>
                <w:szCs w:val="20"/>
                <w:color w:val="auto"/>
              </w:rPr>
            </w:pPr>
            <w:r>
              <w:rPr>
                <w:rFonts w:ascii="Arial" w:cs="Arial" w:eastAsia="Arial" w:hAnsi="Arial"/>
                <w:sz w:val="14"/>
                <w:szCs w:val="14"/>
                <w:color w:val="auto"/>
              </w:rPr>
              <w:t>0.06% $</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3,168.3</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680" w:type="dxa"/>
            <w:vAlign w:val="bottom"/>
          </w:tcPr>
          <w:p>
            <w:pPr>
              <w:ind w:left="280"/>
              <w:spacing w:after="0"/>
              <w:rPr>
                <w:sz w:val="20"/>
                <w:szCs w:val="20"/>
                <w:color w:val="auto"/>
              </w:rPr>
            </w:pPr>
            <w:r>
              <w:rPr>
                <w:rFonts w:ascii="Arial" w:cs="Arial" w:eastAsia="Arial" w:hAnsi="Arial"/>
                <w:sz w:val="14"/>
                <w:szCs w:val="14"/>
                <w:color w:val="auto"/>
                <w:w w:val="95"/>
              </w:rPr>
              <w:t>0.10%</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Savings</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7,533.0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0.09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6,691.4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0.13</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7,276.2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0.09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6,596.9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Time</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1,418.4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1,826.8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1.13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1,523.6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0.52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1,784.9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Interest-Bearing Deposits</w:t>
            </w: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13,403.8</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4.2</w:t>
            </w:r>
          </w:p>
        </w:tc>
        <w:tc>
          <w:tcPr>
            <w:tcW w:w="6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0.12</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11,744.8</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8.0</w:t>
            </w:r>
          </w:p>
        </w:tc>
        <w:tc>
          <w:tcPr>
            <w:tcW w:w="680" w:type="dxa"/>
            <w:vAlign w:val="bottom"/>
            <w:tcBorders>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0.27</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13,120.0</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8.5</w:t>
            </w: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0.13</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11,550.1</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22.2</w:t>
            </w:r>
          </w:p>
        </w:tc>
        <w:tc>
          <w:tcPr>
            <w:tcW w:w="680" w:type="dxa"/>
            <w:vAlign w:val="bottom"/>
            <w:tcBorders>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56"/>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Short-Term Borrowings</w:t>
            </w: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9"/>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57.6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ind w:left="280"/>
              <w:spacing w:after="0" w:line="155" w:lineRule="exact"/>
              <w:rPr>
                <w:sz w:val="20"/>
                <w:szCs w:val="20"/>
                <w:color w:val="auto"/>
              </w:rPr>
            </w:pPr>
            <w:r>
              <w:rPr>
                <w:rFonts w:ascii="Arial" w:cs="Arial" w:eastAsia="Arial" w:hAnsi="Arial"/>
                <w:sz w:val="14"/>
                <w:szCs w:val="14"/>
                <w:color w:val="auto"/>
              </w:rPr>
              <w:t>0.28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ind w:left="140"/>
              <w:spacing w:after="0" w:line="155" w:lineRule="exact"/>
              <w:rPr>
                <w:sz w:val="20"/>
                <w:szCs w:val="20"/>
                <w:color w:val="auto"/>
              </w:rPr>
            </w:pPr>
            <w:r>
              <w:rPr>
                <w:rFonts w:ascii="Arial" w:cs="Arial" w:eastAsia="Arial" w:hAnsi="Arial"/>
                <w:sz w:val="14"/>
                <w:szCs w:val="14"/>
                <w:color w:val="auto"/>
              </w:rPr>
              <w:t>0.09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57.7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680" w:type="dxa"/>
            <w:vAlign w:val="bottom"/>
          </w:tcPr>
          <w:p>
            <w:pPr>
              <w:ind w:left="280"/>
              <w:spacing w:after="0" w:line="155"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43"/>
        </w:trPr>
        <w:tc>
          <w:tcPr>
            <w:tcW w:w="26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Securities Sold Under Agreements to</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Repurchase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570.3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602.9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2.64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585.3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2.38</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603.5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w:t>
            </w:r>
          </w:p>
        </w:tc>
        <w:tc>
          <w:tcPr>
            <w:tcW w:w="6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Debt</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2.91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2.56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14,004.3</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7.9</w:t>
            </w:r>
          </w:p>
        </w:tc>
        <w:tc>
          <w:tcPr>
            <w:tcW w:w="6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0.22</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12,465.8</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12.5</w:t>
            </w:r>
          </w:p>
        </w:tc>
        <w:tc>
          <w:tcPr>
            <w:tcW w:w="680" w:type="dxa"/>
            <w:vAlign w:val="bottom"/>
            <w:tcBorders>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0.40</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13,751.8</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16.1</w:t>
            </w: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0.23</w:t>
            </w: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5"/>
              </w:rPr>
              <w:t>12,275.0</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31.4</w:t>
            </w:r>
          </w:p>
        </w:tc>
        <w:tc>
          <w:tcPr>
            <w:tcW w:w="680" w:type="dxa"/>
            <w:vAlign w:val="bottom"/>
            <w:tcBorders>
              <w:bottom w:val="single" w:sz="8" w:color="auto"/>
            </w:tcBorders>
            <w:shd w:val="clear" w:color="auto" w:fill="CFF0FC"/>
          </w:tcPr>
          <w:p>
            <w:pPr>
              <w:ind w:left="280"/>
              <w:spacing w:after="0" w:line="155"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95"/>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Net Interest Income</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123.8</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127.0</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244.7</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253.4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60" w:type="dxa"/>
            <w:vAlign w:val="bottom"/>
            <w:tcBorders>
              <w:top w:val="single" w:sz="8" w:color="CFF0FC"/>
            </w:tcBorders>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Interest Rate Spread</w:t>
            </w: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2.30%</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ind w:left="280"/>
              <w:spacing w:after="0" w:line="143" w:lineRule="exact"/>
              <w:rPr>
                <w:sz w:val="20"/>
                <w:szCs w:val="20"/>
                <w:color w:val="auto"/>
              </w:rPr>
            </w:pPr>
            <w:r>
              <w:rPr>
                <w:rFonts w:ascii="Arial" w:cs="Arial" w:eastAsia="Arial" w:hAnsi="Arial"/>
                <w:sz w:val="14"/>
                <w:szCs w:val="14"/>
                <w:color w:val="auto"/>
                <w:w w:val="95"/>
              </w:rPr>
              <w:t>2.71%</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CFF0FC"/>
            </w:tcBorders>
            <w:shd w:val="clear" w:color="auto" w:fill="CFF0FC"/>
          </w:tcPr>
          <w:p>
            <w:pPr>
              <w:ind w:left="140"/>
              <w:spacing w:after="0" w:line="143" w:lineRule="exact"/>
              <w:rPr>
                <w:sz w:val="20"/>
                <w:szCs w:val="20"/>
                <w:color w:val="auto"/>
              </w:rPr>
            </w:pPr>
            <w:r>
              <w:rPr>
                <w:rFonts w:ascii="Arial" w:cs="Arial" w:eastAsia="Arial" w:hAnsi="Arial"/>
                <w:sz w:val="14"/>
                <w:szCs w:val="14"/>
                <w:color w:val="auto"/>
                <w:w w:val="95"/>
              </w:rPr>
              <w:t>2.33%</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ind w:left="280"/>
              <w:spacing w:after="0" w:line="143" w:lineRule="exact"/>
              <w:rPr>
                <w:sz w:val="20"/>
                <w:szCs w:val="20"/>
                <w:color w:val="auto"/>
              </w:rPr>
            </w:pPr>
            <w:r>
              <w:rPr>
                <w:rFonts w:ascii="Arial" w:cs="Arial" w:eastAsia="Arial" w:hAnsi="Arial"/>
                <w:sz w:val="14"/>
                <w:szCs w:val="14"/>
                <w:color w:val="auto"/>
                <w:w w:val="95"/>
              </w:rPr>
              <w:t>2.75%</w:t>
            </w:r>
          </w:p>
        </w:tc>
        <w:tc>
          <w:tcPr>
            <w:tcW w:w="0" w:type="dxa"/>
            <w:vAlign w:val="bottom"/>
          </w:tcPr>
          <w:p>
            <w:pPr>
              <w:spacing w:after="0"/>
              <w:rPr>
                <w:sz w:val="1"/>
                <w:szCs w:val="1"/>
                <w:color w:val="auto"/>
              </w:rPr>
            </w:pPr>
          </w:p>
        </w:tc>
      </w:tr>
      <w:tr>
        <w:trPr>
          <w:trHeight w:val="162"/>
        </w:trPr>
        <w:tc>
          <w:tcPr>
            <w:tcW w:w="2660" w:type="dxa"/>
            <w:vAlign w:val="bottom"/>
            <w:gridSpan w:val="2"/>
          </w:tcPr>
          <w:p>
            <w:pPr>
              <w:ind w:left="260"/>
              <w:spacing w:after="0"/>
              <w:rPr>
                <w:sz w:val="20"/>
                <w:szCs w:val="20"/>
                <w:color w:val="auto"/>
              </w:rPr>
            </w:pPr>
            <w:r>
              <w:rPr>
                <w:rFonts w:ascii="Arial" w:cs="Arial" w:eastAsia="Arial" w:hAnsi="Arial"/>
                <w:sz w:val="14"/>
                <w:szCs w:val="14"/>
                <w:color w:val="auto"/>
              </w:rPr>
              <w:t>Net Interest Margin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Arial" w:cs="Arial" w:eastAsia="Arial" w:hAnsi="Arial"/>
                <w:sz w:val="14"/>
                <w:szCs w:val="14"/>
                <w:color w:val="auto"/>
                <w:w w:val="95"/>
              </w:rPr>
              <w:t>2.83%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w w:val="95"/>
              </w:rPr>
              <w:t>2.40%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Arial" w:cs="Arial" w:eastAsia="Arial" w:hAnsi="Arial"/>
                <w:sz w:val="14"/>
                <w:szCs w:val="14"/>
                <w:color w:val="auto"/>
                <w:w w:val="95"/>
              </w:rPr>
              <w:t>2.90%</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Noninterest-Bearing Demand Deposits</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6,294.5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4,934.7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6,064.6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4,698.5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361.9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403.1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1,412.9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1,351.3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1,395.2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1,332.6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Total Liabilities and Shareholders’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gridSpan w:val="2"/>
          </w:tcPr>
          <w:p>
            <w:pPr>
              <w:ind w:left="12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22,073.6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19,189.6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3"/>
          </w:tcPr>
          <w:p>
            <w:pPr>
              <w:ind w:left="74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21,614.7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60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18,706.1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1"/>
          <w:szCs w:val="11"/>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234" w:lineRule="auto"/>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Comprised of other consumer revolving credit, installment, and consumer lease financing.</w:t>
      </w:r>
    </w:p>
    <w:p>
      <w:pPr>
        <w:ind w:left="180" w:right="20" w:hanging="175"/>
        <w:spacing w:after="0" w:line="256"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Interest income includes taxable-equivalent basis adjustments, based upon a federal statutory tax rate of 21%, of $0.3 million and $0.5 million for the three and six months ended June 30, 2021, and $0.4 million and $0.7</w:t>
      </w:r>
      <w:r>
        <w:rPr>
          <w:rFonts w:ascii="Arial" w:cs="Arial" w:eastAsia="Arial" w:hAnsi="Arial"/>
          <w:sz w:val="11"/>
          <w:szCs w:val="11"/>
          <w:color w:val="auto"/>
        </w:rPr>
        <w:t xml:space="preserve"> </w:t>
      </w:r>
      <w:r>
        <w:rPr>
          <w:rFonts w:ascii="Arial" w:cs="Arial" w:eastAsia="Arial" w:hAnsi="Arial"/>
          <w:sz w:val="12"/>
          <w:szCs w:val="12"/>
          <w:color w:val="auto"/>
        </w:rPr>
        <w:t>million for the three and six months ended June 30,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52"/>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Analysis of Change in Net Interest Income - Taxable-Equivalent Basis</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4</w:t>
            </w:r>
          </w:p>
        </w:tc>
      </w:tr>
      <w:tr>
        <w:trPr>
          <w:trHeight w:val="207"/>
        </w:trPr>
        <w:tc>
          <w:tcPr>
            <w:tcW w:w="11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Six Months Ended June 30, 2021</w:t>
            </w:r>
          </w:p>
        </w:tc>
        <w:tc>
          <w:tcPr>
            <w:tcW w:w="920" w:type="dxa"/>
            <w:vAlign w:val="bottom"/>
          </w:tcPr>
          <w:p>
            <w:pPr>
              <w:spacing w:after="0"/>
              <w:rPr>
                <w:sz w:val="17"/>
                <w:szCs w:val="17"/>
                <w:color w:val="auto"/>
              </w:rPr>
            </w:pPr>
          </w:p>
        </w:tc>
      </w:tr>
      <w:tr>
        <w:trPr>
          <w:trHeight w:val="219"/>
        </w:trPr>
        <w:tc>
          <w:tcPr>
            <w:tcW w:w="11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Compared to June 30, 2020</w:t>
            </w:r>
          </w:p>
        </w:tc>
        <w:tc>
          <w:tcPr>
            <w:tcW w:w="920" w:type="dxa"/>
            <w:vAlign w:val="bottom"/>
            <w:tcBorders>
              <w:bottom w:val="single" w:sz="8" w:color="auto"/>
            </w:tcBorders>
          </w:tcPr>
          <w:p>
            <w:pPr>
              <w:spacing w:after="0"/>
              <w:rPr>
                <w:sz w:val="19"/>
                <w:szCs w:val="19"/>
                <w:color w:val="auto"/>
              </w:rPr>
            </w:pPr>
          </w:p>
        </w:tc>
      </w:tr>
      <w:tr>
        <w:trPr>
          <w:trHeight w:val="239"/>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(dollars in millions)</w:t>
            </w:r>
          </w:p>
        </w:tc>
        <w:tc>
          <w:tcPr>
            <w:tcW w:w="9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line="240" w:lineRule="exact"/>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27"/>
                <w:szCs w:val="27"/>
                <w:b w:val="1"/>
                <w:bCs w:val="1"/>
                <w:color w:val="auto"/>
                <w:vertAlign w:val="superscript"/>
              </w:rPr>
              <w:t>1</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9"/>
              <w:spacing w:after="0" w:line="240" w:lineRule="exact"/>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7"/>
                <w:szCs w:val="27"/>
                <w:b w:val="1"/>
                <w:bCs w:val="1"/>
                <w:color w:val="auto"/>
                <w:vertAlign w:val="superscript"/>
              </w:rPr>
              <w:t>1</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Change in Interest Income: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5740" w:type="dxa"/>
            <w:vAlign w:val="bottom"/>
            <w:gridSpan w:val="2"/>
          </w:tcPr>
          <w:p>
            <w:pPr>
              <w:spacing w:after="0"/>
              <w:rPr>
                <w:sz w:val="20"/>
                <w:szCs w:val="20"/>
                <w:color w:val="auto"/>
              </w:rPr>
            </w:pPr>
            <w:r>
              <w:rPr>
                <w:rFonts w:ascii="Arial" w:cs="Arial" w:eastAsia="Arial" w:hAnsi="Arial"/>
                <w:sz w:val="16"/>
                <w:szCs w:val="16"/>
                <w:color w:val="auto"/>
              </w:rPr>
              <w:t>Funds Sold</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26"/>
        </w:trPr>
        <w:tc>
          <w:tcPr>
            <w:tcW w:w="5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9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r>
      <w:tr>
        <w:trPr>
          <w:trHeight w:val="210"/>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Available-for-Sale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11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57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Taxable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13.6</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(12.3)</w:t>
            </w: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w:t>
            </w:r>
          </w:p>
        </w:tc>
      </w:tr>
      <w:tr>
        <w:trPr>
          <w:trHeight w:val="213"/>
        </w:trPr>
        <w:tc>
          <w:tcPr>
            <w:tcW w:w="5740" w:type="dxa"/>
            <w:vAlign w:val="bottom"/>
            <w:gridSpan w:val="2"/>
          </w:tcPr>
          <w:p>
            <w:pPr>
              <w:ind w:left="500"/>
              <w:spacing w:after="0"/>
              <w:rPr>
                <w:sz w:val="20"/>
                <w:szCs w:val="20"/>
                <w:color w:val="auto"/>
              </w:rPr>
            </w:pPr>
            <w:r>
              <w:rPr>
                <w:rFonts w:ascii="Arial" w:cs="Arial" w:eastAsia="Arial" w:hAnsi="Arial"/>
                <w:sz w:val="16"/>
                <w:szCs w:val="16"/>
                <w:color w:val="auto"/>
              </w:rPr>
              <w:t>Non-Taxable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5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Held-to-Maturity</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13"/>
        </w:trPr>
        <w:tc>
          <w:tcPr>
            <w:tcW w:w="5740" w:type="dxa"/>
            <w:vAlign w:val="bottom"/>
            <w:gridSpan w:val="2"/>
          </w:tcPr>
          <w:p>
            <w:pPr>
              <w:ind w:left="500"/>
              <w:spacing w:after="0"/>
              <w:rPr>
                <w:sz w:val="20"/>
                <w:szCs w:val="20"/>
                <w:color w:val="auto"/>
              </w:rPr>
            </w:pPr>
            <w:r>
              <w:rPr>
                <w:rFonts w:ascii="Arial" w:cs="Arial" w:eastAsia="Arial" w:hAnsi="Arial"/>
                <w:sz w:val="16"/>
                <w:szCs w:val="16"/>
                <w:color w:val="auto"/>
              </w:rPr>
              <w:t>Taxable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5740" w:type="dxa"/>
            <w:vAlign w:val="bottom"/>
            <w:tcBorders>
              <w:bottom w:val="single" w:sz="8" w:color="auto"/>
            </w:tcBorders>
            <w:gridSpan w:val="2"/>
            <w:shd w:val="clear" w:color="auto" w:fill="CFF0FC"/>
          </w:tcPr>
          <w:p>
            <w:pPr>
              <w:ind w:left="500"/>
              <w:spacing w:after="0"/>
              <w:rPr>
                <w:sz w:val="20"/>
                <w:szCs w:val="20"/>
                <w:color w:val="auto"/>
              </w:rPr>
            </w:pPr>
            <w:r>
              <w:rPr>
                <w:rFonts w:ascii="Arial" w:cs="Arial" w:eastAsia="Arial" w:hAnsi="Arial"/>
                <w:sz w:val="16"/>
                <w:szCs w:val="16"/>
                <w:color w:val="auto"/>
              </w:rPr>
              <w:t>Non-Taxable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Investment Securities</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Loans Held for Sale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0.1</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gridSpan w:val="2"/>
          </w:tcPr>
          <w:p>
            <w:pPr>
              <w:spacing w:after="0"/>
              <w:rPr>
                <w:sz w:val="20"/>
                <w:szCs w:val="20"/>
                <w:color w:val="auto"/>
              </w:rPr>
            </w:pPr>
            <w:r>
              <w:rPr>
                <w:rFonts w:ascii="Arial" w:cs="Arial" w:eastAsia="Arial" w:hAnsi="Arial"/>
                <w:sz w:val="16"/>
                <w:szCs w:val="16"/>
                <w:color w:val="auto"/>
              </w:rPr>
              <w:t>Loans and Leases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Commercial Mortgage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0.8</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(0.9)</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Commercial Lease Financing</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(6.4)</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Home Equity</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(0.3)</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5740" w:type="dxa"/>
            <w:vAlign w:val="bottom"/>
            <w:tcBorders>
              <w:bottom w:val="single" w:sz="8" w:color="auto"/>
            </w:tcBorders>
            <w:gridSpan w:val="2"/>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07"/>
        </w:trPr>
        <w:tc>
          <w:tcPr>
            <w:tcW w:w="57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Total Loans and Leases</w:t>
            </w:r>
          </w:p>
        </w:tc>
        <w:tc>
          <w:tcPr>
            <w:tcW w:w="9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9.4</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(25.1)</w:t>
            </w:r>
          </w:p>
        </w:tc>
        <w:tc>
          <w:tcPr>
            <w:tcW w:w="6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w:t>
            </w:r>
          </w:p>
        </w:tc>
      </w:tr>
      <w:tr>
        <w:trPr>
          <w:trHeight w:val="209"/>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r>
      <w:tr>
        <w:trPr>
          <w:trHeight w:val="210"/>
        </w:trPr>
        <w:tc>
          <w:tcPr>
            <w:tcW w:w="57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Change in Interest Income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27.6</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(51.6)</w:t>
            </w:r>
          </w:p>
        </w:tc>
        <w:tc>
          <w:tcPr>
            <w:tcW w:w="6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w:t>
            </w:r>
          </w:p>
        </w:tc>
      </w:tr>
      <w:tr>
        <w:trPr>
          <w:trHeight w:val="209"/>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Change in Interest Expense: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Demand</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Savings</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0.9</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57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Time</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09"/>
        </w:trPr>
        <w:tc>
          <w:tcPr>
            <w:tcW w:w="57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Total Interest-Bearing Deposits</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(13.5)</w:t>
            </w:r>
          </w:p>
        </w:tc>
        <w:tc>
          <w:tcPr>
            <w:tcW w:w="6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w:t>
            </w:r>
          </w:p>
        </w:tc>
      </w:tr>
      <w:tr>
        <w:trPr>
          <w:trHeight w:val="210"/>
        </w:trPr>
        <w:tc>
          <w:tcPr>
            <w:tcW w:w="574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Securities Sold Under Agreements to Repurchase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Debt</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57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Change in Interest Expense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(14.5)</w:t>
            </w:r>
          </w:p>
        </w:tc>
        <w:tc>
          <w:tcPr>
            <w:tcW w:w="6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w:t>
            </w:r>
          </w:p>
        </w:tc>
      </w:tr>
      <w:tr>
        <w:trPr>
          <w:trHeight w:val="210"/>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Change in Net Interest Income</w:t>
            </w:r>
          </w:p>
        </w:tc>
        <w:tc>
          <w:tcPr>
            <w:tcW w:w="13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28.4</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w:t>
            </w: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2"/>
          <w:szCs w:val="12"/>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consumer revolving credit, installment, and consumer lease financing.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 The lower margin in 2021 was primarily due to lower yields on investment securities and loans and leases. These decreases were partially offset by a higher level of earning assets and lower funding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Yields on our earning assets decreased by 59 basis points in the second quarter of 2021 and by 70 basis points in the first six months of 2021 compared to the same periods in 2020 primarily due to the lower rate environment. Yields on our investment securities portfolio decreased by 68 basis points in the second quarter of 2021 and by 80 basis points in the first six months of 2021 compared to the same periods in 2020 primarily due to higher premium amortization coupled with purchases of lower yielding securities. Yield decreases in our construction, commercial mortgage, and commercial and industrial loans were primarily due to lower yields on floating rate loans. Yields on our construction loans decreased by 27 basis points in the second quarter of 2021 and by 69 basis points in the first six months of 2021 compared to the same periods in 2020 primarily due to lower yields on floating-rate loans, and new loans with lower rates in comparison to loans that were paid off or transferred to commercial mortgage upon completion. Yields on our commercial mortgage loans decreased by 46 basis points in the second quarter of 2021 and by 69 basis points in the first six months of 2021 compared to the same periods in 2020. Similar to our construction loans, commercial mortgage loan yields were negatively impacted by lower yields on floating-rate loans, and new loans with lower rates than loans that were paid off. These decreases were partially offset by interest recoveries in the current year. Yields on our commercial and industrial loans excluding PPP loans decreased by 32 basis points in the second quarter of 2021 and by 55 basis points in the first six months of 2021 compared to the same periods in 2020 primarily due to lower yields on floating-rate loans coupled with new loans at lower rates than loans that were paid off. Contractual yields on PPP loans are fixed at 1%, however, effective yield varies based on processing fee income being accelerated due to loans being forgiven by the SBA ahead of maturity. The contribution to the earning asset yield for the current quarter was an increase of 14 basis points. Yields on our funds sold was relatively unchanged in the second quarter of 2021 compared to the same period in 2020. Yields on our funds sold decreased by 25 basis points in the first six months of 2021 compared to the same period in 2020 primarily due to federal fund rate decreases.</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Interest rates paid on our interest-bearing liabilities decreased by 18 basis points in the second quarter of 2021 and by 28 basis points in the first six months of 2021 compared to the same periods in 2020. Decreases to our funding costs are primarily due to lower rates paid on our interest-bearing deposits. Securities sold under agreements to repurchase decreased by 23 basis points in the second quarter of 2021 and by 26 basis points in the first six months of 2021 compared to the same periods in 2020. In May 2021, we terminated two of our repurchase agreements with an aggregated total of $50.0</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million. These repurchase agreements were scheduled to mature in 2024 and 2026. The repurchase agreements had a weighted-average interest rate of 1.35%. The decrease in our funding costs were partially offset by higher average balances in our interest-bearing deposits. The average balance of our interest bearing demand deposits increased by $1.2 billion or 38% in the second quarter of 2021 and by $1.2 billion or 36% in the first six months of 2021 compared to the same periods in 2020. The average balance of savings deposits increased by $841.6 million or 13% in the second quarter of 2021 and by $679.3 million or 10% in the first six months of 2021 compared to the same periods in 2020.</w:t>
      </w:r>
    </w:p>
    <w:p>
      <w:pPr>
        <w:spacing w:after="0" w:line="13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Average balances of our earning assets increased by $3.0 billion or 16% in the second quarter of 2021 and by $2.9 billion or 17% in the first six months of 2021 compared to the same periods in 2020 primarily due to an increase in the average balances of our investment securities. Average balance of investment securities increased by $2.2 billion or 39% in the second quarter of 2021 and by $1.9 billion or 33% in the first six months compared to the same periods in 2020. Average balances of our loan and lease portfolio increased by $368.7 million in the second quarter of 2021 and by $630.6 million or 6% in the first six months of 2021 compared to the same periods in 2020. The average balance of funds sold increased by $400.3 million in the second quarter of 2021 and by $400.2 million in the first six months of 2021 compared to the same periods in 2020. The average balance of our commercial mortgage portfolio increased by $260.6 million in the second quarter of 2021 and by $278.7 million in the first six months of 2021 compared to the same periods in 2020 as a result of continued demand from new and existing customers. The average balance in our residential mortgage portfolio increased by $294.7 million in the second quarter of 2021 and by $273.2 million in the first six months of 2021 compared to the same periods in 2020 primarily due to higher loan originations partially offset by an increase in payoff activity. The average balance of our commercial and industrial portfolio including PPP loans, was relatively unchanged in the second quarter of 2021 compared to the same period in 2020. The average balance of our commercial and industrial portfolio including PPP loans, increased by $233.0 million in the first six months of 2021 compared to the same periods in 2020 primarily due to origination of new loans under the PPP, partially offset by payoff activity. The average balance of our home equity portfolio decreased by $91.8 million in the second quarter of 2021 and by $89.0 million in the first six months of 2021 compared to the same periods in 2020 as a result of elevated runoff rates and lower utilization rates.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Average balances of our interest-bearing liabilities increased by $1.5 billion or 12% in the second quarter of 2021 and by $1.5 billion or 12% in the first six months of 2021 compared to the same periods in 2020 primarily due to growth in our demand and savings products. Average balance in our core interest bearing deposit products increased by $2.1 billion in the second quarter of 2021 and by $1.8 billion in the first six months of 2021 compared to the same periods in 2020. Average balances of our other debt, which was comprised primarily of Federal Home Loan Bank (“FHLB”) advances decreased by $30.3 million or 50% in the second quarter of 2021 and by $18.4 million or 29% in the first six months of 2021 compared to the same periods in 2020 primarily due to the prepayment of FHLB advances totaling $50.0 million in the second quarter of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Noninterest Income</w:t>
            </w: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Table 5</w:t>
            </w:r>
          </w:p>
        </w:tc>
      </w:tr>
      <w:tr>
        <w:trPr>
          <w:trHeight w:val="207"/>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Borders>
              <w:bottom w:val="single" w:sz="8" w:color="auto"/>
            </w:tcBorders>
          </w:tcPr>
          <w:p>
            <w:pPr>
              <w:spacing w:after="0"/>
              <w:rPr>
                <w:sz w:val="17"/>
                <w:szCs w:val="17"/>
                <w:color w:val="auto"/>
              </w:rPr>
            </w:pPr>
          </w:p>
        </w:tc>
      </w:tr>
      <w:tr>
        <w:trPr>
          <w:trHeight w:val="212"/>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Change</w:t>
            </w: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Trust and Asset Management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11,682</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10,550</w:t>
            </w:r>
          </w:p>
        </w:tc>
        <w:tc>
          <w:tcPr>
            <w:tcW w:w="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1,132</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22,960</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21,465</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1,495</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Mortgage Banking</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3,058</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4,278</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8,920</w:t>
            </w:r>
          </w:p>
        </w:tc>
        <w:tc>
          <w:tcPr>
            <w:tcW w:w="3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6,973</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1,947</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Service Charges on Deposit Accounts</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6,065</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5,097</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12,193</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12,548</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Fees, Exchange, and Other Service Charges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13,807</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9,417</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4,390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27,414</w:t>
            </w:r>
          </w:p>
        </w:tc>
        <w:tc>
          <w:tcPr>
            <w:tcW w:w="3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22,617</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4,797</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Gains, Net</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2,423</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13,216</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(10,793)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1,220</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12,246</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(11,026)</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Annuity and Insurance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883</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1,613</w:t>
            </w:r>
          </w:p>
        </w:tc>
        <w:tc>
          <w:tcPr>
            <w:tcW w:w="3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1,811</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Bank-Owned Life Insurance</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2,063</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1,649</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3,980</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3,229</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751</w:t>
            </w:r>
          </w:p>
        </w:tc>
      </w:tr>
      <w:tr>
        <w:trPr>
          <w:trHeight w:val="213"/>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4,422</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6,178</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9,101</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16,528</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w:t>
            </w:r>
          </w:p>
        </w:tc>
      </w:tr>
      <w:tr>
        <w:trPr>
          <w:trHeight w:val="210"/>
        </w:trPr>
        <w:tc>
          <w:tcPr>
            <w:tcW w:w="3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Income</w:t>
            </w:r>
          </w:p>
        </w:tc>
        <w:tc>
          <w:tcPr>
            <w:tcW w:w="11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44,431</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51,268</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(6,837)</w:t>
            </w:r>
          </w:p>
        </w:tc>
        <w:tc>
          <w:tcPr>
            <w:tcW w:w="3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87,401</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97,417</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(10,016)</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$11.0 billion and $9.9 billion as of June 30, 2021, and, June 30, 2020, respectively. Trust and asset management income increased by $1.1 million or 11% in the second quarter of 2021 and by $1.5 million or 7% for the first six months of 2021 compared to the same periods in 2020 primarily due to increases in market value and trust fees.</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Mortgage banking income is highly influenced by mortgage interest rates, the housing market, the amount of our loan sales, and our valuation of mortgage servicing rights. Mortgage banking income decreased by $1.2 million or 29% in the second quarter of 2021 compared to the same period in 2020. This decrease was primarily due to valuation adjustments recorded for our mortgage servicing rights. During the second quarter of 2021, we recognized a $1.1 million valuation impairment to our mortgage servicing rights compared to a $0.7 million valuation allowance recovery recorded in the second quarter of 2020. Mortgage banking income increased by $1.9 million or 28% for the first six months of 2021 compared to the same period in 2020. For the first six months of 2021, we recognized a $1.1 million valuation allowance recovery to our mortgage servicing rights compared to a $1.8 million valuation impairment to our mortgage servicing rights recorded in 2020. The increase was offset by lower conforming salable loans from current production.</w:t>
      </w:r>
    </w:p>
    <w:p>
      <w:pPr>
        <w:spacing w:after="0" w:line="12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Service charges on deposit accounts increased by $1.0 million or 19% in the second quarter of 2021 compared to the same period in 2020 primarily due to an increase in overdraft fees. Service charges on deposit accounts decreased by $0.4 million or 3% for the first six months of 2021 compared to the same period in 2020 primarily due to a decrease in overdraft fees.</w:t>
      </w:r>
    </w:p>
    <w:p>
      <w:pPr>
        <w:spacing w:after="0" w:line="15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Fees, exchange, and other service charges, which are primarily comprised of debit and credit card income, fees from ATMs, merchant service activity, and other loan fees and service charges, increased by $4.4 million or 47% in the second quarter of 2021 and by $4.8 million or 21% for the first six months of 2021 compared to the same periods in 2020. These increases were primarily due to higher ATM and debit card transaction volume.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Investment securities gains, net totaled $2.4 million in the second quarter of 2021 compared to $13.2 million during the same period in 2020. The net gain in second quarter of 2021 was primarily due to the sales of mortgage-backed securities and corporate debt securities. The net gain in the second quarter of 2020 was primarily due to the sale of 80,214 Visa Class B shares. These net gains in the first six months of 2021 and 2020 were partially offset by fees paid to the counterparties of our prior Visa Class B share sale transactions.</w:t>
      </w:r>
    </w:p>
    <w:p>
      <w:pPr>
        <w:spacing w:after="0" w:line="16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Annuity and insurance income remained relatively unchanged in the second quarter of 2021 compared to the same period in 2020. Annuity and insurance income decreased by $0.2 million or 11% for the first six months of 2021 compared to the same period in 2020 primarily due to a decrease in annuity and life insurance products sold.</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Bank-owned life insurance increased by $0.4 million or 25% in the second quarter of 2021 and by $0.8 million or 23% for the first six months of 2021 compared to the same periods in 2020. These increases were primarily due to an increase in death benefits received.</w:t>
      </w:r>
    </w:p>
    <w:p>
      <w:pPr>
        <w:spacing w:after="0" w:line="13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Other noninterest income decreased by $1.8 million or 28% in the second quarter of 2021 and by $7.4 million or 45% for the first six months of 2021 compared to the same periods in 2020. These decreases were primarily due to a decrease in fees related to our customer interest rate swap derivatives.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Noninterest Expense</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Table 6</w:t>
            </w:r>
          </w:p>
        </w:tc>
      </w:tr>
      <w:tr>
        <w:trPr>
          <w:trHeight w:val="207"/>
        </w:trPr>
        <w:tc>
          <w:tcPr>
            <w:tcW w:w="4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Borders>
              <w:bottom w:val="single" w:sz="8" w:color="auto"/>
            </w:tcBorders>
          </w:tcPr>
          <w:p>
            <w:pPr>
              <w:spacing w:after="0"/>
              <w:rPr>
                <w:sz w:val="17"/>
                <w:szCs w:val="17"/>
                <w:color w:val="auto"/>
              </w:rPr>
            </w:pPr>
          </w:p>
        </w:tc>
      </w:tr>
      <w:tr>
        <w:trPr>
          <w:trHeight w:val="212"/>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Change</w:t>
            </w:r>
          </w:p>
        </w:tc>
      </w:tr>
      <w:tr>
        <w:trPr>
          <w:trHeight w:val="212"/>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Salaries</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33,413</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32,739</w:t>
            </w:r>
          </w:p>
        </w:tc>
        <w:tc>
          <w:tcPr>
            <w:tcW w:w="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674</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64,982</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66,225</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(1,243)</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Incentive Compensation</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5,172</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3,141</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11,086</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3,386</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7,700</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3,174</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2,021</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5,758</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3,312</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2,446</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Commission Expense</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2,599</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1,647</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5,035</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3,021</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2,014</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Retirement and Other Benefits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5,289</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4,446</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10,806</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9,152</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1,654</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Payroll Taxes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3,026</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2,782</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6,994</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7,325</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Medical, Dental, and Life Insurance</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3,204</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3,830</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5,628</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7,972</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(2,344)</w:t>
            </w:r>
          </w:p>
        </w:tc>
      </w:tr>
      <w:tr>
        <w:trPr>
          <w:trHeight w:val="213"/>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Separation Expense</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2,123</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4,785</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r>
      <w:tr>
        <w:trPr>
          <w:trHeight w:val="209"/>
        </w:trPr>
        <w:tc>
          <w:tcPr>
            <w:tcW w:w="4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Salaries and Benefits</w:t>
            </w:r>
          </w:p>
        </w:tc>
        <w:tc>
          <w:tcPr>
            <w:tcW w:w="4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56,161</w:t>
            </w: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50,715</w:t>
            </w:r>
          </w:p>
        </w:tc>
        <w:tc>
          <w:tcPr>
            <w:tcW w:w="4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5,446</w:t>
            </w:r>
          </w:p>
        </w:tc>
        <w:tc>
          <w:tcPr>
            <w:tcW w:w="1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112,412</w:t>
            </w: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105,178</w:t>
            </w:r>
          </w:p>
        </w:tc>
        <w:tc>
          <w:tcPr>
            <w:tcW w:w="4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7,234</w:t>
            </w: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auto"/>
              </w:rPr>
              <w:t>Net Occupancy</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5,047</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8,761</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14,137</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17,716</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(3,579)</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Net Equipment</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8,796</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8,195</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17,674</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16,651</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1,023</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Data Processing</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4,557</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4,416</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10,879</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9,204</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1,675</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3,114</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3,061</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6,520</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6,269</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FDIC Insurance</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1,669</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1,558</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3,323</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3,014</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309</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Other Expense:</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Delivery and Postage Services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1,693</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1,773</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3,341</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3,751</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Mileage Program Travel</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1,208</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1,009</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2,368</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2,169</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w:t>
            </w: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Merchant Transaction and Card Processing Fees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814</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2,357</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2,180</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177</w:t>
            </w: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Advertising</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2,018</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1,450</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4,330</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3,409</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921</w:t>
            </w: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Amortization of Solar Energy Partnership Investments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512</w:t>
            </w:r>
          </w:p>
        </w:tc>
        <w:tc>
          <w:tcPr>
            <w:tcW w:w="40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716</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1,024</w:t>
            </w:r>
          </w:p>
        </w:tc>
        <w:tc>
          <w:tcPr>
            <w:tcW w:w="3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1,432</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6"/>
        </w:trPr>
        <w:tc>
          <w:tcPr>
            <w:tcW w:w="4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10,493</w:t>
            </w: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6,424</w:t>
            </w:r>
          </w:p>
        </w:tc>
        <w:tc>
          <w:tcPr>
            <w:tcW w:w="4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4,069</w:t>
            </w:r>
          </w:p>
        </w:tc>
        <w:tc>
          <w:tcPr>
            <w:tcW w:w="1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17,027</w:t>
            </w: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14,231</w:t>
            </w:r>
          </w:p>
        </w:tc>
        <w:tc>
          <w:tcPr>
            <w:tcW w:w="4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2,796</w:t>
            </w: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Other Expense</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17,183</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12,186</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30,447</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27,172</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3,275</w:t>
            </w:r>
          </w:p>
        </w:tc>
      </w:tr>
      <w:tr>
        <w:trPr>
          <w:trHeight w:val="210"/>
        </w:trPr>
        <w:tc>
          <w:tcPr>
            <w:tcW w:w="4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Expense</w:t>
            </w:r>
          </w:p>
        </w:tc>
        <w:tc>
          <w:tcPr>
            <w:tcW w:w="70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96,527</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88,892</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7,635</w:t>
            </w:r>
          </w:p>
        </w:tc>
        <w:tc>
          <w:tcPr>
            <w:tcW w:w="3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195,392</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185,204</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10,188</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salaries and benefits expense increased by $5.4 million or 11% in the second quarter of 2021 compared to the same period in 2020 due in part to a</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$2.0 million increase in incentive compensation. Share-based compensation increased by $1.2 million primarily due to a higher number of restricted stock units being amortized. Commission expense increased by $1.0 million primarily due to an increase in both loan origination and refinance activity. Total salaries and benefits expense increased by $7.2 million or 7% for the first six months of 2021 compared to the same period in 2020 primarily due to a $7.7 million increase in incentive compensation coupled with a $2.4 million increase in share-based compensation due to a higher number of restricted stock units being amortized. These increases were partially offset by a $2.7 million decrease in separation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occupancy expense decreased by $3.7 million or 42% in the second quarter of 2021 and by $3.6 million or 20% for the first six months of 2021 compared to the same periods in 2020. This decrease was primarily due to a $3.1 million gain on sale of real estate property on the island of Oahu during the second quarter of 2021 coupled with a $0.6 million decrease in repairs and maintenance for the first six months of 2021 compared to the same periods in 2020.</w:t>
      </w:r>
    </w:p>
    <w:p>
      <w:pPr>
        <w:spacing w:after="0" w:line="1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equipment expense increased by $0.6 million or 7% in the second quarter of 2021 and by $1.0 million or 6% for the first six months of 2021 compared to the same periods in 2020. This increase was due to higher depreciation expense.</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Data processing expense increased by $0.1 million or 3% in the second quarter of 2021 compared to the same period in 2020 due to increased information technology projects. Data processing expense increased by $1.7 million or 18% for the first six months of 2021 compared to the same period in 2020 primarily due to the rollout of contactless cards in the first quarter of 2021.</w:t>
      </w:r>
    </w:p>
    <w:p>
      <w:pPr>
        <w:spacing w:after="0" w:line="1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FDIC insurance expense increased by $0.1 million or 7% in the second quarter of 2021 and by $0.3 million or 10% for the first six months of 2021 compared to the same periods in 2020 primarily due to an increase in assessment rates.</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other expense increased by $5.0 million or 41% in the second quarter of 2021 compared to the same period in 2020. This increase was primarily due to $3.2 million early termination costs incurred in the second quarter of 2021 related to the prepayment of $50.0 million of repurchase agreements and $50.0 million of FHLB advances. Total other expense increased by $3.3 million or 12% for the first six months of 2021 compared to the same period in 2020 due to the aforementioned $3.2 million early termination costs incurred in the second quarter of 2021 related to the prepayment of $50.0 million of repurchase agreements and $50.0 million of FHLB advances.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207"/>
        </w:trPr>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7"/>
                <w:szCs w:val="17"/>
                <w:color w:val="auto"/>
              </w:rPr>
            </w:pPr>
          </w:p>
        </w:tc>
        <w:tc>
          <w:tcPr>
            <w:tcW w:w="26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2"/>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2"/>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19,985</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9,759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39,010</w:t>
            </w:r>
          </w:p>
        </w:tc>
        <w:tc>
          <w:tcPr>
            <w:tcW w:w="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17,220</w:t>
            </w:r>
          </w:p>
        </w:tc>
      </w:tr>
      <w:tr>
        <w:trPr>
          <w:trHeight w:val="210"/>
        </w:trPr>
        <w:tc>
          <w:tcPr>
            <w:tcW w:w="5320" w:type="dxa"/>
            <w:vAlign w:val="bottom"/>
          </w:tcPr>
          <w:p>
            <w:pPr>
              <w:spacing w:after="0"/>
              <w:rPr>
                <w:sz w:val="20"/>
                <w:szCs w:val="20"/>
                <w:color w:val="auto"/>
              </w:rPr>
            </w:pPr>
            <w:r>
              <w:rPr>
                <w:rFonts w:ascii="Arial" w:cs="Arial" w:eastAsia="Arial" w:hAnsi="Arial"/>
                <w:sz w:val="16"/>
                <w:szCs w:val="16"/>
                <w:color w:val="auto"/>
              </w:rPr>
              <w:t>Effective Tax Rates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22.84%</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23.43%</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18.95%</w:t>
            </w:r>
          </w:p>
        </w:tc>
      </w:tr>
    </w:tbl>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provision for income taxes was $20.0 million in the second quarter of 2021, an increase of $10.2 million compared to the same period in 2020. The effective tax rate for the second quarter of 2021 was 22.84%, up from 20.05% for the same period in 2020. The higher effective rate in the second quarter of 2021 compared to the same period in 2020 was primarily due to higher pretax book income. The total tax adjustments were relatively the same in both periods.</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provision for income taxes was $39.0 million for the first six months of 2021, an increase of $21.8 million compared to the same period in 2020. The effective tax rate for the first six months of 2021 was 23.43%, up from 18.95% for the same period in 2020. The higher effective tax rate for the first six months of 2021 compared to the same period in 2020 was primarily due to the aforementioned higher pretax book income compared to a consistent amount of tax adjustments.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our investment securities portfolio was $8.5 billion and $7.1 billion as of June 30, 2021, and December 31, 2020, respectively.</w:t>
      </w:r>
    </w:p>
    <w:p>
      <w:pPr>
        <w:spacing w:after="0" w:line="1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60"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Mortgage-backed securities issued by Ginnie Mae, Fannie Mae, and Freddie Mac are the largest concentration in our portfolio. As of June 30, 2021, our portfolio of Ginnie Mae, Fannie Mae, and Freddie Mac mortgage-backed securities were primarily comprised of securities issued in 2008 or later. As of June 30, 2021, these mortgage-backed securities were all AAA-rated, with a low probability of a change in their credit ratings in the near future.</w:t>
      </w:r>
    </w:p>
    <w:p>
      <w:pPr>
        <w:spacing w:after="0" w:line="10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Gross unrealized gains in our investment securities portfolio were $93.4 million as of June 30, 2021, and $158.9 million as of December 31, 2020. Gross unrealized losses in our investment securities were $74.6 million as of June 30, 2021, and $2.9 million as of December 31, 2020. The overall decrease in net unrealized gains was primarily due to the increase in interest rates during 2021. The gross unrealized losses were primarily related to mortgage-backed securities issued by Ginnie Mae, Fannie Mae, and Freddie Mac. See Note 3 to the Consolidated Financial Statements for more information.</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Loan and Lease Portfolio Balances</w:t>
            </w:r>
          </w:p>
        </w:tc>
        <w:tc>
          <w:tcPr>
            <w:tcW w:w="2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8</w:t>
            </w:r>
          </w:p>
        </w:tc>
      </w:tr>
      <w:tr>
        <w:trPr>
          <w:trHeight w:val="199"/>
        </w:trPr>
        <w:tc>
          <w:tcPr>
            <w:tcW w:w="4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3"/>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2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22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1,257,305</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1,357,610</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(100,305)</w:t>
            </w:r>
          </w:p>
        </w:tc>
      </w:tr>
      <w:tr>
        <w:trPr>
          <w:trHeight w:val="219"/>
        </w:trPr>
        <w:tc>
          <w:tcPr>
            <w:tcW w:w="432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PPP </w:t>
            </w:r>
            <w:r>
              <w:rPr>
                <w:rFonts w:ascii="Arial" w:cs="Arial" w:eastAsia="Arial" w:hAnsi="Arial"/>
                <w:sz w:val="25"/>
                <w:szCs w:val="25"/>
                <w:color w:val="auto"/>
                <w:vertAlign w:val="superscript"/>
              </w:rPr>
              <w:t>1</w:t>
            </w:r>
          </w:p>
        </w:tc>
        <w:tc>
          <w:tcPr>
            <w:tcW w:w="2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513,513</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517,683</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(4,170)</w:t>
            </w: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228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2,944,435</w:t>
            </w:r>
          </w:p>
        </w:tc>
        <w:tc>
          <w:tcPr>
            <w:tcW w:w="4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2,854,829</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89,606</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2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277,393</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259,798</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17,595</w:t>
            </w:r>
          </w:p>
        </w:tc>
      </w:tr>
      <w:tr>
        <w:trPr>
          <w:trHeight w:val="213"/>
        </w:trPr>
        <w:tc>
          <w:tcPr>
            <w:tcW w:w="43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2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110,500</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110,766</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209"/>
        </w:trPr>
        <w:tc>
          <w:tcPr>
            <w:tcW w:w="4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2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5,103,146</w:t>
            </w:r>
          </w:p>
        </w:tc>
        <w:tc>
          <w:tcPr>
            <w:tcW w:w="4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5,100,686</w:t>
            </w:r>
          </w:p>
        </w:tc>
        <w:tc>
          <w:tcPr>
            <w:tcW w:w="6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2,460</w:t>
            </w:r>
          </w:p>
        </w:tc>
      </w:tr>
      <w:tr>
        <w:trPr>
          <w:trHeight w:val="210"/>
        </w:trPr>
        <w:tc>
          <w:tcPr>
            <w:tcW w:w="4320" w:type="dxa"/>
            <w:vAlign w:val="bottom"/>
          </w:tcPr>
          <w:p>
            <w:pPr>
              <w:spacing w:after="0"/>
              <w:rPr>
                <w:sz w:val="20"/>
                <w:szCs w:val="20"/>
                <w:color w:val="auto"/>
              </w:rPr>
            </w:pPr>
            <w:r>
              <w:rPr>
                <w:rFonts w:ascii="Arial" w:cs="Arial" w:eastAsia="Arial" w:hAnsi="Arial"/>
                <w:sz w:val="16"/>
                <w:szCs w:val="16"/>
                <w:color w:val="auto"/>
              </w:rPr>
              <w:t>Consumer</w:t>
            </w: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2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4,264,180</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4,130,513</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133,667</w:t>
            </w: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228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1,594,781</w:t>
            </w:r>
          </w:p>
        </w:tc>
        <w:tc>
          <w:tcPr>
            <w:tcW w:w="4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1,604,538</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(9,757)</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2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714,729</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708,800</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5,929</w:t>
            </w:r>
          </w:p>
        </w:tc>
      </w:tr>
      <w:tr>
        <w:trPr>
          <w:trHeight w:val="216"/>
        </w:trPr>
        <w:tc>
          <w:tcPr>
            <w:tcW w:w="432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2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364,542</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395,483</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(30,941)</w:t>
            </w:r>
          </w:p>
        </w:tc>
      </w:tr>
      <w:tr>
        <w:trPr>
          <w:trHeight w:val="207"/>
        </w:trPr>
        <w:tc>
          <w:tcPr>
            <w:tcW w:w="4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2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6,938,232</w:t>
            </w:r>
          </w:p>
        </w:tc>
        <w:tc>
          <w:tcPr>
            <w:tcW w:w="4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6,839,334</w:t>
            </w:r>
          </w:p>
        </w:tc>
        <w:tc>
          <w:tcPr>
            <w:tcW w:w="6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98,898</w:t>
            </w:r>
          </w:p>
        </w:tc>
      </w:tr>
      <w:tr>
        <w:trPr>
          <w:trHeight w:val="210"/>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2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12,041,378</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11,940,020</w:t>
            </w:r>
          </w:p>
        </w:tc>
        <w:tc>
          <w:tcPr>
            <w:tcW w:w="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101,358</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2"/>
          <w:szCs w:val="12"/>
          <w:color w:val="auto"/>
        </w:rPr>
      </w:pPr>
      <w:r>
        <w:rPr>
          <w:rFonts w:ascii="Arial" w:cs="Arial" w:eastAsia="Arial" w:hAnsi="Arial"/>
          <w:sz w:val="14"/>
          <w:szCs w:val="14"/>
          <w:color w:val="auto"/>
        </w:rPr>
        <w:t>The PPP amounts presented, which are reported net of deferred costs and fees, were previously included as a component of the Commercial and Industrial loan class.</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installment, and lease financing.</w:t>
      </w:r>
    </w:p>
    <w:p>
      <w:pPr>
        <w:spacing w:after="0" w:line="1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loans and leases as of June 30, 2021, increased by $101.4 million, or 1%, from December 31, 2020, primarily due to growth in our consumer lending portfolio.</w:t>
      </w:r>
    </w:p>
    <w:p>
      <w:pPr>
        <w:spacing w:after="0" w:line="13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Commercial loans and leases as of June 30, 2021, remained relatively unchanged from December 31, 2020. Commercial and industrial loans decreased by $100.3 million or 7% from December 31, 2020, primarily due to customers paying down commercial credit lines. PPP loans remained relatively unchanged from December 31, 2020 as new loans originated in 2021 were substantially offset by loans which were forgiven during the same</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period. Commercial mortgage loans increased by $89.6 million or 3% from December 31, 2020, primarily due to demand from new and existing customers. Construction loans increased by $17.6 million or 7% from December 31, 2020, primarily due to an increase in construction activity in our market. Lease financing remained relatively unchanged from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Consumer loans and leases as of June 30, 2021, increased by $98.9 million or 1% from December 31, 2020. Residential mortgage loans increased by</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$133.7 million or 3% from December 31, 2020, primarily due to higher loan originations, partially offset by an increase in payoff activity. Home equity decreased by $9.8 million or 1% from December 31, 2020, as a result of elevated runoff rates. Automobile loans remained relatively unchanged from December 31, 2020. Other consumer loans decreased by $30.9 million or 8% from December 31, 2020, primarily due to pay-off activity in our installment loans.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Table 9 presents the composition of our loan and lease portfolio by geographic area and by major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Geographic Distribution of Loan and Lease Portfolio</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9</w:t>
            </w:r>
          </w:p>
        </w:tc>
      </w:tr>
      <w:tr>
        <w:trPr>
          <w:trHeight w:val="199"/>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U.S.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Pacific</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Hawaii</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 xml:space="preserve">Mainland </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Islands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Commercial</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1,057,749</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123,353</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70,209</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5,994</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1,257,305</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PPP</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467,181</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22,931</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18,023</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5,378</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513,513</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2,567,132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135,951</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241,352</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2,944,435</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277,393</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277,393</w:t>
            </w:r>
          </w:p>
        </w:tc>
      </w:tr>
      <w:tr>
        <w:trPr>
          <w:trHeight w:val="216"/>
        </w:trPr>
        <w:tc>
          <w:tcPr>
            <w:tcW w:w="44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9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73,209</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33,005</w:t>
            </w: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4,286</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110,500</w:t>
            </w:r>
          </w:p>
        </w:tc>
      </w:tr>
      <w:tr>
        <w:trPr>
          <w:trHeight w:val="209"/>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4,442,664</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315,240</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333,870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11,372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5,103,146</w:t>
            </w: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4,184,168</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79,178</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834</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4,264,180</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1,556,588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38,126</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1,594,781</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542,894</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141,191</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30,644</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714,729</w:t>
            </w:r>
          </w:p>
        </w:tc>
      </w:tr>
      <w:tr>
        <w:trPr>
          <w:trHeight w:val="219"/>
        </w:trPr>
        <w:tc>
          <w:tcPr>
            <w:tcW w:w="44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304,179</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42,237</w:t>
            </w:r>
          </w:p>
        </w:tc>
        <w:tc>
          <w:tcPr>
            <w:tcW w:w="4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18,126</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364,542</w:t>
            </w:r>
          </w:p>
        </w:tc>
      </w:tr>
      <w:tr>
        <w:trPr>
          <w:trHeight w:val="207"/>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6,587,829</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300,732</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49,604</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6,938,232</w:t>
            </w:r>
          </w:p>
        </w:tc>
      </w:tr>
      <w:tr>
        <w:trPr>
          <w:trHeight w:val="210"/>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w:t>
            </w: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11,030,493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315,307</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634,602</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60,976</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12,041,378</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444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6"/>
        </w:trPr>
        <w:tc>
          <w:tcPr>
            <w:tcW w:w="444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Commercial and Industrial </w:t>
            </w:r>
            <w:r>
              <w:rPr>
                <w:rFonts w:ascii="Arial" w:cs="Arial" w:eastAsia="Arial" w:hAnsi="Arial"/>
                <w:sz w:val="25"/>
                <w:szCs w:val="25"/>
                <w:color w:val="auto"/>
                <w:vertAlign w:val="superscript"/>
              </w:rPr>
              <w:t>3</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1,143,863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133,766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72,326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7,655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1,357,610</w:t>
            </w:r>
          </w:p>
        </w:tc>
      </w:tr>
      <w:tr>
        <w:trPr>
          <w:trHeight w:val="216"/>
        </w:trPr>
        <w:tc>
          <w:tcPr>
            <w:tcW w:w="444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PPP </w:t>
            </w:r>
            <w:r>
              <w:rPr>
                <w:rFonts w:ascii="Arial" w:cs="Arial" w:eastAsia="Arial" w:hAnsi="Arial"/>
                <w:sz w:val="25"/>
                <w:szCs w:val="25"/>
                <w:color w:val="auto"/>
                <w:vertAlign w:val="superscript"/>
              </w:rPr>
              <w:t>3</w:t>
            </w:r>
          </w:p>
        </w:tc>
        <w:tc>
          <w:tcPr>
            <w:tcW w:w="9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479,445</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11,355</w:t>
            </w: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21,153</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5,730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517,683</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2,470,031</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138,690</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246,108</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2,854,829</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259,798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259,798</w:t>
            </w:r>
          </w:p>
        </w:tc>
      </w:tr>
      <w:tr>
        <w:trPr>
          <w:trHeight w:val="213"/>
        </w:trPr>
        <w:tc>
          <w:tcPr>
            <w:tcW w:w="44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72,090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37,342</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1,334</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110,766</w:t>
            </w:r>
          </w:p>
        </w:tc>
      </w:tr>
      <w:tr>
        <w:trPr>
          <w:trHeight w:val="210"/>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9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4,425,227</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321,153</w:t>
            </w: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340,921</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13,385</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5,100,686</w:t>
            </w:r>
          </w:p>
        </w:tc>
      </w:tr>
      <w:tr>
        <w:trPr>
          <w:trHeight w:val="210"/>
        </w:trPr>
        <w:tc>
          <w:tcPr>
            <w:tcW w:w="4440" w:type="dxa"/>
            <w:vAlign w:val="bottom"/>
          </w:tcPr>
          <w:p>
            <w:pPr>
              <w:spacing w:after="0"/>
              <w:rPr>
                <w:sz w:val="20"/>
                <w:szCs w:val="20"/>
                <w:color w:val="auto"/>
              </w:rPr>
            </w:pPr>
            <w:r>
              <w:rPr>
                <w:rFonts w:ascii="Arial" w:cs="Arial" w:eastAsia="Arial" w:hAnsi="Arial"/>
                <w:sz w:val="16"/>
                <w:szCs w:val="16"/>
                <w:color w:val="auto"/>
              </w:rPr>
              <w:t>Consumer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4,048,831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80,774</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4,130,513</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1,565,546</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38,823</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1,604,538</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542,056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140,740</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26,004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708,800</w:t>
            </w:r>
          </w:p>
        </w:tc>
      </w:tr>
      <w:tr>
        <w:trPr>
          <w:trHeight w:val="216"/>
        </w:trPr>
        <w:tc>
          <w:tcPr>
            <w:tcW w:w="44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325,526</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48,316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21,641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395,483</w:t>
            </w:r>
          </w:p>
        </w:tc>
      </w:tr>
      <w:tr>
        <w:trPr>
          <w:trHeight w:val="206"/>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9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6,481,959</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308,653</w:t>
            </w: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48,633</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6,839,334</w:t>
            </w:r>
          </w:p>
        </w:tc>
      </w:tr>
      <w:tr>
        <w:trPr>
          <w:trHeight w:val="21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10,907,186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321,242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649,574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62,018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11,940,020</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right="180" w:hanging="172"/>
        <w:spacing w:after="0" w:line="230" w:lineRule="auto"/>
        <w:tabs>
          <w:tab w:leader="none" w:pos="180" w:val="left"/>
        </w:tabs>
        <w:numPr>
          <w:ilvl w:val="0"/>
          <w:numId w:val="38"/>
        </w:numPr>
        <w:rPr>
          <w:rFonts w:ascii="Arial" w:cs="Arial" w:eastAsia="Arial" w:hAnsi="Arial"/>
          <w:sz w:val="12"/>
          <w:szCs w:val="12"/>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ind w:left="180" w:hanging="172"/>
        <w:spacing w:after="0" w:line="222" w:lineRule="auto"/>
        <w:tabs>
          <w:tab w:leader="none" w:pos="180" w:val="left"/>
        </w:tabs>
        <w:numPr>
          <w:ilvl w:val="0"/>
          <w:numId w:val="39"/>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hanging="172"/>
        <w:spacing w:after="0"/>
        <w:tabs>
          <w:tab w:leader="none" w:pos="1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The PPP amounts presented, which are reported net of deferred costs and fees, were previously included as a component of the Commercial and Industrial loan class.</w:t>
      </w:r>
    </w:p>
    <w:p>
      <w:pPr>
        <w:spacing w:after="0" w:line="3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legacy lease financing and participation in shared national credits for customers whose operations and assets extend beyond Hawaii.</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Assets</w:t>
            </w:r>
          </w:p>
        </w:tc>
        <w:tc>
          <w:tcPr>
            <w:tcW w:w="1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10</w:t>
            </w:r>
          </w:p>
        </w:tc>
      </w:tr>
      <w:tr>
        <w:trPr>
          <w:trHeight w:val="199"/>
        </w:trPr>
        <w:tc>
          <w:tcPr>
            <w:tcW w:w="5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and Federal Reserve Bank Stock</w:t>
            </w:r>
          </w:p>
        </w:tc>
        <w:tc>
          <w:tcPr>
            <w:tcW w:w="18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31,479</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33,340</w:t>
            </w:r>
          </w:p>
        </w:tc>
        <w:tc>
          <w:tcPr>
            <w:tcW w:w="5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(1,861)</w:t>
            </w:r>
          </w:p>
        </w:tc>
      </w:tr>
      <w:tr>
        <w:trPr>
          <w:trHeight w:val="213"/>
        </w:trPr>
        <w:tc>
          <w:tcPr>
            <w:tcW w:w="52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80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55,481</w:t>
            </w:r>
          </w:p>
        </w:tc>
        <w:tc>
          <w:tcPr>
            <w:tcW w:w="3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96,167</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(40,686)</w:t>
            </w: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Low-Income Housing and Other Equity Investments</w:t>
            </w:r>
          </w:p>
        </w:tc>
        <w:tc>
          <w:tcPr>
            <w:tcW w:w="18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133,881</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142,961</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(9,080)</w:t>
            </w:r>
          </w:p>
        </w:tc>
      </w:tr>
      <w:tr>
        <w:trPr>
          <w:trHeight w:val="213"/>
        </w:trPr>
        <w:tc>
          <w:tcPr>
            <w:tcW w:w="5260" w:type="dxa"/>
            <w:vAlign w:val="bottom"/>
          </w:tcPr>
          <w:p>
            <w:pPr>
              <w:spacing w:after="0"/>
              <w:rPr>
                <w:sz w:val="20"/>
                <w:szCs w:val="20"/>
                <w:color w:val="auto"/>
              </w:rPr>
            </w:pPr>
            <w:r>
              <w:rPr>
                <w:rFonts w:ascii="Arial" w:cs="Arial" w:eastAsia="Arial" w:hAnsi="Arial"/>
                <w:sz w:val="16"/>
                <w:szCs w:val="16"/>
                <w:color w:val="auto"/>
              </w:rPr>
              <w:t>Deferred Compensation Plan Assets</w:t>
            </w:r>
          </w:p>
        </w:tc>
        <w:tc>
          <w:tcPr>
            <w:tcW w:w="180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56,609</w:t>
            </w:r>
          </w:p>
        </w:tc>
        <w:tc>
          <w:tcPr>
            <w:tcW w:w="3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53,410</w:t>
            </w:r>
          </w:p>
        </w:tc>
        <w:tc>
          <w:tcPr>
            <w:tcW w:w="5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3,199</w:t>
            </w: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w:t>
            </w:r>
          </w:p>
        </w:tc>
        <w:tc>
          <w:tcPr>
            <w:tcW w:w="18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16,600</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14,517</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2,083</w:t>
            </w:r>
          </w:p>
        </w:tc>
      </w:tr>
      <w:tr>
        <w:trPr>
          <w:trHeight w:val="213"/>
        </w:trPr>
        <w:tc>
          <w:tcPr>
            <w:tcW w:w="5260" w:type="dxa"/>
            <w:vAlign w:val="bottom"/>
          </w:tcPr>
          <w:p>
            <w:pPr>
              <w:spacing w:after="0"/>
              <w:rPr>
                <w:sz w:val="20"/>
                <w:szCs w:val="20"/>
                <w:color w:val="auto"/>
              </w:rPr>
            </w:pPr>
            <w:r>
              <w:rPr>
                <w:rFonts w:ascii="Arial" w:cs="Arial" w:eastAsia="Arial" w:hAnsi="Arial"/>
                <w:sz w:val="16"/>
                <w:szCs w:val="16"/>
                <w:color w:val="auto"/>
              </w:rPr>
              <w:t>Accounts Receivable</w:t>
            </w:r>
          </w:p>
        </w:tc>
        <w:tc>
          <w:tcPr>
            <w:tcW w:w="180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15,505</w:t>
            </w:r>
          </w:p>
        </w:tc>
        <w:tc>
          <w:tcPr>
            <w:tcW w:w="3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12,380</w:t>
            </w:r>
          </w:p>
        </w:tc>
        <w:tc>
          <w:tcPr>
            <w:tcW w:w="5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3,125</w:t>
            </w: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8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34,300</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16,724</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17,576</w:t>
            </w:r>
          </w:p>
        </w:tc>
      </w:tr>
      <w:tr>
        <w:trPr>
          <w:trHeight w:val="213"/>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76,879</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65,794</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11,085</w:t>
            </w:r>
          </w:p>
        </w:tc>
      </w:tr>
      <w:tr>
        <w:trPr>
          <w:trHeight w:val="210"/>
        </w:trPr>
        <w:tc>
          <w:tcPr>
            <w:tcW w:w="5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Other Assets</w:t>
            </w:r>
          </w:p>
        </w:tc>
        <w:tc>
          <w:tcPr>
            <w:tcW w:w="180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420,734</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435,293</w:t>
            </w:r>
          </w:p>
        </w:tc>
        <w:tc>
          <w:tcPr>
            <w:tcW w:w="5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(14,559)</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Total other assets decreased by $14.6 million or 3% from December 31, 2020. The decrease was primarily due to a $40.7 million decrease in derivative financial instruments, which was primarily due to fair value decreases of our interest rate swap agreement assets, which are impacted by prevailing interest rates. This decrease was partially offset by an increase in deferred taxes of $17.6 million, primarily due to temporary differences between financial reporting and income tax basis of unrealized losses on investment securities which were partially offset by a reduction in the allowance for credit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Deposits</w:t>
            </w:r>
          </w:p>
        </w:tc>
        <w:tc>
          <w:tcPr>
            <w:tcW w:w="29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11</w:t>
            </w:r>
          </w:p>
        </w:tc>
      </w:tr>
      <w:tr>
        <w:trPr>
          <w:trHeight w:val="199"/>
        </w:trPr>
        <w:tc>
          <w:tcPr>
            <w:tcW w:w="4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9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29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9,848,285</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9,347,725</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500,560</w:t>
            </w: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Commercial</w:t>
            </w:r>
          </w:p>
        </w:tc>
        <w:tc>
          <w:tcPr>
            <w:tcW w:w="29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8,675,909</w:t>
            </w:r>
          </w:p>
        </w:tc>
        <w:tc>
          <w:tcPr>
            <w:tcW w:w="3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7,302,832</w:t>
            </w:r>
          </w:p>
        </w:tc>
        <w:tc>
          <w:tcPr>
            <w:tcW w:w="5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1,373,077</w:t>
            </w:r>
          </w:p>
        </w:tc>
      </w:tr>
      <w:tr>
        <w:trPr>
          <w:trHeight w:val="216"/>
        </w:trPr>
        <w:tc>
          <w:tcPr>
            <w:tcW w:w="4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Public and Other</w:t>
            </w:r>
          </w:p>
        </w:tc>
        <w:tc>
          <w:tcPr>
            <w:tcW w:w="29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1,645,515</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1,561,064</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84,451</w:t>
            </w:r>
          </w:p>
        </w:tc>
      </w:tr>
      <w:tr>
        <w:trPr>
          <w:trHeight w:val="210"/>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Deposits</w:t>
            </w:r>
          </w:p>
        </w:tc>
        <w:tc>
          <w:tcPr>
            <w:tcW w:w="2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20,169,709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18,211,621</w:t>
            </w: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1,958,088</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Total deposits were $20.2 billion as of June 30, 2021, an increase of $2.0 billion or 11% from December 31, 2020. This increase was primarily due to an increase in commercial and consumer deposits. Commercial deposits increased by $1.4 billion or 19% primarily due to a $1.3 billion increase in core deposits and a $45.6 million increase in time deposits. Consumer deposits increased by $500.6 million or 5% due to an increase in core deposits of $587.1 million, partially offset by an $86.5 million decrease in time deposits. In addition, public and other deposits increased by $84.5 million or 5% due to an increase in public demand deposits of $309.4 million, partially offset by a decrease in time deposits of $224.9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Savings Deposits</w:t>
            </w:r>
          </w:p>
        </w:tc>
        <w:tc>
          <w:tcPr>
            <w:tcW w:w="2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12</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12</w:t>
            </w:r>
          </w:p>
        </w:tc>
      </w:tr>
      <w:tr>
        <w:trPr>
          <w:trHeight w:val="199"/>
        </w:trPr>
        <w:tc>
          <w:tcPr>
            <w:tcW w:w="4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3"/>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Money Market</w:t>
            </w:r>
          </w:p>
        </w:tc>
        <w:tc>
          <w:tcPr>
            <w:tcW w:w="29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3,140,576</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2,453,619</w:t>
            </w:r>
          </w:p>
        </w:tc>
        <w:tc>
          <w:tcPr>
            <w:tcW w:w="5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686,957</w:t>
            </w:r>
          </w:p>
        </w:tc>
      </w:tr>
      <w:tr>
        <w:trPr>
          <w:trHeight w:val="213"/>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Regular Savings</w:t>
            </w:r>
          </w:p>
        </w:tc>
        <w:tc>
          <w:tcPr>
            <w:tcW w:w="2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4,563,999</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4,305,594</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258,405</w:t>
            </w:r>
          </w:p>
        </w:tc>
      </w:tr>
      <w:tr>
        <w:trPr>
          <w:trHeight w:val="210"/>
        </w:trPr>
        <w:tc>
          <w:tcPr>
            <w:tcW w:w="4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Savings Deposits</w:t>
            </w:r>
          </w:p>
        </w:tc>
        <w:tc>
          <w:tcPr>
            <w:tcW w:w="29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7,704,575</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6,759,213</w:t>
            </w:r>
          </w:p>
        </w:tc>
        <w:tc>
          <w:tcPr>
            <w:tcW w:w="5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945,362</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1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13</w:t>
            </w:r>
          </w:p>
        </w:tc>
      </w:tr>
      <w:tr>
        <w:trPr>
          <w:trHeight w:val="199"/>
        </w:trPr>
        <w:tc>
          <w:tcPr>
            <w:tcW w:w="5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2"/>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Private Institutions</w:t>
            </w:r>
          </w:p>
        </w:tc>
        <w:tc>
          <w:tcPr>
            <w:tcW w:w="18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550,000</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600,000</w:t>
            </w:r>
          </w:p>
        </w:tc>
        <w:tc>
          <w:tcPr>
            <w:tcW w:w="5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Government Entities</w:t>
            </w:r>
          </w:p>
        </w:tc>
        <w:tc>
          <w:tcPr>
            <w:tcW w:w="1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590</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5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18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550,490</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600,590</w:t>
            </w:r>
          </w:p>
        </w:tc>
        <w:tc>
          <w:tcPr>
            <w:tcW w:w="5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(50,100)</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Securities sold under agreements to repurchase was $550.5 million as of June 30, 2021, a decrease of $50.1 million or 8% from December 31, 2020. As of June 30, 2021, the weighted-average maturity was 3.4 years for our repurchase agreements with government entities and 3.4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3.2 years. As of June 30, 2021, the weighted-average interest rate for outstanding agreements with government entities and private institutions was 1.55% and 2.48%, respectively, with all rates being fixed. Each of our repurchase agreements is accounted for as a collateralized financing arrangement (i.e., a secured borrowing) and not as a sale and subsequent repurchase of securities.</w:t>
      </w:r>
    </w:p>
    <w:p>
      <w:pPr>
        <w:spacing w:after="0" w:line="17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May 2021, we terminated two of our repurchase agreements, with an aggregate total of $50.0 million, with one private institution. These repurchase agreements were scheduled to mature in 2024 and 2026. The repurchase agreements had a weighted-average interest rate of 1.35%.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Debt</w:t>
            </w:r>
          </w:p>
        </w:tc>
        <w:tc>
          <w:tcPr>
            <w:tcW w:w="2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14</w:t>
            </w:r>
          </w:p>
        </w:tc>
      </w:tr>
      <w:tr>
        <w:trPr>
          <w:trHeight w:val="199"/>
        </w:trPr>
        <w:tc>
          <w:tcPr>
            <w:tcW w:w="4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3"/>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Advances</w:t>
            </w:r>
          </w:p>
        </w:tc>
        <w:tc>
          <w:tcPr>
            <w:tcW w:w="25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50,000</w:t>
            </w:r>
          </w:p>
        </w:tc>
        <w:tc>
          <w:tcPr>
            <w:tcW w:w="5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Finance Lease Obligations</w:t>
            </w:r>
          </w:p>
        </w:tc>
        <w:tc>
          <w:tcPr>
            <w:tcW w:w="2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10,437</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10,481</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4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10,437</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60,481</w:t>
            </w:r>
          </w:p>
        </w:tc>
        <w:tc>
          <w:tcPr>
            <w:tcW w:w="5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(50,044)</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Other debt was $10.4 million as of June 30, 2021, a decrease of $50.0 million or 83% from December 31, 2020. During the second quarter of 2021, we terminated prepaid FHLB advances totaling $50.0 million with a weighted-average interest rate of 1.19% and maturity dates during 2024. These advances were primarily for asset/liability management purposes. As of June 30, 2021, our remaining unused line of credit with the FHLB was $2.9 billion.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business segments are defined as Consumer Banking, Commercial Banking, and Treasury and Other.</w:t>
      </w:r>
    </w:p>
    <w:p>
      <w:pPr>
        <w:spacing w:after="0" w:line="19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Business Segment Net Income</w:t>
            </w:r>
          </w:p>
        </w:tc>
        <w:tc>
          <w:tcPr>
            <w:tcW w:w="2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0"/>
              </w:rPr>
              <w:t>Table 15</w:t>
            </w:r>
          </w:p>
        </w:tc>
      </w:tr>
      <w:tr>
        <w:trPr>
          <w:trHeight w:val="199"/>
        </w:trPr>
        <w:tc>
          <w:tcPr>
            <w:tcW w:w="39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Pr>
          <w:p>
            <w:pPr>
              <w:spacing w:after="0"/>
              <w:rPr>
                <w:sz w:val="17"/>
                <w:szCs w:val="17"/>
                <w:color w:val="auto"/>
              </w:rPr>
            </w:pPr>
          </w:p>
        </w:tc>
      </w:tr>
      <w:tr>
        <w:trPr>
          <w:trHeight w:val="213"/>
        </w:trPr>
        <w:tc>
          <w:tcPr>
            <w:tcW w:w="3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r>
      <w:tr>
        <w:trPr>
          <w:trHeight w:val="210"/>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Consumer Banking</w:t>
            </w:r>
          </w:p>
        </w:tc>
        <w:tc>
          <w:tcPr>
            <w:tcW w:w="21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22,547</w:t>
            </w:r>
          </w:p>
        </w:tc>
        <w:tc>
          <w:tcPr>
            <w:tcW w:w="7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18,945</w:t>
            </w:r>
          </w:p>
        </w:tc>
        <w:tc>
          <w:tcPr>
            <w:tcW w:w="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39,486</w:t>
            </w:r>
          </w:p>
        </w:tc>
        <w:tc>
          <w:tcPr>
            <w:tcW w:w="6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43,136</w:t>
            </w:r>
          </w:p>
        </w:tc>
      </w:tr>
      <w:tr>
        <w:trPr>
          <w:trHeight w:val="21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Commercial Banking</w:t>
            </w:r>
          </w:p>
        </w:tc>
        <w:tc>
          <w:tcPr>
            <w:tcW w:w="2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29,971</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33,604</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59,687</w:t>
            </w: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63,386</w:t>
            </w:r>
          </w:p>
        </w:tc>
      </w:tr>
      <w:tr>
        <w:trPr>
          <w:trHeight w:val="212"/>
        </w:trPr>
        <w:tc>
          <w:tcPr>
            <w:tcW w:w="3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52,518</w:t>
            </w:r>
          </w:p>
        </w:tc>
        <w:tc>
          <w:tcPr>
            <w:tcW w:w="7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52,549</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99,173</w:t>
            </w:r>
          </w:p>
        </w:tc>
        <w:tc>
          <w:tcPr>
            <w:tcW w:w="6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106,522</w:t>
            </w:r>
          </w:p>
        </w:tc>
      </w:tr>
      <w:tr>
        <w:trPr>
          <w:trHeight w:val="21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Treasury and Other</w:t>
            </w:r>
          </w:p>
        </w:tc>
        <w:tc>
          <w:tcPr>
            <w:tcW w:w="2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15,015</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(13,641)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28,309</w:t>
            </w: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(32,872)</w:t>
            </w:r>
          </w:p>
        </w:tc>
      </w:tr>
      <w:tr>
        <w:trPr>
          <w:trHeight w:val="210"/>
        </w:trPr>
        <w:tc>
          <w:tcPr>
            <w:tcW w:w="39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Consolidated Total</w:t>
            </w:r>
          </w:p>
        </w:tc>
        <w:tc>
          <w:tcPr>
            <w:tcW w:w="21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67,533</w:t>
            </w:r>
          </w:p>
        </w:tc>
        <w:tc>
          <w:tcPr>
            <w:tcW w:w="74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38,908</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127,482</w:t>
            </w:r>
          </w:p>
        </w:tc>
        <w:tc>
          <w:tcPr>
            <w:tcW w:w="6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73,650</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18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Net income increased by $3.6 million in the second quarter of 2021 compared to the same period in 2020 primarily due to a decrease in the Provision and an increase in noninterest income. This was partly offset by an increase in noninterest expense and a decrease in net interest income. The decrease in the Provision was primarily due to lower net charge-offs in our auto loan and installment loan portfolios. The increase in noninterest income was primarily due to the temporary suspension of various ATM fees in the second quarter of 2020, as well as higher debit card transaction volume, increases in trust and asset management fees, and an increase in overdraft fees. This was partly offset by a decrease in mortgage banking income, primarily due to valuation adjustments recorded for our mortgage servicing rights. The increase in noninterest expense was primarily due to an increase in allocated expenses, partly offset by a gain on the sale of real estate property on the island of Oahu in the second quarter of 2021. The decrease in net interest income is primarily due to lower average rates in the segment’s deposit portfolio, partly offset by higher average balances in the deposit portfolio, as well as higher average rates and higher average balances in the segment’s loan portfolio.</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income decreased by $3.7 million in the first six months of 2021 compared to the same period in 2020 primarily due to an increase in noninterest expense and a decrease in net interest income. This was partly offset by a decrease in the Provision and an increase in noninterest income. The increase in noninterest expense was primarily due to an increase in allocated incentive compensation expense, partly offset by the aforementioned gain on sale of real estate property on the island of Oahu. The decrease in net interest income was primarily due to lower average rates in the segment’s deposit portfolio, partly offset by higher average balances in the deposit portfolio, as well as higher average rates and higher average balances in the segment’s loan portfolio. The decrease in the Provision was primarily due to lower net charge-offs in our auto loan, residential mortgage, and installment loan portfolios. The increase in noninterest income was primarily due to increases in mortgage banking income, trust and asset management fees, debit card income, and ATM fees. The increase in mortgage banking income was primarily the result of valuation adjustments recorded for mortgage servicing rights.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income decreased by $3.6 million in the second quarter of 2021 compared to the same period in 2020 primarily due to decreases in interest income and noninterest income, and increases in provision for credit losses and noninterest expense, partially offset by a reduction in provision for income tax. The decrease in interest income is primarily due to lower spreads on savings and time deposits. The decrease in interest income was partially offset by growth in the Commercial and Industrial and Commercial Mortgage portfolios. The decrease in noninterest income is primarily due to a decline in customer derivative program revenue and partially offset by increased merchant services. The increase in noninterest expense was primarily due increased salaries and benefits and merchant services processing fees, partially offset by reduced allocated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income decreased by $3.7 million in the first six months of 2021 compared to the same period in 2020 primarily due to a decrease in noninterest income, partially offset by a reduction in noninterest expense and provision for income taxes. The decrease in noninterest income is primarily due to a decline in customer derivative program revenue and partially offset by increases in account analysis, loan fees, and merchant services. The increase in noninterest expense was primarily due increased salaries and benefits and merchant services processing fees, partially offset by reduced allocated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19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Net income increased by $28.7 million in the second quarter of 2021 compared to the same period in 2020 primarily due to a decrease in the provision for credit losses (the “Provision”) partially offset by a decrease in noninterest income and higher provision for income taxes. The decrease in noninterest income was due to the $14.2 million gain from the sale of Visa Class B Shares in the second quarter of 2020. The decrease in the Provision was due to the changes in economic outlook and forecasts for COVID-19 pandemic driven market changes, and impacts of fiscal, monetary and regulatory programs. The provision for income taxes in this business segment represents the residual amount to arrive at the total tax expense for the Company.</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Net income increased by $61.2 million in the first six months of 2021 compared to the same period in 2020 primarily due to a decrease in the Provision partially offset by a decrease in noninterest income and higher provision for income taxes. The decrease in noninterest income was due to the aforementioned $14.2 million gain from the sale of Visa Class B Shares in the second quarter of 2020. The decrease in the Provision was due to the changes in economic outlook and forecasts for COVID-19 pandemic driven market changes, and impacts of fiscal, monetary and regulatory programs. The provision for income taxes in this business segment represents the residual amount to arrive at the total tax expense for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June 30, 2021, our overall credit risk profile reflects the improving trend of economic impacts from the COVID-19 pandemic in the markets we serve. Despite the challenge of these economic impacts, the underlying risk profile of our credit portfolio remains strong.</w:t>
      </w:r>
    </w:p>
    <w:p>
      <w:pPr>
        <w:spacing w:after="0" w:line="13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4"/>
              </w:rPr>
              <w:t>Non-Performing Assets and Accruing Loans and Leases Past Due 90 Days or More</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Table 16</w:t>
            </w:r>
          </w:p>
        </w:tc>
      </w:tr>
      <w:tr>
        <w:trPr>
          <w:trHeight w:val="199"/>
        </w:trPr>
        <w:tc>
          <w:tcPr>
            <w:tcW w:w="5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7"/>
                <w:szCs w:val="17"/>
                <w:color w:val="auto"/>
              </w:rPr>
            </w:pPr>
          </w:p>
        </w:tc>
        <w:tc>
          <w:tcPr>
            <w:tcW w:w="1360" w:type="dxa"/>
            <w:vAlign w:val="bottom"/>
          </w:tcPr>
          <w:p>
            <w:pPr>
              <w:jc w:val="right"/>
              <w:ind w:right="147"/>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3"/>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Change</w:t>
            </w:r>
          </w:p>
        </w:tc>
      </w:tr>
      <w:tr>
        <w:trPr>
          <w:trHeight w:val="158"/>
        </w:trPr>
        <w:tc>
          <w:tcPr>
            <w:tcW w:w="5980" w:type="dxa"/>
            <w:vAlign w:val="bottom"/>
            <w:shd w:val="clear" w:color="auto" w:fill="CFF0FC"/>
          </w:tcPr>
          <w:p>
            <w:pPr>
              <w:spacing w:after="0" w:line="159" w:lineRule="exact"/>
              <w:rPr>
                <w:sz w:val="20"/>
                <w:szCs w:val="20"/>
                <w:color w:val="auto"/>
              </w:rPr>
            </w:pPr>
            <w:r>
              <w:rPr>
                <w:rFonts w:ascii="Arial" w:cs="Arial" w:eastAsia="Arial" w:hAnsi="Arial"/>
                <w:sz w:val="14"/>
                <w:szCs w:val="14"/>
                <w:b w:val="1"/>
                <w:bCs w:val="1"/>
                <w:color w:val="auto"/>
              </w:rPr>
              <w:t>Non-Performing Assets</w:t>
            </w:r>
          </w:p>
        </w:tc>
        <w:tc>
          <w:tcPr>
            <w:tcW w:w="6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Non-Accrual Loans and Leases</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w:t>
            </w: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62"/>
        </w:trPr>
        <w:tc>
          <w:tcPr>
            <w:tcW w:w="598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258</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47"/>
              <w:spacing w:after="0"/>
              <w:rPr>
                <w:sz w:val="20"/>
                <w:szCs w:val="20"/>
                <w:color w:val="auto"/>
              </w:rPr>
            </w:pPr>
            <w:r>
              <w:rPr>
                <w:rFonts w:ascii="Arial" w:cs="Arial" w:eastAsia="Arial" w:hAnsi="Arial"/>
                <w:sz w:val="14"/>
                <w:szCs w:val="14"/>
                <w:color w:val="auto"/>
              </w:rPr>
              <w:t>441</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(183)</w:t>
            </w:r>
          </w:p>
        </w:tc>
      </w:tr>
      <w:tr>
        <w:trPr>
          <w:trHeight w:val="162"/>
        </w:trPr>
        <w:tc>
          <w:tcPr>
            <w:tcW w:w="59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Commercial Mortgage</w:t>
            </w:r>
          </w:p>
        </w:tc>
        <w:tc>
          <w:tcPr>
            <w:tcW w:w="6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4"/>
                <w:szCs w:val="14"/>
                <w:color w:val="auto"/>
              </w:rPr>
              <w:t>8,413</w:t>
            </w:r>
          </w:p>
        </w:tc>
        <w:tc>
          <w:tcPr>
            <w:tcW w:w="4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4"/>
                <w:szCs w:val="14"/>
                <w:color w:val="auto"/>
              </w:rPr>
              <w:t>8,527</w:t>
            </w:r>
          </w:p>
        </w:tc>
        <w:tc>
          <w:tcPr>
            <w:tcW w:w="5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4"/>
                <w:szCs w:val="14"/>
                <w:color w:val="auto"/>
              </w:rPr>
              <w:t>(114)</w:t>
            </w:r>
          </w:p>
        </w:tc>
      </w:tr>
      <w:tr>
        <w:trPr>
          <w:trHeight w:val="156"/>
        </w:trPr>
        <w:tc>
          <w:tcPr>
            <w:tcW w:w="59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Commercial</w:t>
            </w: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color w:val="auto"/>
              </w:rPr>
              <w:t>8,671</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color w:val="auto"/>
              </w:rPr>
              <w:t>8,968</w:t>
            </w: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color w:val="auto"/>
              </w:rPr>
              <w:t>(297)</w:t>
            </w:r>
          </w:p>
        </w:tc>
      </w:tr>
      <w:tr>
        <w:trPr>
          <w:trHeight w:val="156"/>
        </w:trPr>
        <w:tc>
          <w:tcPr>
            <w:tcW w:w="59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Consumer</w:t>
            </w:r>
          </w:p>
        </w:tc>
        <w:tc>
          <w:tcPr>
            <w:tcW w:w="6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r>
      <w:tr>
        <w:trPr>
          <w:trHeight w:val="162"/>
        </w:trPr>
        <w:tc>
          <w:tcPr>
            <w:tcW w:w="5980" w:type="dxa"/>
            <w:vAlign w:val="bottom"/>
          </w:tcPr>
          <w:p>
            <w:pPr>
              <w:ind w:left="500"/>
              <w:spacing w:after="0"/>
              <w:rPr>
                <w:sz w:val="20"/>
                <w:szCs w:val="20"/>
                <w:color w:val="auto"/>
              </w:rPr>
            </w:pPr>
            <w:r>
              <w:rPr>
                <w:rFonts w:ascii="Arial" w:cs="Arial" w:eastAsia="Arial" w:hAnsi="Arial"/>
                <w:sz w:val="14"/>
                <w:szCs w:val="14"/>
                <w:color w:val="auto"/>
              </w:rPr>
              <w:t>Residential Mortgage</w:t>
            </w:r>
          </w:p>
        </w:tc>
        <w:tc>
          <w:tcPr>
            <w:tcW w:w="68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2,437</w:t>
            </w:r>
          </w:p>
        </w:tc>
        <w:tc>
          <w:tcPr>
            <w:tcW w:w="4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Arial" w:cs="Arial" w:eastAsia="Arial" w:hAnsi="Arial"/>
                <w:sz w:val="14"/>
                <w:szCs w:val="14"/>
                <w:color w:val="auto"/>
              </w:rPr>
              <w:t>3,223</w:t>
            </w:r>
          </w:p>
        </w:tc>
        <w:tc>
          <w:tcPr>
            <w:tcW w:w="52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(786)</w:t>
            </w:r>
          </w:p>
        </w:tc>
      </w:tr>
      <w:tr>
        <w:trPr>
          <w:trHeight w:val="162"/>
        </w:trPr>
        <w:tc>
          <w:tcPr>
            <w:tcW w:w="59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Home Equity</w:t>
            </w:r>
          </w:p>
        </w:tc>
        <w:tc>
          <w:tcPr>
            <w:tcW w:w="6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4"/>
                <w:szCs w:val="14"/>
                <w:color w:val="auto"/>
              </w:rPr>
              <w:t>5,534</w:t>
            </w:r>
          </w:p>
        </w:tc>
        <w:tc>
          <w:tcPr>
            <w:tcW w:w="4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4"/>
                <w:szCs w:val="14"/>
                <w:color w:val="auto"/>
              </w:rPr>
              <w:t>3,958</w:t>
            </w:r>
          </w:p>
        </w:tc>
        <w:tc>
          <w:tcPr>
            <w:tcW w:w="5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4"/>
                <w:szCs w:val="14"/>
                <w:color w:val="auto"/>
              </w:rPr>
              <w:t>1,576</w:t>
            </w:r>
          </w:p>
        </w:tc>
      </w:tr>
      <w:tr>
        <w:trPr>
          <w:trHeight w:val="156"/>
        </w:trPr>
        <w:tc>
          <w:tcPr>
            <w:tcW w:w="59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Consumer</w:t>
            </w: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color w:val="auto"/>
              </w:rPr>
              <w:t>7,971</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color w:val="auto"/>
              </w:rPr>
              <w:t>7,181</w:t>
            </w: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4"/>
                <w:szCs w:val="14"/>
                <w:color w:val="auto"/>
              </w:rPr>
              <w:t>790</w:t>
            </w:r>
          </w:p>
        </w:tc>
      </w:tr>
      <w:tr>
        <w:trPr>
          <w:trHeight w:val="156"/>
        </w:trPr>
        <w:tc>
          <w:tcPr>
            <w:tcW w:w="5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Total Non-Accrual Loans and Leases</w:t>
            </w:r>
          </w:p>
        </w:tc>
        <w:tc>
          <w:tcPr>
            <w:tcW w:w="6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67"/>
              <w:spacing w:after="0" w:line="155" w:lineRule="exact"/>
              <w:rPr>
                <w:sz w:val="20"/>
                <w:szCs w:val="20"/>
                <w:color w:val="auto"/>
              </w:rPr>
            </w:pPr>
            <w:r>
              <w:rPr>
                <w:rFonts w:ascii="Arial" w:cs="Arial" w:eastAsia="Arial" w:hAnsi="Arial"/>
                <w:sz w:val="14"/>
                <w:szCs w:val="14"/>
                <w:color w:val="auto"/>
              </w:rPr>
              <w:t>16,642</w:t>
            </w:r>
          </w:p>
        </w:tc>
        <w:tc>
          <w:tcPr>
            <w:tcW w:w="4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ind w:right="147"/>
              <w:spacing w:after="0" w:line="155" w:lineRule="exact"/>
              <w:rPr>
                <w:sz w:val="20"/>
                <w:szCs w:val="20"/>
                <w:color w:val="auto"/>
              </w:rPr>
            </w:pPr>
            <w:r>
              <w:rPr>
                <w:rFonts w:ascii="Arial" w:cs="Arial" w:eastAsia="Arial" w:hAnsi="Arial"/>
                <w:sz w:val="14"/>
                <w:szCs w:val="14"/>
                <w:color w:val="auto"/>
              </w:rPr>
              <w:t>16,149</w:t>
            </w:r>
          </w:p>
        </w:tc>
        <w:tc>
          <w:tcPr>
            <w:tcW w:w="52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Arial" w:cs="Arial" w:eastAsia="Arial" w:hAnsi="Arial"/>
                <w:sz w:val="14"/>
                <w:szCs w:val="14"/>
                <w:color w:val="auto"/>
              </w:rPr>
              <w:t>493</w:t>
            </w:r>
          </w:p>
        </w:tc>
      </w:tr>
      <w:tr>
        <w:trPr>
          <w:trHeight w:val="155"/>
        </w:trPr>
        <w:tc>
          <w:tcPr>
            <w:tcW w:w="5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Foreclosed Real Estate</w:t>
            </w: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color w:val="auto"/>
              </w:rPr>
              <w:t>2,332</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color w:val="auto"/>
              </w:rPr>
              <w:t>2,332</w:t>
            </w: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4"/>
                <w:szCs w:val="14"/>
                <w:color w:val="auto"/>
              </w:rPr>
              <w:t>—</w:t>
            </w:r>
          </w:p>
        </w:tc>
      </w:tr>
      <w:tr>
        <w:trPr>
          <w:trHeight w:val="156"/>
        </w:trPr>
        <w:tc>
          <w:tcPr>
            <w:tcW w:w="5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Non-Performing Assets</w:t>
            </w:r>
          </w:p>
        </w:tc>
        <w:tc>
          <w:tcPr>
            <w:tcW w:w="68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67"/>
              <w:spacing w:after="0" w:line="155" w:lineRule="exact"/>
              <w:rPr>
                <w:sz w:val="20"/>
                <w:szCs w:val="20"/>
                <w:color w:val="auto"/>
              </w:rPr>
            </w:pPr>
            <w:r>
              <w:rPr>
                <w:rFonts w:ascii="Arial" w:cs="Arial" w:eastAsia="Arial" w:hAnsi="Arial"/>
                <w:sz w:val="14"/>
                <w:szCs w:val="14"/>
                <w:color w:val="auto"/>
              </w:rPr>
              <w:t>18,974</w:t>
            </w:r>
          </w:p>
        </w:tc>
        <w:tc>
          <w:tcPr>
            <w:tcW w:w="4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ind w:right="147"/>
              <w:spacing w:after="0" w:line="155" w:lineRule="exact"/>
              <w:rPr>
                <w:sz w:val="20"/>
                <w:szCs w:val="20"/>
                <w:color w:val="auto"/>
              </w:rPr>
            </w:pPr>
            <w:r>
              <w:rPr>
                <w:rFonts w:ascii="Arial" w:cs="Arial" w:eastAsia="Arial" w:hAnsi="Arial"/>
                <w:sz w:val="14"/>
                <w:szCs w:val="14"/>
                <w:color w:val="auto"/>
              </w:rPr>
              <w:t>18,481</w:t>
            </w:r>
          </w:p>
        </w:tc>
        <w:tc>
          <w:tcPr>
            <w:tcW w:w="520" w:type="dxa"/>
            <w:vAlign w:val="bottom"/>
            <w:tcBorders>
              <w:bottom w:val="single" w:sz="8" w:color="auto"/>
            </w:tcBorders>
            <w:shd w:val="clear" w:color="auto" w:fill="CFF0FC"/>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Arial" w:cs="Arial" w:eastAsia="Arial" w:hAnsi="Arial"/>
                <w:sz w:val="14"/>
                <w:szCs w:val="14"/>
                <w:color w:val="auto"/>
              </w:rPr>
              <w:t>493</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3"/>
        </w:trPr>
        <w:tc>
          <w:tcPr>
            <w:tcW w:w="5980" w:type="dxa"/>
            <w:vAlign w:val="bottom"/>
          </w:tcPr>
          <w:p>
            <w:pPr>
              <w:spacing w:after="0" w:line="143" w:lineRule="exact"/>
              <w:rPr>
                <w:sz w:val="20"/>
                <w:szCs w:val="20"/>
                <w:color w:val="auto"/>
              </w:rPr>
            </w:pPr>
            <w:r>
              <w:rPr>
                <w:rFonts w:ascii="Arial" w:cs="Arial" w:eastAsia="Arial" w:hAnsi="Arial"/>
                <w:sz w:val="14"/>
                <w:szCs w:val="14"/>
                <w:b w:val="1"/>
                <w:bCs w:val="1"/>
                <w:color w:val="auto"/>
              </w:rPr>
              <w:t>Accruing Loans and Leases Past Due 90 Days or More</w:t>
            </w: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5980" w:type="dxa"/>
            <w:vAlign w:val="bottom"/>
            <w:shd w:val="clear" w:color="auto" w:fill="CFF0FC"/>
          </w:tcPr>
          <w:p>
            <w:pPr>
              <w:spacing w:after="0"/>
              <w:rPr>
                <w:sz w:val="20"/>
                <w:szCs w:val="20"/>
                <w:color w:val="auto"/>
              </w:rPr>
            </w:pPr>
            <w:r>
              <w:rPr>
                <w:rFonts w:ascii="Arial" w:cs="Arial" w:eastAsia="Arial" w:hAnsi="Arial"/>
                <w:sz w:val="14"/>
                <w:szCs w:val="14"/>
                <w:color w:val="auto"/>
              </w:rPr>
              <w:t>Consumer</w:t>
            </w: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4,069</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47"/>
              <w:spacing w:after="0"/>
              <w:rPr>
                <w:sz w:val="20"/>
                <w:szCs w:val="20"/>
                <w:color w:val="auto"/>
              </w:rPr>
            </w:pPr>
            <w:r>
              <w:rPr>
                <w:rFonts w:ascii="Arial" w:cs="Arial" w:eastAsia="Arial" w:hAnsi="Arial"/>
                <w:sz w:val="14"/>
                <w:szCs w:val="14"/>
                <w:color w:val="auto"/>
              </w:rPr>
              <w:t>5,274</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(1,205)</w:t>
            </w:r>
          </w:p>
        </w:tc>
      </w:tr>
      <w:tr>
        <w:trPr>
          <w:trHeight w:val="162"/>
        </w:trPr>
        <w:tc>
          <w:tcPr>
            <w:tcW w:w="5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Home Equity</w:t>
            </w: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7"/>
              <w:spacing w:after="0"/>
              <w:rPr>
                <w:sz w:val="20"/>
                <w:szCs w:val="20"/>
                <w:color w:val="auto"/>
              </w:rPr>
            </w:pPr>
            <w:r>
              <w:rPr>
                <w:rFonts w:ascii="Arial" w:cs="Arial" w:eastAsia="Arial" w:hAnsi="Arial"/>
                <w:sz w:val="14"/>
                <w:szCs w:val="14"/>
                <w:color w:val="auto"/>
              </w:rPr>
              <w:t>4,498</w:t>
            </w: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147"/>
              <w:spacing w:after="0"/>
              <w:rPr>
                <w:sz w:val="20"/>
                <w:szCs w:val="20"/>
                <w:color w:val="auto"/>
              </w:rPr>
            </w:pPr>
            <w:r>
              <w:rPr>
                <w:rFonts w:ascii="Arial" w:cs="Arial" w:eastAsia="Arial" w:hAnsi="Arial"/>
                <w:sz w:val="14"/>
                <w:szCs w:val="14"/>
                <w:color w:val="auto"/>
              </w:rPr>
              <w:t>3,187</w:t>
            </w:r>
          </w:p>
        </w:tc>
        <w:tc>
          <w:tcPr>
            <w:tcW w:w="5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127"/>
              <w:spacing w:after="0"/>
              <w:rPr>
                <w:sz w:val="20"/>
                <w:szCs w:val="20"/>
                <w:color w:val="auto"/>
              </w:rPr>
            </w:pPr>
            <w:r>
              <w:rPr>
                <w:rFonts w:ascii="Arial" w:cs="Arial" w:eastAsia="Arial" w:hAnsi="Arial"/>
                <w:sz w:val="14"/>
                <w:szCs w:val="14"/>
                <w:color w:val="auto"/>
              </w:rPr>
              <w:t>1,311</w:t>
            </w: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Automobile</w:t>
            </w:r>
          </w:p>
        </w:tc>
        <w:tc>
          <w:tcPr>
            <w:tcW w:w="68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277</w:t>
            </w:r>
          </w:p>
        </w:tc>
        <w:tc>
          <w:tcPr>
            <w:tcW w:w="4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Arial" w:cs="Arial" w:eastAsia="Arial" w:hAnsi="Arial"/>
                <w:sz w:val="14"/>
                <w:szCs w:val="14"/>
                <w:color w:val="auto"/>
              </w:rPr>
              <w:t>925</w:t>
            </w:r>
          </w:p>
        </w:tc>
        <w:tc>
          <w:tcPr>
            <w:tcW w:w="52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(648)</w:t>
            </w:r>
          </w:p>
        </w:tc>
      </w:tr>
      <w:tr>
        <w:trPr>
          <w:trHeight w:val="162"/>
        </w:trPr>
        <w:tc>
          <w:tcPr>
            <w:tcW w:w="59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2"/>
                <w:szCs w:val="12"/>
                <w:color w:val="auto"/>
              </w:rPr>
              <w:t>1</w:t>
            </w:r>
          </w:p>
        </w:tc>
        <w:tc>
          <w:tcPr>
            <w:tcW w:w="6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4"/>
                <w:szCs w:val="14"/>
                <w:color w:val="auto"/>
              </w:rPr>
              <w:t>434</w:t>
            </w:r>
          </w:p>
        </w:tc>
        <w:tc>
          <w:tcPr>
            <w:tcW w:w="4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4"/>
                <w:szCs w:val="14"/>
                <w:color w:val="auto"/>
              </w:rPr>
              <w:t>1,160</w:t>
            </w:r>
          </w:p>
        </w:tc>
        <w:tc>
          <w:tcPr>
            <w:tcW w:w="5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4"/>
                <w:szCs w:val="14"/>
                <w:color w:val="auto"/>
              </w:rPr>
              <w:t>(726)</w:t>
            </w:r>
          </w:p>
        </w:tc>
      </w:tr>
      <w:tr>
        <w:trPr>
          <w:trHeight w:val="155"/>
        </w:trPr>
        <w:tc>
          <w:tcPr>
            <w:tcW w:w="5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Consumer</w:t>
            </w: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color w:val="auto"/>
              </w:rPr>
              <w:t>9,278</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color w:val="auto"/>
              </w:rPr>
              <w:t>10,546</w:t>
            </w: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color w:val="auto"/>
              </w:rPr>
              <w:t>(1,268)</w:t>
            </w:r>
          </w:p>
        </w:tc>
      </w:tr>
      <w:tr>
        <w:trPr>
          <w:trHeight w:val="156"/>
        </w:trPr>
        <w:tc>
          <w:tcPr>
            <w:tcW w:w="5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Accruing Loans and Leases Past Due 90 Days or More</w:t>
            </w:r>
          </w:p>
        </w:tc>
        <w:tc>
          <w:tcPr>
            <w:tcW w:w="68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67"/>
              <w:spacing w:after="0" w:line="155" w:lineRule="exact"/>
              <w:rPr>
                <w:sz w:val="20"/>
                <w:szCs w:val="20"/>
                <w:color w:val="auto"/>
              </w:rPr>
            </w:pPr>
            <w:r>
              <w:rPr>
                <w:rFonts w:ascii="Arial" w:cs="Arial" w:eastAsia="Arial" w:hAnsi="Arial"/>
                <w:sz w:val="14"/>
                <w:szCs w:val="14"/>
                <w:color w:val="auto"/>
              </w:rPr>
              <w:t>9,278</w:t>
            </w:r>
          </w:p>
        </w:tc>
        <w:tc>
          <w:tcPr>
            <w:tcW w:w="4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ind w:right="147"/>
              <w:spacing w:after="0" w:line="155" w:lineRule="exact"/>
              <w:rPr>
                <w:sz w:val="20"/>
                <w:szCs w:val="20"/>
                <w:color w:val="auto"/>
              </w:rPr>
            </w:pPr>
            <w:r>
              <w:rPr>
                <w:rFonts w:ascii="Arial" w:cs="Arial" w:eastAsia="Arial" w:hAnsi="Arial"/>
                <w:sz w:val="14"/>
                <w:szCs w:val="14"/>
                <w:color w:val="auto"/>
              </w:rPr>
              <w:t>10,546</w:t>
            </w:r>
          </w:p>
        </w:tc>
        <w:tc>
          <w:tcPr>
            <w:tcW w:w="520" w:type="dxa"/>
            <w:vAlign w:val="bottom"/>
            <w:tcBorders>
              <w:bottom w:val="single" w:sz="8" w:color="auto"/>
            </w:tcBorders>
            <w:shd w:val="clear" w:color="auto" w:fill="CFF0FC"/>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67"/>
              <w:spacing w:after="0" w:line="155" w:lineRule="exact"/>
              <w:rPr>
                <w:sz w:val="20"/>
                <w:szCs w:val="20"/>
                <w:color w:val="auto"/>
              </w:rPr>
            </w:pPr>
            <w:r>
              <w:rPr>
                <w:rFonts w:ascii="Arial" w:cs="Arial" w:eastAsia="Arial" w:hAnsi="Arial"/>
                <w:sz w:val="14"/>
                <w:szCs w:val="14"/>
                <w:color w:val="auto"/>
              </w:rPr>
              <w:t>(1,268)</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Restructured Loans on Accrual Status and Not Past Due 90 Days or More</w:t>
            </w:r>
          </w:p>
        </w:tc>
        <w:tc>
          <w:tcPr>
            <w:tcW w:w="680" w:type="dxa"/>
            <w:vAlign w:val="bottom"/>
            <w:tcBorders>
              <w:bottom w:val="single" w:sz="8" w:color="auto"/>
            </w:tcBorders>
          </w:tcPr>
          <w:p>
            <w:pPr>
              <w:jc w:val="right"/>
              <w:ind w:right="268"/>
              <w:spacing w:after="0" w:line="143"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7"/>
              <w:spacing w:after="0" w:line="143" w:lineRule="exact"/>
              <w:rPr>
                <w:sz w:val="20"/>
                <w:szCs w:val="20"/>
                <w:color w:val="auto"/>
              </w:rPr>
            </w:pPr>
            <w:r>
              <w:rPr>
                <w:rFonts w:ascii="Arial" w:cs="Arial" w:eastAsia="Arial" w:hAnsi="Arial"/>
                <w:sz w:val="14"/>
                <w:szCs w:val="14"/>
                <w:color w:val="auto"/>
              </w:rPr>
              <w:t>74,926</w:t>
            </w:r>
          </w:p>
        </w:tc>
        <w:tc>
          <w:tcPr>
            <w:tcW w:w="42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47"/>
              <w:spacing w:after="0" w:line="143" w:lineRule="exact"/>
              <w:rPr>
                <w:sz w:val="20"/>
                <w:szCs w:val="20"/>
                <w:color w:val="auto"/>
              </w:rPr>
            </w:pPr>
            <w:r>
              <w:rPr>
                <w:rFonts w:ascii="Arial" w:cs="Arial" w:eastAsia="Arial" w:hAnsi="Arial"/>
                <w:sz w:val="14"/>
                <w:szCs w:val="14"/>
                <w:color w:val="auto"/>
              </w:rPr>
              <w:t>68,065</w:t>
            </w:r>
          </w:p>
        </w:tc>
        <w:tc>
          <w:tcPr>
            <w:tcW w:w="520" w:type="dxa"/>
            <w:vAlign w:val="bottom"/>
            <w:tcBorders>
              <w:bottom w:val="single" w:sz="8" w:color="auto"/>
            </w:tcBorders>
          </w:tcPr>
          <w:p>
            <w:pPr>
              <w:jc w:val="right"/>
              <w:ind w:right="288"/>
              <w:spacing w:after="0" w:line="143"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7"/>
              <w:spacing w:after="0" w:line="143" w:lineRule="exact"/>
              <w:rPr>
                <w:sz w:val="20"/>
                <w:szCs w:val="20"/>
                <w:color w:val="auto"/>
              </w:rPr>
            </w:pPr>
            <w:r>
              <w:rPr>
                <w:rFonts w:ascii="Arial" w:cs="Arial" w:eastAsia="Arial" w:hAnsi="Arial"/>
                <w:sz w:val="14"/>
                <w:szCs w:val="14"/>
                <w:color w:val="auto"/>
              </w:rPr>
              <w:t>6,861</w:t>
            </w:r>
          </w:p>
        </w:tc>
      </w:tr>
      <w:tr>
        <w:trPr>
          <w:trHeight w:val="143"/>
        </w:trPr>
        <w:tc>
          <w:tcPr>
            <w:tcW w:w="598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Total Loans and Leases</w:t>
            </w:r>
          </w:p>
        </w:tc>
        <w:tc>
          <w:tcPr>
            <w:tcW w:w="680" w:type="dxa"/>
            <w:vAlign w:val="bottom"/>
            <w:tcBorders>
              <w:bottom w:val="single" w:sz="8" w:color="auto"/>
            </w:tcBorders>
            <w:shd w:val="clear" w:color="auto" w:fill="CFF0FC"/>
          </w:tcPr>
          <w:p>
            <w:pPr>
              <w:jc w:val="right"/>
              <w:ind w:right="268"/>
              <w:spacing w:after="0" w:line="143"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67"/>
              <w:spacing w:after="0" w:line="143" w:lineRule="exact"/>
              <w:rPr>
                <w:sz w:val="20"/>
                <w:szCs w:val="20"/>
                <w:color w:val="auto"/>
              </w:rPr>
            </w:pPr>
            <w:r>
              <w:rPr>
                <w:rFonts w:ascii="Arial" w:cs="Arial" w:eastAsia="Arial" w:hAnsi="Arial"/>
                <w:sz w:val="14"/>
                <w:szCs w:val="14"/>
                <w:color w:val="auto"/>
              </w:rPr>
              <w:t>12,041,378</w:t>
            </w:r>
          </w:p>
        </w:tc>
        <w:tc>
          <w:tcPr>
            <w:tcW w:w="420" w:type="dxa"/>
            <w:vAlign w:val="bottom"/>
            <w:tcBorders>
              <w:bottom w:val="single" w:sz="8" w:color="auto"/>
            </w:tcBorders>
            <w:shd w:val="clear" w:color="auto" w:fill="CFF0FC"/>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ind w:right="147"/>
              <w:spacing w:after="0" w:line="143" w:lineRule="exact"/>
              <w:rPr>
                <w:sz w:val="20"/>
                <w:szCs w:val="20"/>
                <w:color w:val="auto"/>
              </w:rPr>
            </w:pPr>
            <w:r>
              <w:rPr>
                <w:rFonts w:ascii="Arial" w:cs="Arial" w:eastAsia="Arial" w:hAnsi="Arial"/>
                <w:sz w:val="14"/>
                <w:szCs w:val="14"/>
                <w:color w:val="auto"/>
              </w:rPr>
              <w:t>11,940,020</w:t>
            </w:r>
          </w:p>
        </w:tc>
        <w:tc>
          <w:tcPr>
            <w:tcW w:w="520" w:type="dxa"/>
            <w:vAlign w:val="bottom"/>
            <w:tcBorders>
              <w:bottom w:val="single" w:sz="8" w:color="auto"/>
            </w:tcBorders>
            <w:shd w:val="clear" w:color="auto" w:fill="CFF0FC"/>
          </w:tcPr>
          <w:p>
            <w:pPr>
              <w:jc w:val="right"/>
              <w:ind w:right="288"/>
              <w:spacing w:after="0" w:line="143"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127"/>
              <w:spacing w:after="0" w:line="143" w:lineRule="exact"/>
              <w:rPr>
                <w:sz w:val="20"/>
                <w:szCs w:val="20"/>
                <w:color w:val="auto"/>
              </w:rPr>
            </w:pPr>
            <w:r>
              <w:rPr>
                <w:rFonts w:ascii="Arial" w:cs="Arial" w:eastAsia="Arial" w:hAnsi="Arial"/>
                <w:sz w:val="14"/>
                <w:szCs w:val="14"/>
                <w:color w:val="auto"/>
              </w:rPr>
              <w:t>101,358</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3"/>
        </w:trPr>
        <w:tc>
          <w:tcPr>
            <w:tcW w:w="59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Ratio of Non-Accrual Loans and Leases to Total Loans and Leases</w:t>
            </w: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0.14%</w:t>
            </w: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7"/>
              <w:spacing w:after="0" w:line="143" w:lineRule="exact"/>
              <w:rPr>
                <w:sz w:val="20"/>
                <w:szCs w:val="20"/>
                <w:color w:val="auto"/>
              </w:rPr>
            </w:pPr>
            <w:r>
              <w:rPr>
                <w:rFonts w:ascii="Arial" w:cs="Arial" w:eastAsia="Arial" w:hAnsi="Arial"/>
                <w:sz w:val="14"/>
                <w:szCs w:val="14"/>
                <w:color w:val="auto"/>
              </w:rPr>
              <w:t>0.14%</w:t>
            </w: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27"/>
              <w:spacing w:after="0" w:line="143" w:lineRule="exact"/>
              <w:rPr>
                <w:sz w:val="20"/>
                <w:szCs w:val="20"/>
                <w:color w:val="auto"/>
              </w:rPr>
            </w:pPr>
            <w:r>
              <w:rPr>
                <w:rFonts w:ascii="Arial" w:cs="Arial" w:eastAsia="Arial" w:hAnsi="Arial"/>
                <w:sz w:val="14"/>
                <w:szCs w:val="14"/>
                <w:color w:val="auto"/>
              </w:rPr>
              <w:t>—</w:t>
            </w:r>
          </w:p>
        </w:tc>
      </w:tr>
      <w:tr>
        <w:trPr>
          <w:trHeight w:val="155"/>
        </w:trPr>
        <w:tc>
          <w:tcPr>
            <w:tcW w:w="5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Ratio of Non-Performing Assets to Total Loans and Leases and Foreclosed Real Estate</w:t>
            </w:r>
          </w:p>
        </w:tc>
        <w:tc>
          <w:tcPr>
            <w:tcW w:w="6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0.16%</w:t>
            </w:r>
          </w:p>
        </w:tc>
        <w:tc>
          <w:tcPr>
            <w:tcW w:w="4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ind w:right="27"/>
              <w:spacing w:after="0" w:line="155" w:lineRule="exact"/>
              <w:rPr>
                <w:sz w:val="20"/>
                <w:szCs w:val="20"/>
                <w:color w:val="auto"/>
              </w:rPr>
            </w:pPr>
            <w:r>
              <w:rPr>
                <w:rFonts w:ascii="Arial" w:cs="Arial" w:eastAsia="Arial" w:hAnsi="Arial"/>
                <w:sz w:val="14"/>
                <w:szCs w:val="14"/>
                <w:color w:val="auto"/>
              </w:rPr>
              <w:t>0.15%</w:t>
            </w:r>
          </w:p>
        </w:tc>
        <w:tc>
          <w:tcPr>
            <w:tcW w:w="52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0.01%</w:t>
            </w:r>
          </w:p>
        </w:tc>
      </w:tr>
      <w:tr>
        <w:trPr>
          <w:trHeight w:val="137"/>
        </w:trPr>
        <w:tc>
          <w:tcPr>
            <w:tcW w:w="5980" w:type="dxa"/>
            <w:vAlign w:val="bottom"/>
          </w:tcPr>
          <w:p>
            <w:pPr>
              <w:spacing w:after="0" w:line="137" w:lineRule="exact"/>
              <w:rPr>
                <w:sz w:val="20"/>
                <w:szCs w:val="20"/>
                <w:color w:val="auto"/>
              </w:rPr>
            </w:pPr>
            <w:r>
              <w:rPr>
                <w:rFonts w:ascii="Arial" w:cs="Arial" w:eastAsia="Arial" w:hAnsi="Arial"/>
                <w:sz w:val="14"/>
                <w:szCs w:val="14"/>
                <w:color w:val="auto"/>
              </w:rPr>
              <w:t>Ratio of Commercial Non-Performing Assets to Total Commercial Loans and Leases</w:t>
            </w: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7"/>
        </w:trPr>
        <w:tc>
          <w:tcPr>
            <w:tcW w:w="5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and Commercial Foreclosed Real Estate</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0.18%</w:t>
            </w: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r>
      <w:tr>
        <w:trPr>
          <w:trHeight w:val="137"/>
        </w:trPr>
        <w:tc>
          <w:tcPr>
            <w:tcW w:w="598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Ratio of Consumer Non-Performing Assets to Total Consumer Loans and Leases</w:t>
            </w:r>
          </w:p>
        </w:tc>
        <w:tc>
          <w:tcPr>
            <w:tcW w:w="6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r>
      <w:tr>
        <w:trPr>
          <w:trHeight w:val="167"/>
        </w:trPr>
        <w:tc>
          <w:tcPr>
            <w:tcW w:w="59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and Consumer Foreclosed Real Estate</w:t>
            </w:r>
          </w:p>
        </w:tc>
        <w:tc>
          <w:tcPr>
            <w:tcW w:w="6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0.15%</w:t>
            </w:r>
          </w:p>
        </w:tc>
        <w:tc>
          <w:tcPr>
            <w:tcW w:w="4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4"/>
                <w:szCs w:val="14"/>
                <w:color w:val="auto"/>
              </w:rPr>
              <w:t>0.14%</w:t>
            </w:r>
          </w:p>
        </w:tc>
        <w:tc>
          <w:tcPr>
            <w:tcW w:w="5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0.01%</w:t>
            </w:r>
          </w:p>
        </w:tc>
      </w:tr>
      <w:tr>
        <w:trPr>
          <w:trHeight w:val="137"/>
        </w:trPr>
        <w:tc>
          <w:tcPr>
            <w:tcW w:w="5980" w:type="dxa"/>
            <w:vAlign w:val="bottom"/>
          </w:tcPr>
          <w:p>
            <w:pPr>
              <w:spacing w:after="0" w:line="137" w:lineRule="exact"/>
              <w:rPr>
                <w:sz w:val="20"/>
                <w:szCs w:val="20"/>
                <w:color w:val="auto"/>
              </w:rPr>
            </w:pPr>
            <w:r>
              <w:rPr>
                <w:rFonts w:ascii="Arial" w:cs="Arial" w:eastAsia="Arial" w:hAnsi="Arial"/>
                <w:sz w:val="14"/>
                <w:szCs w:val="14"/>
                <w:color w:val="auto"/>
              </w:rPr>
              <w:t>Ratio of Non-Performing Assets and Accruing Loans and Leases Past Due 90 Days</w:t>
            </w: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7"/>
        </w:trPr>
        <w:tc>
          <w:tcPr>
            <w:tcW w:w="5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or More to Total Loans and Leases and Foreclosed Real Estate</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0.24%</w:t>
            </w: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r>
      <w:tr>
        <w:trPr>
          <w:trHeight w:val="155"/>
        </w:trPr>
        <w:tc>
          <w:tcPr>
            <w:tcW w:w="5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Changes in Non-Performing Assets</w:t>
            </w:r>
          </w:p>
        </w:tc>
        <w:tc>
          <w:tcPr>
            <w:tcW w:w="6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r>
      <w:tr>
        <w:trPr>
          <w:trHeight w:val="156"/>
        </w:trPr>
        <w:tc>
          <w:tcPr>
            <w:tcW w:w="59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2020</w:t>
            </w:r>
          </w:p>
        </w:tc>
        <w:tc>
          <w:tcPr>
            <w:tcW w:w="6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67"/>
              <w:spacing w:after="0" w:line="155" w:lineRule="exact"/>
              <w:rPr>
                <w:sz w:val="20"/>
                <w:szCs w:val="20"/>
                <w:color w:val="auto"/>
              </w:rPr>
            </w:pPr>
            <w:r>
              <w:rPr>
                <w:rFonts w:ascii="Arial" w:cs="Arial" w:eastAsia="Arial" w:hAnsi="Arial"/>
                <w:sz w:val="14"/>
                <w:szCs w:val="14"/>
                <w:color w:val="auto"/>
              </w:rPr>
              <w:t>18,481</w:t>
            </w: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5980" w:type="dxa"/>
            <w:vAlign w:val="bottom"/>
            <w:shd w:val="clear" w:color="auto" w:fill="CFF0FC"/>
          </w:tcPr>
          <w:p>
            <w:pPr>
              <w:spacing w:after="0"/>
              <w:rPr>
                <w:sz w:val="20"/>
                <w:szCs w:val="20"/>
                <w:color w:val="auto"/>
              </w:rPr>
            </w:pPr>
            <w:r>
              <w:rPr>
                <w:rFonts w:ascii="Arial" w:cs="Arial" w:eastAsia="Arial" w:hAnsi="Arial"/>
                <w:sz w:val="14"/>
                <w:szCs w:val="14"/>
                <w:color w:val="auto"/>
              </w:rPr>
              <w:t>Additions</w:t>
            </w: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7"/>
              <w:spacing w:after="0"/>
              <w:rPr>
                <w:sz w:val="20"/>
                <w:szCs w:val="20"/>
                <w:color w:val="auto"/>
              </w:rPr>
            </w:pPr>
            <w:r>
              <w:rPr>
                <w:rFonts w:ascii="Arial" w:cs="Arial" w:eastAsia="Arial" w:hAnsi="Arial"/>
                <w:sz w:val="14"/>
                <w:szCs w:val="14"/>
                <w:color w:val="auto"/>
              </w:rPr>
              <w:t>5,221</w:t>
            </w: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Reductions</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w:t>
            </w: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7"/>
              <w:spacing w:after="0"/>
              <w:rPr>
                <w:sz w:val="20"/>
                <w:szCs w:val="20"/>
                <w:color w:val="auto"/>
              </w:rPr>
            </w:pPr>
            <w:r>
              <w:rPr>
                <w:rFonts w:ascii="Arial" w:cs="Arial" w:eastAsia="Arial" w:hAnsi="Arial"/>
                <w:sz w:val="14"/>
                <w:szCs w:val="14"/>
                <w:color w:val="auto"/>
              </w:rPr>
              <w:t>(3,203)</w:t>
            </w: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Return to Accrual Status</w:t>
            </w:r>
          </w:p>
        </w:tc>
        <w:tc>
          <w:tcPr>
            <w:tcW w:w="6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color w:val="auto"/>
              </w:rPr>
              <w:t>(1,430)</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9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Charge-offs/Write-downs</w:t>
            </w:r>
          </w:p>
        </w:tc>
        <w:tc>
          <w:tcPr>
            <w:tcW w:w="6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4"/>
                <w:szCs w:val="14"/>
                <w:color w:val="auto"/>
              </w:rPr>
              <w:t>(95)</w:t>
            </w: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56"/>
        </w:trPr>
        <w:tc>
          <w:tcPr>
            <w:tcW w:w="5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Reductions</w:t>
            </w: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color w:val="auto"/>
              </w:rPr>
              <w:t>(4,728)</w:t>
            </w:r>
          </w:p>
        </w:tc>
        <w:tc>
          <w:tcPr>
            <w:tcW w:w="4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r>
      <w:tr>
        <w:trPr>
          <w:trHeight w:val="155"/>
        </w:trPr>
        <w:tc>
          <w:tcPr>
            <w:tcW w:w="5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2021</w:t>
            </w:r>
          </w:p>
        </w:tc>
        <w:tc>
          <w:tcPr>
            <w:tcW w:w="68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67"/>
              <w:spacing w:after="0" w:line="155" w:lineRule="exact"/>
              <w:rPr>
                <w:sz w:val="20"/>
                <w:szCs w:val="20"/>
                <w:color w:val="auto"/>
              </w:rPr>
            </w:pPr>
            <w:r>
              <w:rPr>
                <w:rFonts w:ascii="Arial" w:cs="Arial" w:eastAsia="Arial" w:hAnsi="Arial"/>
                <w:sz w:val="14"/>
                <w:szCs w:val="14"/>
                <w:color w:val="auto"/>
              </w:rPr>
              <w:t>18,974</w:t>
            </w:r>
          </w:p>
        </w:tc>
        <w:tc>
          <w:tcPr>
            <w:tcW w:w="420" w:type="dxa"/>
            <w:vAlign w:val="bottom"/>
            <w:tcBorders>
              <w:bottom w:val="single" w:sz="8" w:color="CFF0FC"/>
            </w:tcBorders>
            <w:shd w:val="clear" w:color="auto" w:fill="CFF0FC"/>
          </w:tcPr>
          <w:p>
            <w:pPr>
              <w:spacing w:after="0"/>
              <w:rPr>
                <w:sz w:val="13"/>
                <w:szCs w:val="13"/>
                <w:color w:val="auto"/>
              </w:rPr>
            </w:pPr>
          </w:p>
        </w:tc>
        <w:tc>
          <w:tcPr>
            <w:tcW w:w="136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shd w:val="clear" w:color="auto" w:fill="CFF0FC"/>
          </w:tcPr>
          <w:p>
            <w:pPr>
              <w:spacing w:after="0"/>
              <w:rPr>
                <w:sz w:val="13"/>
                <w:szCs w:val="13"/>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1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3"/>
          <w:szCs w:val="13"/>
          <w:color w:val="auto"/>
        </w:rPr>
        <w:t>Comprised of other revolving credit, installment, and lease financing.</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NPAs consist of non-accrual loans and leases, and foreclosed real estate. Changes in the level of non-accrual loans and leases typically represent additions for loans and leases that reach a specified past due status, offset by reductions for loans and leases that are charged-off, paid down, sold, transferred to Other Real Estate Owned (“OREO”), or are no longer classified as non-accrual because they have returned to accrual status.</w:t>
      </w:r>
    </w:p>
    <w:p>
      <w:pPr>
        <w:spacing w:after="0" w:line="1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Residential mortgage non-accrual loans were $2.4 million as of June 30, 2021, a decrease of $0.8 million or 24% from December 31, 2020, primarily due to returns to accrual status and payoffs. As of June 30, 2021, our residential mortgage non-accrual loans were comprised of nine loans with a weighted average current loan-to-value ratio of 67%.</w:t>
      </w:r>
    </w:p>
    <w:p>
      <w:pPr>
        <w:spacing w:after="0" w:line="157" w:lineRule="exact"/>
        <w:rPr>
          <w:sz w:val="20"/>
          <w:szCs w:val="20"/>
          <w:color w:val="auto"/>
        </w:rPr>
      </w:pPr>
    </w:p>
    <w:p>
      <w:pPr>
        <w:jc w:val="both"/>
        <w:ind w:right="720"/>
        <w:spacing w:after="0" w:line="263" w:lineRule="auto"/>
        <w:rPr>
          <w:sz w:val="20"/>
          <w:szCs w:val="20"/>
          <w:color w:val="auto"/>
        </w:rPr>
      </w:pPr>
      <w:r>
        <w:rPr>
          <w:rFonts w:ascii="Arial" w:cs="Arial" w:eastAsia="Arial" w:hAnsi="Arial"/>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as of June 30, 2021 was unchanged from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$9.3 million as of June 30, 2021, a $1.3 million or 12% decrease from December 31, 2020. The decrease was primarily in residential mortgage, other, and auto loans, which was partially offset by an increase in home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1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17</w:t>
            </w:r>
          </w:p>
        </w:tc>
      </w:tr>
      <w:tr>
        <w:trPr>
          <w:trHeight w:val="199"/>
        </w:trPr>
        <w:tc>
          <w:tcPr>
            <w:tcW w:w="4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18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84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19,987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20,337</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6"/>
        </w:trPr>
        <w:tc>
          <w:tcPr>
            <w:tcW w:w="4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18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12,271</w:t>
            </w:r>
          </w:p>
        </w:tc>
        <w:tc>
          <w:tcPr>
            <w:tcW w:w="4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7,605</w:t>
            </w:r>
          </w:p>
        </w:tc>
        <w:tc>
          <w:tcPr>
            <w:tcW w:w="6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4,666</w:t>
            </w:r>
          </w:p>
        </w:tc>
      </w:tr>
      <w:tr>
        <w:trPr>
          <w:trHeight w:val="209"/>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1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32,258</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27,942</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4,316</w:t>
            </w: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18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8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18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17,217</w:t>
            </w:r>
          </w:p>
        </w:tc>
        <w:tc>
          <w:tcPr>
            <w:tcW w:w="4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18,503</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(1,286)</w:t>
            </w:r>
          </w:p>
        </w:tc>
      </w:tr>
      <w:tr>
        <w:trPr>
          <w:trHeight w:val="219"/>
        </w:trPr>
        <w:tc>
          <w:tcPr>
            <w:tcW w:w="4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1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4,400</w:t>
            </w:r>
          </w:p>
        </w:tc>
        <w:tc>
          <w:tcPr>
            <w:tcW w:w="4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4,070</w:t>
            </w: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w:t>
            </w:r>
          </w:p>
        </w:tc>
      </w:tr>
      <w:tr>
        <w:trPr>
          <w:trHeight w:val="213"/>
        </w:trPr>
        <w:tc>
          <w:tcPr>
            <w:tcW w:w="48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8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25,787</w:t>
            </w:r>
          </w:p>
        </w:tc>
        <w:tc>
          <w:tcPr>
            <w:tcW w:w="4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19,155</w:t>
            </w:r>
          </w:p>
        </w:tc>
        <w:tc>
          <w:tcPr>
            <w:tcW w:w="6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6,632</w:t>
            </w:r>
          </w:p>
        </w:tc>
      </w:tr>
      <w:tr>
        <w:trPr>
          <w:trHeight w:val="219"/>
        </w:trPr>
        <w:tc>
          <w:tcPr>
            <w:tcW w:w="48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18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5,211</w:t>
            </w:r>
          </w:p>
        </w:tc>
        <w:tc>
          <w:tcPr>
            <w:tcW w:w="4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2,809</w:t>
            </w: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2,402</w:t>
            </w:r>
          </w:p>
        </w:tc>
      </w:tr>
      <w:tr>
        <w:trPr>
          <w:trHeight w:val="207"/>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18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52,615</w:t>
            </w: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44,537</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8,078</w:t>
            </w:r>
          </w:p>
        </w:tc>
      </w:tr>
      <w:tr>
        <w:trPr>
          <w:trHeight w:val="210"/>
        </w:trPr>
        <w:tc>
          <w:tcPr>
            <w:tcW w:w="4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186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84,873</w:t>
            </w:r>
          </w:p>
        </w:tc>
        <w:tc>
          <w:tcPr>
            <w:tcW w:w="4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72,479</w:t>
            </w:r>
          </w:p>
        </w:tc>
        <w:tc>
          <w:tcPr>
            <w:tcW w:w="6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12,394</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 offered loan and lease modifications to assist borrowers during the COVID-19 national emergency. In accordance with Section 4013 of the CARES Act and the joint agency statement issued by banking agencies, these COVID-19 related loan and lease modifications are not accounted for as TDRs. As of June 30, 2021, these COVID-19 related loan and lease modifications totaled $205.3 million (118 loans and leases) for the commercial segment and $13.2 million (65 loans and leases) for the consumer segment. See Note 4 to the Consolidated Financial Statements for more information.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18 presents the activity in our reserve for credit losses.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Reserve for Credit Losses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07"/>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7"/>
                <w:szCs w:val="17"/>
                <w:color w:val="auto"/>
              </w:rPr>
            </w:pPr>
          </w:p>
        </w:tc>
        <w:tc>
          <w:tcPr>
            <w:tcW w:w="27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2"/>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2"/>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203,779</w:t>
            </w:r>
          </w:p>
        </w:tc>
        <w:tc>
          <w:tcPr>
            <w:tcW w:w="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141,467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221,303</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116,849</w:t>
            </w:r>
          </w:p>
        </w:tc>
      </w:tr>
      <w:tr>
        <w:trPr>
          <w:trHeight w:val="213"/>
        </w:trPr>
        <w:tc>
          <w:tcPr>
            <w:tcW w:w="5240" w:type="dxa"/>
            <w:vAlign w:val="bottom"/>
          </w:tcPr>
          <w:p>
            <w:pPr>
              <w:spacing w:after="0"/>
              <w:rPr>
                <w:sz w:val="20"/>
                <w:szCs w:val="20"/>
                <w:color w:val="auto"/>
              </w:rPr>
            </w:pPr>
            <w:r>
              <w:rPr>
                <w:rFonts w:ascii="Arial" w:cs="Arial" w:eastAsia="Arial" w:hAnsi="Arial"/>
                <w:sz w:val="16"/>
                <w:szCs w:val="16"/>
                <w:b w:val="1"/>
                <w:bCs w:val="1"/>
                <w:color w:val="auto"/>
              </w:rPr>
              <w:t>CECL Adoption (Day 1) Impact</w:t>
            </w:r>
          </w:p>
        </w:tc>
        <w:tc>
          <w:tcPr>
            <w:tcW w:w="20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(5,072)</w:t>
            </w: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Loans and Leases Charged-Off</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13"/>
        </w:trPr>
        <w:tc>
          <w:tcPr>
            <w:tcW w:w="5240" w:type="dxa"/>
            <w:vAlign w:val="bottom"/>
          </w:tcPr>
          <w:p>
            <w:pPr>
              <w:ind w:left="26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Commercial and Industrial</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(456)</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(704)</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(1,349)</w:t>
            </w:r>
          </w:p>
        </w:tc>
      </w:tr>
      <w:tr>
        <w:trPr>
          <w:trHeight w:val="213"/>
        </w:trPr>
        <w:tc>
          <w:tcPr>
            <w:tcW w:w="5240" w:type="dxa"/>
            <w:vAlign w:val="bottom"/>
          </w:tcPr>
          <w:p>
            <w:pPr>
              <w:ind w:left="260"/>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Mortgage</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(115)</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(119)</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(84)</w:t>
            </w:r>
          </w:p>
        </w:tc>
      </w:tr>
      <w:tr>
        <w:trPr>
          <w:trHeight w:val="213"/>
        </w:trPr>
        <w:tc>
          <w:tcPr>
            <w:tcW w:w="524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(123)</w:t>
            </w:r>
          </w:p>
        </w:tc>
        <w:tc>
          <w:tcPr>
            <w:tcW w:w="4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(273)</w:t>
            </w:r>
          </w:p>
        </w:tc>
      </w:tr>
      <w:tr>
        <w:trPr>
          <w:trHeight w:val="219"/>
        </w:trPr>
        <w:tc>
          <w:tcPr>
            <w:tcW w:w="5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Automobile</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(1,209)</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(3,318)</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(5,614)</w:t>
            </w:r>
          </w:p>
        </w:tc>
      </w:tr>
      <w:tr>
        <w:trPr>
          <w:trHeight w:val="216"/>
        </w:trPr>
        <w:tc>
          <w:tcPr>
            <w:tcW w:w="5240" w:type="dxa"/>
            <w:vAlign w:val="bottom"/>
            <w:tcBorders>
              <w:bottom w:val="single" w:sz="8" w:color="auto"/>
            </w:tcBorders>
          </w:tcPr>
          <w:p>
            <w:pPr>
              <w:ind w:left="50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(2,422)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(6,336)</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(8,140)</w:t>
            </w:r>
          </w:p>
        </w:tc>
      </w:tr>
      <w:tr>
        <w:trPr>
          <w:trHeight w:val="207"/>
        </w:trPr>
        <w:tc>
          <w:tcPr>
            <w:tcW w:w="5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 Charged-Off</w:t>
            </w: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(4,309)</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(8,283)</w:t>
            </w:r>
          </w:p>
        </w:tc>
        <w:tc>
          <w:tcPr>
            <w:tcW w:w="1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(10,600)</w:t>
            </w:r>
          </w:p>
        </w:tc>
        <w:tc>
          <w:tcPr>
            <w:tcW w:w="4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(15,460)</w:t>
            </w: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Recoveries on Loans and Leases Previously Charged-Off</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13"/>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20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144</w:t>
            </w:r>
          </w:p>
        </w:tc>
        <w:tc>
          <w:tcPr>
            <w:tcW w:w="3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256</w:t>
            </w:r>
          </w:p>
        </w:tc>
        <w:tc>
          <w:tcPr>
            <w:tcW w:w="42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1,813</w:t>
            </w:r>
          </w:p>
        </w:tc>
      </w:tr>
      <w:tr>
        <w:trPr>
          <w:trHeight w:val="219"/>
        </w:trPr>
        <w:tc>
          <w:tcPr>
            <w:tcW w:w="5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Commercial Mortgage</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w:t>
            </w:r>
          </w:p>
        </w:tc>
      </w:tr>
      <w:tr>
        <w:trPr>
          <w:trHeight w:val="213"/>
        </w:trPr>
        <w:tc>
          <w:tcPr>
            <w:tcW w:w="5240" w:type="dxa"/>
            <w:vAlign w:val="bottom"/>
          </w:tcPr>
          <w:p>
            <w:pPr>
              <w:ind w:left="260"/>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Mortgage</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481</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1,436</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381</w:t>
            </w:r>
          </w:p>
        </w:tc>
      </w:tr>
      <w:tr>
        <w:trPr>
          <w:trHeight w:val="213"/>
        </w:trPr>
        <w:tc>
          <w:tcPr>
            <w:tcW w:w="524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20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527</w:t>
            </w:r>
          </w:p>
        </w:tc>
        <w:tc>
          <w:tcPr>
            <w:tcW w:w="3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1,060</w:t>
            </w:r>
          </w:p>
        </w:tc>
        <w:tc>
          <w:tcPr>
            <w:tcW w:w="42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1,297</w:t>
            </w:r>
          </w:p>
        </w:tc>
      </w:tr>
      <w:tr>
        <w:trPr>
          <w:trHeight w:val="219"/>
        </w:trPr>
        <w:tc>
          <w:tcPr>
            <w:tcW w:w="5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Automobile</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1,172</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547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2,091</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1,552</w:t>
            </w:r>
          </w:p>
        </w:tc>
      </w:tr>
      <w:tr>
        <w:trPr>
          <w:trHeight w:val="216"/>
        </w:trPr>
        <w:tc>
          <w:tcPr>
            <w:tcW w:w="5240" w:type="dxa"/>
            <w:vAlign w:val="bottom"/>
            <w:tcBorders>
              <w:bottom w:val="single" w:sz="8" w:color="auto"/>
            </w:tcBorders>
          </w:tcPr>
          <w:p>
            <w:pPr>
              <w:ind w:left="50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801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662</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1,657</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1,526</w:t>
            </w:r>
          </w:p>
        </w:tc>
      </w:tr>
      <w:tr>
        <w:trPr>
          <w:trHeight w:val="196"/>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Recoveries on Loans and Leases Previously</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13"/>
        </w:trPr>
        <w:tc>
          <w:tcPr>
            <w:tcW w:w="5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Charged-Off</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3,125</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3,172</w:t>
            </w: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6,500</w:t>
            </w: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6,609</w:t>
            </w: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Net Charged-Off - Loans and Leases</w:t>
            </w: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(1,184)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(4,100)</w:t>
            </w:r>
          </w:p>
        </w:tc>
        <w:tc>
          <w:tcPr>
            <w:tcW w:w="4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(8,851)</w:t>
            </w: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Net Charged-Off - Accrued Interest Receivable</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(432)</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Provision for Credit Losses: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Loans and Leases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(16,774)</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40,400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(31,767)</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74,000</w:t>
            </w:r>
          </w:p>
        </w:tc>
      </w:tr>
      <w:tr>
        <w:trPr>
          <w:trHeight w:val="216"/>
        </w:trPr>
        <w:tc>
          <w:tcPr>
            <w:tcW w:w="524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Accrued Interest Receivable </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(828)</w:t>
            </w:r>
          </w:p>
        </w:tc>
        <w:tc>
          <w:tcPr>
            <w:tcW w:w="3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(828)</w:t>
            </w:r>
          </w:p>
        </w:tc>
        <w:tc>
          <w:tcPr>
            <w:tcW w:w="42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5240" w:type="dxa"/>
            <w:vAlign w:val="bottom"/>
            <w:tcBorders>
              <w:bottom w:val="single" w:sz="8" w:color="auto"/>
            </w:tcBorders>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Unfunded Commitments </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1,502</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2,195</w:t>
            </w: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(968)</w:t>
            </w:r>
          </w:p>
        </w:tc>
      </w:tr>
      <w:tr>
        <w:trPr>
          <w:trHeight w:val="206"/>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Provision for Credit Losses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(16,100)</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39,602</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(30,400)</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73,032</w:t>
            </w:r>
          </w:p>
        </w:tc>
      </w:tr>
      <w:tr>
        <w:trPr>
          <w:trHeight w:val="210"/>
        </w:trPr>
        <w:tc>
          <w:tcPr>
            <w:tcW w:w="5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186,371</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175,958</w:t>
            </w: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186,371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175,958</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6"/>
                <w:szCs w:val="16"/>
                <w:b w:val="1"/>
                <w:bCs w:val="1"/>
                <w:color w:val="auto"/>
              </w:rPr>
              <w:t>Components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5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Allowance for Credit Losses - Loans and Leases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180,385</w:t>
            </w:r>
          </w:p>
        </w:tc>
        <w:tc>
          <w:tcPr>
            <w:tcW w:w="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173,439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180,385</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173,439</w:t>
            </w:r>
          </w:p>
        </w:tc>
      </w:tr>
      <w:tr>
        <w:trPr>
          <w:trHeight w:val="216"/>
        </w:trPr>
        <w:tc>
          <w:tcPr>
            <w:tcW w:w="524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Allowance for Credit Losses - Accrued Interest Receivable </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1,440</w:t>
            </w:r>
          </w:p>
        </w:tc>
        <w:tc>
          <w:tcPr>
            <w:tcW w:w="3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1,440</w:t>
            </w:r>
          </w:p>
        </w:tc>
        <w:tc>
          <w:tcPr>
            <w:tcW w:w="42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5240" w:type="dxa"/>
            <w:vAlign w:val="bottom"/>
            <w:tcBorders>
              <w:bottom w:val="single" w:sz="8" w:color="auto"/>
            </w:tcBorders>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Reserve for Unfunded Commitments </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4,546</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2,519</w:t>
            </w: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4,546</w:t>
            </w: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2,519</w:t>
            </w:r>
          </w:p>
        </w:tc>
      </w:tr>
      <w:tr>
        <w:trPr>
          <w:trHeight w:val="247"/>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Reserve for Credit Losses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186,371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175,958</w:t>
            </w: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186,371</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175,958</w:t>
            </w:r>
          </w:p>
        </w:tc>
      </w:tr>
      <w:tr>
        <w:trPr>
          <w:trHeight w:val="196"/>
        </w:trPr>
        <w:tc>
          <w:tcPr>
            <w:tcW w:w="5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Average Loans and Leases Outstanding</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12,096,308</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11,727,649</w:t>
            </w:r>
          </w:p>
        </w:tc>
        <w:tc>
          <w:tcPr>
            <w:tcW w:w="1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12,024,844</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11,394,178</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Ratio of Net Loans and Leases Charged-Off (Recovered) to</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9"/>
        </w:trPr>
        <w:tc>
          <w:tcPr>
            <w:tcW w:w="5240" w:type="dxa"/>
            <w:vAlign w:val="bottom"/>
          </w:tcPr>
          <w:p>
            <w:pPr>
              <w:ind w:left="120"/>
              <w:spacing w:after="0"/>
              <w:rPr>
                <w:sz w:val="20"/>
                <w:szCs w:val="20"/>
                <w:color w:val="auto"/>
              </w:rPr>
            </w:pPr>
            <w:r>
              <w:rPr>
                <w:rFonts w:ascii="Arial" w:cs="Arial" w:eastAsia="Arial" w:hAnsi="Arial"/>
                <w:sz w:val="16"/>
                <w:szCs w:val="16"/>
                <w:color w:val="auto"/>
              </w:rPr>
              <w:t>Average Loans and Leases Outstanding (annualized)</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0.07%</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Ratio of Allowance for Credit Losses to</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2"/>
        </w:trPr>
        <w:tc>
          <w:tcPr>
            <w:tcW w:w="5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Loans and Leases Outstanding</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1.50%</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r>
    </w:tbl>
    <w:p>
      <w:pPr>
        <w:spacing w:after="0" w:line="48"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hanging="172"/>
        <w:spacing w:after="0"/>
        <w:tabs>
          <w:tab w:leader="none" w:pos="180" w:val="left"/>
        </w:tabs>
        <w:numPr>
          <w:ilvl w:val="0"/>
          <w:numId w:val="43"/>
        </w:numPr>
        <w:rPr>
          <w:rFonts w:ascii="Arial" w:cs="Arial" w:eastAsia="Arial" w:hAnsi="Arial"/>
          <w:sz w:val="11"/>
          <w:szCs w:val="11"/>
          <w:color w:val="auto"/>
        </w:rPr>
      </w:pPr>
      <w:r>
        <w:rPr>
          <w:rFonts w:ascii="Arial" w:cs="Arial" w:eastAsia="Arial" w:hAnsi="Arial"/>
          <w:sz w:val="13"/>
          <w:szCs w:val="13"/>
          <w:color w:val="auto"/>
        </w:rPr>
        <w:t>Beginning December 31, 2020, the Company established a reserve on accrued interest receivable related to loans in which interest payment forbearances were granted to borrowers impacted</w:t>
      </w:r>
    </w:p>
    <w:p>
      <w:pPr>
        <w:ind w:left="180"/>
        <w:spacing w:after="0" w:line="221" w:lineRule="auto"/>
        <w:rPr>
          <w:sz w:val="20"/>
          <w:szCs w:val="20"/>
          <w:color w:val="auto"/>
        </w:rPr>
      </w:pPr>
      <w:r>
        <w:rPr>
          <w:rFonts w:ascii="Arial" w:cs="Arial" w:eastAsia="Arial" w:hAnsi="Arial"/>
          <w:sz w:val="14"/>
          <w:szCs w:val="14"/>
          <w:color w:val="auto"/>
        </w:rPr>
        <w:t>by the COVID-19 pandemic. The reserve was recorded as a contra-asset against accrued interest receivable with the offset to provision for credit losses.</w:t>
      </w:r>
    </w:p>
    <w:p>
      <w:pPr>
        <w:ind w:left="180" w:right="120" w:hanging="172"/>
        <w:spacing w:after="0" w:line="271" w:lineRule="auto"/>
        <w:tabs>
          <w:tab w:leader="none" w:pos="180" w:val="left"/>
        </w:tabs>
        <w:numPr>
          <w:ilvl w:val="0"/>
          <w:numId w:val="44"/>
        </w:numPr>
        <w:rPr>
          <w:rFonts w:ascii="Arial" w:cs="Arial" w:eastAsia="Arial" w:hAnsi="Arial"/>
          <w:sz w:val="11"/>
          <w:szCs w:val="11"/>
          <w:color w:val="auto"/>
        </w:rPr>
      </w:pPr>
      <w:r>
        <w:rPr>
          <w:rFonts w:ascii="Arial" w:cs="Arial" w:eastAsia="Arial" w:hAnsi="Arial"/>
          <w:sz w:val="13"/>
          <w:szCs w:val="13"/>
          <w:color w:val="auto"/>
        </w:rPr>
        <w:t>The reserve for unfunded commitments is separately recorded in other liabilities in the consolidated statements of condition. For the six months ended June 30, 2021, the offsetting provision was recorded in provision for credit losses in the consolidated statements of income. In previous reporting periods, the offsetting provision was recorded in other noninterest expense.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 and Leases</w:t>
      </w:r>
    </w:p>
    <w:p>
      <w:pPr>
        <w:spacing w:after="0" w:line="18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of June 30, 2021, the Allowance was $180.4 million or 1.50% of total loans and leases outstanding (1.56% excluding PPP loans), compared with an Allowance of $216.3 million or 1.81% of total loans and leases outstanding (1.89% excluding PPP loans) as of December 31, 2020. The decrease in the Allowance and the ratio of Allowance to loans and leases outstanding was primarily due to management’s best estimate of losses over the life of loans and leases in our portfolio in accordance with the CECL approach, given the economic outlook and forecasts for COVID-19 pandemic driven market changes, as well as the impact of unprecedented intervention of fiscal, monetary and regulatory programs.</w:t>
      </w:r>
    </w:p>
    <w:p>
      <w:pPr>
        <w:spacing w:after="0" w:line="1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charge-off on loans and leases were $1.2 million or 0.04% of total average loans and leases, on an annualized basis, in the second quarter of 2021 compared to net charge-offs of $5.1 million or 0.18% of total average loans and leases, on an annualized basis, in the second quarter of 2020. The decrease in net charge-offs on loans and leases was primarily due to the impact of government stimulus measures and the assistance we offered to borrowers to modify payment terms, which helped to reduce the number of charge-offs during the quarter. Net charge-off on loans and leases were $4.1 million or 0.07% of total average loans and leases, on an annualized basis, for the first six months of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Accrued Interest Receivable</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allowance was first established on December 31, 2020 for accrued interest receivable related to loans in which interest payment forbearances were granted to borrowers impacted by the COVID-19 pandemic. The allowance for accrued interest receivable was $1.4 million as of June 30, 2021, a decrease of $1.3 million or 47% from December 31, 2020 as a result of both loan and deferred interest payments.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18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Unfunded Reserve was $4.5 million as of June 30, 2021, an increase of $2.2 million or 93% from December 31, 2020, as a result of both loan and deferred interest repayments. Increase in the unfunded reserve was driven primarily by risk rating downgrades to commercial loans with low or no utilization.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recorded a negative Provision of $16.1 million in the second quarter of 2021 compared to a $40.4 million Provision during the same period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2020. For the first six months of 2021 we recorded a negative Provision of $30.4 million compared to a $74.0 million Provision during the same period in</w:t>
      </w:r>
    </w:p>
    <w:p>
      <w:pPr>
        <w:spacing w:after="0" w:line="32"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2020. These decreases were primarily due to management’s best estimate of losses over the life of loans and leases in our portfolio in accordance with the CECL approach, given the economic outlook, consumer delinquency rates, post deferral consumer payment trends, and forecasts for COVID-19 pandemic driven market changes, as well as the impact of unprecedented intervention of fiscal, monetary and regulatory programs.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43" w:lineRule="exact"/>
        <w:rPr>
          <w:sz w:val="20"/>
          <w:szCs w:val="20"/>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18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use of derivative financial instruments, as detailed in Note 11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3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prepayment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16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utilize net interest income simulations to analyze income sensitivities to changes in interest rates. Table 19 presents, as of June 30, 2021, and December 31, 2020, an estimate of the change in net interest income that would result from a gradual and immediate change in interest rates, moving in a parallel shock over the entire yield curve, relative to the measured base case scenario. The base case scenario assumes the statement of condition and interest rates are generally unchanged. Based on our net interest income simulation as of June 30, 2021, net interest income is expected to increase as interest rates rise.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June 30, 2021, net interest income sensitivity to changes in interest rates as of June 30, 2021, was slightly more sensitive in comparison to the sensitivity profile as of December 31,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Interest Income Sensitivity Profile</w:t>
            </w:r>
          </w:p>
        </w:tc>
        <w:tc>
          <w:tcPr>
            <w:tcW w:w="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Table 19</w:t>
            </w:r>
          </w:p>
        </w:tc>
      </w:tr>
      <w:tr>
        <w:trPr>
          <w:trHeight w:val="207"/>
        </w:trPr>
        <w:tc>
          <w:tcPr>
            <w:tcW w:w="5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Impact on Future Annual Net Interest Income</w:t>
            </w:r>
          </w:p>
        </w:tc>
        <w:tc>
          <w:tcPr>
            <w:tcW w:w="800" w:type="dxa"/>
            <w:vAlign w:val="bottom"/>
            <w:tcBorders>
              <w:bottom w:val="single" w:sz="8" w:color="auto"/>
            </w:tcBorders>
          </w:tcPr>
          <w:p>
            <w:pPr>
              <w:spacing w:after="0"/>
              <w:rPr>
                <w:sz w:val="17"/>
                <w:szCs w:val="17"/>
                <w:color w:val="auto"/>
              </w:rPr>
            </w:pPr>
          </w:p>
        </w:tc>
      </w:tr>
      <w:tr>
        <w:trPr>
          <w:trHeight w:val="212"/>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30, 2021</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800" w:type="dxa"/>
            <w:vAlign w:val="bottom"/>
            <w:tcBorders>
              <w:bottom w:val="single" w:sz="8" w:color="auto"/>
            </w:tcBorders>
          </w:tcPr>
          <w:p>
            <w:pPr>
              <w:spacing w:after="0"/>
              <w:rPr>
                <w:sz w:val="18"/>
                <w:szCs w:val="18"/>
                <w:color w:val="auto"/>
              </w:rPr>
            </w:pPr>
          </w:p>
        </w:tc>
      </w:tr>
      <w:tr>
        <w:trPr>
          <w:trHeight w:val="212"/>
        </w:trPr>
        <w:tc>
          <w:tcPr>
            <w:tcW w:w="5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+200</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799"/>
              <w:spacing w:after="0"/>
              <w:rPr>
                <w:sz w:val="20"/>
                <w:szCs w:val="20"/>
                <w:color w:val="auto"/>
              </w:rPr>
            </w:pPr>
            <w:r>
              <w:rPr>
                <w:rFonts w:ascii="Arial" w:cs="Arial" w:eastAsia="Arial" w:hAnsi="Arial"/>
                <w:sz w:val="16"/>
                <w:szCs w:val="16"/>
                <w:color w:val="auto"/>
              </w:rPr>
              <w:t>25,753</w:t>
            </w: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21,584</w:t>
            </w: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13,338</w:t>
            </w:r>
          </w:p>
        </w:tc>
        <w:tc>
          <w:tcPr>
            <w:tcW w:w="8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2.8</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10,776</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w:t>
            </w: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18"/>
                <w:szCs w:val="18"/>
                <w:color w:val="auto"/>
              </w:rPr>
            </w:pPr>
          </w:p>
        </w:tc>
        <w:tc>
          <w:tcPr>
            <w:tcW w:w="1700" w:type="dxa"/>
            <w:vAlign w:val="bottom"/>
          </w:tcPr>
          <w:p>
            <w:pPr>
              <w:jc w:val="right"/>
              <w:ind w:right="739"/>
              <w:spacing w:after="0"/>
              <w:rPr>
                <w:sz w:val="20"/>
                <w:szCs w:val="20"/>
                <w:color w:val="auto"/>
              </w:rPr>
            </w:pPr>
            <w:r>
              <w:rPr>
                <w:rFonts w:ascii="Arial" w:cs="Arial" w:eastAsia="Arial" w:hAnsi="Arial"/>
                <w:sz w:val="16"/>
                <w:szCs w:val="16"/>
                <w:color w:val="auto"/>
              </w:rPr>
              <w:t>(7,151)</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8"/>
                <w:szCs w:val="18"/>
                <w:color w:val="auto"/>
              </w:rPr>
            </w:pPr>
          </w:p>
        </w:tc>
        <w:tc>
          <w:tcPr>
            <w:tcW w:w="1680" w:type="dxa"/>
            <w:vAlign w:val="bottom"/>
          </w:tcPr>
          <w:p>
            <w:pPr>
              <w:jc w:val="right"/>
              <w:ind w:right="699"/>
              <w:spacing w:after="0"/>
              <w:rPr>
                <w:sz w:val="20"/>
                <w:szCs w:val="20"/>
                <w:color w:val="auto"/>
              </w:rPr>
            </w:pPr>
            <w:r>
              <w:rPr>
                <w:rFonts w:ascii="Arial" w:cs="Arial" w:eastAsia="Arial" w:hAnsi="Arial"/>
                <w:sz w:val="16"/>
                <w:szCs w:val="16"/>
                <w:color w:val="auto"/>
              </w:rPr>
              <w:t>(3,547)</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+200</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799"/>
              <w:spacing w:after="0"/>
              <w:rPr>
                <w:sz w:val="20"/>
                <w:szCs w:val="20"/>
                <w:color w:val="auto"/>
              </w:rPr>
            </w:pPr>
            <w:r>
              <w:rPr>
                <w:rFonts w:ascii="Arial" w:cs="Arial" w:eastAsia="Arial" w:hAnsi="Arial"/>
                <w:sz w:val="16"/>
                <w:szCs w:val="16"/>
                <w:color w:val="auto"/>
              </w:rPr>
              <w:t>58,678</w:t>
            </w:r>
          </w:p>
        </w:tc>
        <w:tc>
          <w:tcPr>
            <w:tcW w:w="820" w:type="dxa"/>
            <w:vAlign w:val="bottom"/>
          </w:tcPr>
          <w:p>
            <w:pPr>
              <w:jc w:val="right"/>
              <w:spacing w:after="0"/>
              <w:rPr>
                <w:sz w:val="20"/>
                <w:szCs w:val="20"/>
                <w:color w:val="auto"/>
              </w:rPr>
            </w:pPr>
            <w:r>
              <w:rPr>
                <w:rFonts w:ascii="Arial" w:cs="Arial" w:eastAsia="Arial" w:hAnsi="Arial"/>
                <w:sz w:val="16"/>
                <w:szCs w:val="16"/>
                <w:color w:val="auto"/>
              </w:rPr>
              <w:t>12.2%</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56,113</w:t>
            </w:r>
          </w:p>
        </w:tc>
        <w:tc>
          <w:tcPr>
            <w:tcW w:w="8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32,929</w:t>
            </w:r>
          </w:p>
        </w:tc>
        <w:tc>
          <w:tcPr>
            <w:tcW w:w="8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6.9</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30,439</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6.5</w:t>
            </w:r>
          </w:p>
        </w:tc>
      </w:tr>
      <w:tr>
        <w:trPr>
          <w:trHeight w:val="210"/>
        </w:trPr>
        <w:tc>
          <w:tcPr>
            <w:tcW w:w="5380" w:type="dxa"/>
            <w:vAlign w:val="bottom"/>
          </w:tcPr>
          <w:p>
            <w:pPr>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18"/>
                <w:szCs w:val="18"/>
                <w:color w:val="auto"/>
              </w:rPr>
            </w:pPr>
          </w:p>
        </w:tc>
        <w:tc>
          <w:tcPr>
            <w:tcW w:w="1700" w:type="dxa"/>
            <w:vAlign w:val="bottom"/>
          </w:tcPr>
          <w:p>
            <w:pPr>
              <w:jc w:val="right"/>
              <w:ind w:right="739"/>
              <w:spacing w:after="0"/>
              <w:rPr>
                <w:sz w:val="20"/>
                <w:szCs w:val="20"/>
                <w:color w:val="auto"/>
              </w:rPr>
            </w:pPr>
            <w:r>
              <w:rPr>
                <w:rFonts w:ascii="Arial" w:cs="Arial" w:eastAsia="Arial" w:hAnsi="Arial"/>
                <w:sz w:val="16"/>
                <w:szCs w:val="16"/>
                <w:color w:val="auto"/>
              </w:rPr>
              <w:t>(23,786)</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460" w:type="dxa"/>
            <w:vAlign w:val="bottom"/>
          </w:tcPr>
          <w:p>
            <w:pPr>
              <w:spacing w:after="0"/>
              <w:rPr>
                <w:sz w:val="18"/>
                <w:szCs w:val="18"/>
                <w:color w:val="auto"/>
              </w:rPr>
            </w:pPr>
          </w:p>
        </w:tc>
        <w:tc>
          <w:tcPr>
            <w:tcW w:w="1680" w:type="dxa"/>
            <w:vAlign w:val="bottom"/>
          </w:tcPr>
          <w:p>
            <w:pPr>
              <w:jc w:val="right"/>
              <w:ind w:right="699"/>
              <w:spacing w:after="0"/>
              <w:rPr>
                <w:sz w:val="20"/>
                <w:szCs w:val="20"/>
                <w:color w:val="auto"/>
              </w:rPr>
            </w:pPr>
            <w:r>
              <w:rPr>
                <w:rFonts w:ascii="Arial" w:cs="Arial" w:eastAsia="Arial" w:hAnsi="Arial"/>
                <w:sz w:val="16"/>
                <w:szCs w:val="16"/>
                <w:color w:val="auto"/>
              </w:rPr>
              <w:t>(13,517)</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18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5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and our ability to sell loans in the secondary market.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June 30, 2021, we had additional borrowing capacity of $2.9 billion from the FHLB and $0.8 billion from the FRB based on the amount of collateral pledged.</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continued our focus on maintaining a strong liquidity position throughout the first six months of 2021. As of June 30, 2021, cash and cash equivalents were $1.2 billion, the carrying value of our available-for-sale investment securities was $4.5 billion, and total deposits were $20.2 billion as of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8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June 30, 2021, the Company and the Bank were considered “well-capitalized” under this regulatory framework. The Company’s regulatory capital ratios are presented in Table 20 below. There have been no conditions or events since June 30, 2021, that management believes have changed either the Company’s or the Bank’s capital classifications.</w:t>
      </w:r>
    </w:p>
    <w:p>
      <w:pPr>
        <w:spacing w:after="0" w:line="15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2021, shareholders’ equity was $1.6 billion, an increase of $209.0 million or 15% from December 31, 2020. For the first six months of 2021, net income of $127.5 million, net preferred stock issuance of $175.5 million, common stock issuances of $6.7 million, and share-based compensation of $6.1 million were partially offset by other comprehensive loss of $49.3 million, cash dividends paid of $54.1 million on common shares, and common stock repurchased of $3.3 million. All common stock repurchased were related to employees and/or directors in connection with income tax withholdings on vesting of restricted stock and shares purchased for a deferred compensation plan. In the first six months of 2021, there were no repurchases under our share repurchase program. From the beginning of our share repurchase program in July 2001 through June 30, 2021, we repurchased a total of 57.1 million shares of common stock and returned a total of $2.3 billion to our shareholders at an average cost of $40.51 per share.</w:t>
      </w:r>
    </w:p>
    <w:p>
      <w:pPr>
        <w:spacing w:after="0" w:line="12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Remaining buyback authority under our share repurchase program was $113.1 million as of June 30, 2021. In March 2020, we suspended share repurchases in light of the COVID-19 pandemic. We plan to resume our share repurchase program as soon as practicable subject to market and economic conditions and applicable SEC rules.</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July 2021, the Parent’s Board of Directors declared the first quarterly dividend payment of its Fixed Rate Non-Cumulative Perpetual Preferred Stock, Series A, of $5.59 per share, equivalent to $0.13975 per depositary share. The dividend will be payable on August 2, 2021 to shareholders of record of the preferred stock as of July 16, 2021.</w:t>
      </w:r>
    </w:p>
    <w:p>
      <w:pPr>
        <w:spacing w:after="0" w:line="15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 July 2021, the Parent’s Board of Directors declared a quarterly cash dividend of $0.70 per share on the Parent’s outstanding common shares. The dividend will be payable on September 15, 2021, to shareholders of record of the common stock at the close of business on August 31, 2021.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June 30, 2021, and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Regulatory Capital and Ratios</w:t>
            </w:r>
          </w:p>
        </w:tc>
        <w:tc>
          <w:tcPr>
            <w:tcW w:w="2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20</w:t>
            </w:r>
          </w:p>
        </w:tc>
      </w:tr>
      <w:tr>
        <w:trPr>
          <w:trHeight w:val="199"/>
        </w:trPr>
        <w:tc>
          <w:tcPr>
            <w:tcW w:w="2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(dollars in thousands)</w:t>
            </w:r>
          </w:p>
        </w:tc>
        <w:tc>
          <w:tcPr>
            <w:tcW w:w="2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3"/>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Regulatory Capital</w:t>
            </w:r>
          </w:p>
        </w:tc>
        <w:tc>
          <w:tcPr>
            <w:tcW w:w="2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Total Common Shareholders’ Equity</w:t>
            </w:r>
          </w:p>
        </w:tc>
        <w:tc>
          <w:tcPr>
            <w:tcW w:w="21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1,408,044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1,374,507</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CECL Transitional Amount</w:t>
            </w:r>
          </w:p>
        </w:tc>
        <w:tc>
          <w:tcPr>
            <w:tcW w:w="2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15,017</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23,750</w:t>
            </w: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Less: Goodwill, Net of Deferred Tax Liabilities</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28,718</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28,718</w:t>
            </w:r>
          </w:p>
        </w:tc>
      </w:tr>
      <w:tr>
        <w:trPr>
          <w:trHeight w:val="219"/>
        </w:trPr>
        <w:tc>
          <w:tcPr>
            <w:tcW w:w="59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Postretirement Benefit Liability Adjustments</w:t>
            </w:r>
          </w:p>
        </w:tc>
        <w:tc>
          <w:tcPr>
            <w:tcW w:w="2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(42,368)</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(43,250)</w:t>
            </w:r>
          </w:p>
        </w:tc>
      </w:tr>
      <w:tr>
        <w:trPr>
          <w:trHeight w:val="216"/>
        </w:trPr>
        <w:tc>
          <w:tcPr>
            <w:tcW w:w="5960" w:type="dxa"/>
            <w:vAlign w:val="bottom"/>
            <w:gridSpan w:val="2"/>
          </w:tcPr>
          <w:p>
            <w:pPr>
              <w:ind w:left="500"/>
              <w:spacing w:after="0" w:line="216" w:lineRule="exact"/>
              <w:rPr>
                <w:sz w:val="20"/>
                <w:szCs w:val="20"/>
                <w:color w:val="auto"/>
              </w:rPr>
            </w:pPr>
            <w:r>
              <w:rPr>
                <w:rFonts w:ascii="Arial" w:cs="Arial" w:eastAsia="Arial" w:hAnsi="Arial"/>
                <w:sz w:val="15"/>
                <w:szCs w:val="15"/>
                <w:color w:val="auto"/>
              </w:rPr>
              <w:t xml:space="preserve">Net Unrealized Gains (Losses) on Investment Securities </w:t>
            </w:r>
            <w:r>
              <w:rPr>
                <w:rFonts w:ascii="Arial" w:cs="Arial" w:eastAsia="Arial" w:hAnsi="Arial"/>
                <w:sz w:val="25"/>
                <w:szCs w:val="25"/>
                <w:color w:val="auto"/>
                <w:vertAlign w:val="superscript"/>
              </w:rPr>
              <w:t>1</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900</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51,072</w:t>
            </w:r>
          </w:p>
        </w:tc>
      </w:tr>
      <w:tr>
        <w:trPr>
          <w:trHeight w:val="213"/>
        </w:trPr>
        <w:tc>
          <w:tcPr>
            <w:tcW w:w="5960" w:type="dxa"/>
            <w:vAlign w:val="bottom"/>
            <w:tcBorders>
              <w:bottom w:val="single" w:sz="8" w:color="auto"/>
            </w:tcBorders>
            <w:gridSpan w:val="2"/>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2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(198)</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(198)</w:t>
            </w:r>
          </w:p>
        </w:tc>
      </w:tr>
      <w:tr>
        <w:trPr>
          <w:trHeight w:val="209"/>
        </w:trPr>
        <w:tc>
          <w:tcPr>
            <w:tcW w:w="5960" w:type="dxa"/>
            <w:vAlign w:val="bottom"/>
            <w:gridSpan w:val="2"/>
          </w:tcPr>
          <w:p>
            <w:pPr>
              <w:spacing w:after="0"/>
              <w:rPr>
                <w:sz w:val="20"/>
                <w:szCs w:val="20"/>
                <w:color w:val="auto"/>
              </w:rPr>
            </w:pPr>
            <w:r>
              <w:rPr>
                <w:rFonts w:ascii="Arial" w:cs="Arial" w:eastAsia="Arial" w:hAnsi="Arial"/>
                <w:sz w:val="16"/>
                <w:szCs w:val="16"/>
                <w:color w:val="auto"/>
              </w:rPr>
              <w:t>Common Equity Tier 1 Capital</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1,436,009</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1,361,915</w:t>
            </w:r>
          </w:p>
        </w:tc>
      </w:tr>
      <w:tr>
        <w:trPr>
          <w:trHeight w:val="216"/>
        </w:trPr>
        <w:tc>
          <w:tcPr>
            <w:tcW w:w="59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Preferred Stock, Net of Issuance Cost</w:t>
            </w:r>
          </w:p>
        </w:tc>
        <w:tc>
          <w:tcPr>
            <w:tcW w:w="2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175,487</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0"/>
        </w:trPr>
        <w:tc>
          <w:tcPr>
            <w:tcW w:w="5960" w:type="dxa"/>
            <w:vAlign w:val="bottom"/>
            <w:gridSpan w:val="2"/>
          </w:tcPr>
          <w:p>
            <w:pPr>
              <w:spacing w:after="0"/>
              <w:rPr>
                <w:sz w:val="20"/>
                <w:szCs w:val="20"/>
                <w:color w:val="auto"/>
              </w:rPr>
            </w:pPr>
            <w:r>
              <w:rPr>
                <w:rFonts w:ascii="Arial" w:cs="Arial" w:eastAsia="Arial" w:hAnsi="Arial"/>
                <w:sz w:val="16"/>
                <w:szCs w:val="16"/>
                <w:color w:val="auto"/>
              </w:rPr>
              <w:t>Tier 1 Capital</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1,611,496</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1,361,915</w:t>
            </w:r>
          </w:p>
        </w:tc>
      </w:tr>
      <w:tr>
        <w:trPr>
          <w:trHeight w:val="216"/>
        </w:trPr>
        <w:tc>
          <w:tcPr>
            <w:tcW w:w="59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Allowable Reserve for Credit Losses</w:t>
            </w:r>
          </w:p>
        </w:tc>
        <w:tc>
          <w:tcPr>
            <w:tcW w:w="2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145,522</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141,869</w:t>
            </w:r>
          </w:p>
        </w:tc>
      </w:tr>
      <w:tr>
        <w:trPr>
          <w:trHeight w:val="250"/>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Regulatory Capital</w:t>
            </w:r>
          </w:p>
        </w:tc>
        <w:tc>
          <w:tcPr>
            <w:tcW w:w="2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1,757,018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1,503,784</w:t>
            </w:r>
          </w:p>
        </w:tc>
      </w:tr>
      <w:tr>
        <w:trPr>
          <w:trHeight w:val="197"/>
        </w:trPr>
        <w:tc>
          <w:tcPr>
            <w:tcW w:w="59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Risk-Weighted Assets</w:t>
            </w:r>
          </w:p>
        </w:tc>
        <w:tc>
          <w:tcPr>
            <w:tcW w:w="216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11,614,522</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11,295,077</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9"/>
        </w:trPr>
        <w:tc>
          <w:tcPr>
            <w:tcW w:w="596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Key Regulatory Capital Ratios</w:t>
            </w: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
        </w:trPr>
        <w:tc>
          <w:tcPr>
            <w:tcW w:w="214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Equity Tier 1 Capital Ratio</w:t>
            </w:r>
          </w:p>
        </w:tc>
        <w:tc>
          <w:tcPr>
            <w:tcW w:w="2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w:t>
            </w: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Tier 1 Capital Ratio</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13.87</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12.06</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Capital Ratio</w:t>
            </w:r>
          </w:p>
        </w:tc>
        <w:tc>
          <w:tcPr>
            <w:tcW w:w="2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15.13</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13.31</w:t>
            </w:r>
          </w:p>
        </w:tc>
      </w:tr>
      <w:tr>
        <w:trPr>
          <w:trHeight w:val="210"/>
        </w:trPr>
        <w:tc>
          <w:tcPr>
            <w:tcW w:w="5960" w:type="dxa"/>
            <w:vAlign w:val="bottom"/>
            <w:gridSpan w:val="2"/>
          </w:tcPr>
          <w:p>
            <w:pPr>
              <w:spacing w:after="0"/>
              <w:rPr>
                <w:sz w:val="20"/>
                <w:szCs w:val="20"/>
                <w:color w:val="auto"/>
              </w:rPr>
            </w:pPr>
            <w:r>
              <w:rPr>
                <w:rFonts w:ascii="Arial" w:cs="Arial" w:eastAsia="Arial" w:hAnsi="Arial"/>
                <w:sz w:val="16"/>
                <w:szCs w:val="16"/>
                <w:color w:val="auto"/>
              </w:rPr>
              <w:t>Tier 1 Leverage Ratio</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7.31</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6.71</w:t>
            </w:r>
          </w:p>
        </w:tc>
      </w:tr>
    </w:tbl>
    <w:p>
      <w:pPr>
        <w:spacing w:after="0" w:line="5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2"/>
          <w:szCs w:val="12"/>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elected to apply the modified transition provision related to the impact of the CECL accounting standard on regulatory capital, as provided by the US banking agencies’ March 2020 interim final rule that was finalized on September 30, 2020. Under the modified CECL transition provision, the regulatory capital impact of the Day 1 adjustment to the allowance for credit losses (after-tax), upon the January 1, 2020, CECL adoption date, has been deferred, and will phase in to regulatory capital at 25% per year commencing January 1, 2022. For the ongoing impact of CECL, we are allowed to defer the regulatory capital impact of the allowance for credit losses in an amount equal to 25% of the change in the allowance for credit losses (pre-tax) recognized through earnings for each period between January 1, 2020, and December 31, 2021. The cumulative adjustment to the allowance for credit losses between January 1, 2020, and December 31, 2021, will also phase in to regulatory capital at 25% per year commencing January 1,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Relief Programs in Response to COVID-19</w:t>
      </w:r>
    </w:p>
    <w:p>
      <w:pPr>
        <w:spacing w:after="0" w:line="185"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established several new temporary U.S. Small Business Administration (“SBA”) loan programs to assist U.S. small businesses through the COVID-19 pandemic. One of the new loan programs is the Paycheck Protection Program, an expansion of the SBA’s 7(a) loan program and the Economic Injury Disaster Loan Program. The</w:t>
      </w:r>
    </w:p>
    <w:p>
      <w:pPr>
        <w:spacing w:after="0" w:line="2" w:lineRule="exact"/>
        <w:rPr>
          <w:sz w:val="20"/>
          <w:szCs w:val="20"/>
          <w:color w:val="auto"/>
        </w:rPr>
      </w:pPr>
    </w:p>
    <w:p>
      <w:pPr>
        <w:ind w:right="80" w:firstLine="8"/>
        <w:spacing w:after="0" w:line="286" w:lineRule="auto"/>
        <w:tabs>
          <w:tab w:leader="none" w:pos="3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provides loans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this emergency. Eligible borrowers need to make a good faith certification that the uncertainty of current economic conditions make requesting assistance necessary to support ongoing operations. Pursuant to the provisions of Section 1106 of the CARES Act, borrowers may apply to the Bank for loan forgiveness of all or a portion of the loan, subject to certain eligibility requirements and conditions. On December 27, 2020, the Consolidated Appropriations Act, 2021 (“CAA”) was signed into law. The CAA provides several amendments to the PPP, including additional funding for first and second draws of PPP loans through March 31, 2021. On March 30, 2021, the PPP Extension Act of 2021 was signed into law, which extends the program to May 31, 2021. The Bank is an SBA lender and accepted applications under the CARES Act via its online application process from April 3, 2020, until May 31, 2021, when the PPP program ended. As of June 30, 2021, the Bank had 4,685 PPP loans totaling $513.5 million net of deferred costs and fees.</w:t>
      </w:r>
    </w:p>
    <w:p>
      <w:pPr>
        <w:spacing w:after="0" w:line="1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March 11, 2021, the American Rescue Plan Act of 2021 (“ARP”) was signed into law. Chief among the $1.9 trillion stimulus act is additional support for individuals, including $1,400 checks to many Americans, extended unemployment benefits, and expanded tax credits. In addition, ARP provides funding for state and local governments and support for businesses continuing to struggle as a result of the pandemic, including a modest increase to PPP, expanded eligibility to more non-profits, a grant program for restaurants that have suffered pandemic-related losses, and extended payroll support for the airline industry.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18" w:lineRule="exact"/>
        <w:rPr>
          <w:sz w:val="20"/>
          <w:szCs w:val="20"/>
          <w:color w:val="auto"/>
        </w:rPr>
      </w:pPr>
    </w:p>
    <w:p>
      <w:pPr>
        <w:ind w:right="4680"/>
        <w:spacing w:after="0" w:line="456" w:lineRule="auto"/>
        <w:rPr>
          <w:sz w:val="20"/>
          <w:szCs w:val="20"/>
          <w:color w:val="auto"/>
        </w:rPr>
      </w:pPr>
      <w:r>
        <w:rPr>
          <w:rFonts w:ascii="Arial" w:cs="Arial" w:eastAsia="Arial" w:hAnsi="Arial"/>
          <w:sz w:val="18"/>
          <w:szCs w:val="18"/>
          <w:b w:val="1"/>
          <w:bCs w:val="1"/>
          <w:color w:val="auto"/>
        </w:rPr>
        <w:t xml:space="preserve">Off-Balance Sheet Arrangements, Credit Commitments, and Contractual Obligations </w:t>
      </w:r>
      <w:r>
        <w:rPr>
          <w:rFonts w:ascii="Arial" w:cs="Arial" w:eastAsia="Arial" w:hAnsi="Arial"/>
          <w:sz w:val="18"/>
          <w:szCs w:val="18"/>
          <w:i w:val="1"/>
          <w:iCs w:val="1"/>
          <w:color w:val="auto"/>
        </w:rPr>
        <w:t>Off-Balance Sheet Arrangements</w:t>
      </w:r>
    </w:p>
    <w:p>
      <w:pPr>
        <w:ind w:right="180"/>
        <w:spacing w:after="0" w:line="259"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2020.</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2021.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June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June 30, 2021, that have materially affected or are reasonably likely to materially affect the Company’s internal control over financial reporting.</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“Contingencies” in Note 12 to our Consolidated Financial Statements (unaudited) set forth in Part I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2020, except as described below.</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Adverse changes in business and economic conditions, in particular those of Hawaii, Guam and other Pacific Islands, could lead to lower revenue, lower asset quality, and lower earnings.</w:t>
      </w:r>
    </w:p>
    <w:p>
      <w:pPr>
        <w:spacing w:after="0" w:line="14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public unrest, increases in energy costs, the availability of affordable air transportation, climate change, natural disasters and adverse weather, public health issues including Asian air pollution and the spread of the COVID-19 pandemic, and Federal, State of Hawaii and local government budget issues may impact consumer and corporate spending.</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impacts of various travel restrictions, stay-at-home orders and quarantine requirements for visitors to Hawaii has had a dramatic negative impact on tourism. These events have contributed to a significant deterioration in general economic conditions in our markets which has impacted and will continue to adversely impact us and our customers’ operations. Though there has been an increase in tourism recently, many of the impacts in Hawaii and the Pacific Islands still linger.</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Recent deterioration of economic conditions, locally, nationally, and internationally could adversely affect the quality of our assets, credit losses, and the demand for our products and services, which could lead to lower revenues, higher expenses, and lower earnings. In response to this deterioration, several government stimulus programs were initiated, including the Coronavirus Aid, Relief, and Economic Security (“CARES”) Act and the Paycheck Protection Program (“PPP”).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COVID-19 pandemic has disrupted the Hawaii economy and our business, and the extent and severity of the impact on our business and our financial results are highly uncertain and cannot be predicted.</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COVID-19 pandemic has had and is expected to continue to have a material adverse effect on our operations and financial performance. The duration of the COVID-19 pandemic and its effects still cannot be determined with a reasonable level of certainty. We have experienced unprecedented levels of government stimulus in response to COVID-19 in the current economic cycle, the lasting impacts of which are unknown.</w:t>
      </w:r>
    </w:p>
    <w:p>
      <w:pPr>
        <w:spacing w:after="0" w:line="1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Novel viruses such as COVID-19 increase concerns related to illness when traveling and gathering in large numbers. In response, the majority of the nation’s state and local jurisdictions imposed stay-at-home and/or shelter-in-place orders, quarantines, executive orders or similar government orders and restrictions in order to control the spread of COVID-19.</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stay-at-home and safer-at-home orders, along with the mandatory 10-day self-quarantine travel restrictions, resulted in a dramatic decline in tourism in Hawaii. Though many of these restrictions are now being lifted or relaxed, tourism and tourism spending remained below pre-pandemic levels as various public events, attractions and venues were closed or cancelled. We cannot predict when these closures and cancellations will diminish or when tourism and tourism spending levels in Hawaii will fully recover. This decline in tourism has, and is expected to continue to have, a negative impact to the Hawaii economy and our financial results.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Although some of the original restrictions have been relaxed, the mandatory self-quarantine travel restriction remains in place. Beginning October 15, 2020, arriving passengers and interisland travelers may avoid the self-quarantine requirements by providing proof of a recent negative test result for COVID-19 prior to boarding. Beginning July 8, 2021, passengers from the United States mainland may bypass testing or quarantine by proving proof of full vaccination (15 days following the final vaccination dose). While the relaxation in travel restrictions has resulted in an increase in visitor arrivals, the tourism industry in Hawaii is still below pre-pandemic levels. Additionally, current requirements are subject to change should the infection rates in Hawaii change, causing uncertainty and continuing to impact travel to Hawaii.</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Even as more and more individuals become vaccinated, prior travel restrictions and mandatory quarantines related to the COVID-19 pandemic may have a lasting impact on tourism in Hawaii. Because many of our customers, both commercial and consumer, derive at least some of their income from tourism, this dramatic drop in tourism affects them directly, as well as the Hawaii economy as a whole. A downturn in the Hawaii economy and widespread impact to our customers’ income have a negative impact on our operations. We are unable to predict the extent to which the pandemic and related impacts will continue to adversely affect our business, results of operations, financial condition, regulatory capital and liquidity ratios.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COVID-19 pandemic, the institution of physical distancing, and shelter-in-place requirements resulted in both temporary and permanent closures of many businesses. As a result, the demand for our products and services has been and may continue to be significantly impacted. The COVID-19 pandemic could prompt credit losses in our loan portfolios and increase our allowance for credit losses, particularly as businesses remain closed and as more customers draw on lines of credit or seek additional loans to help finance their businesses. Our operations may also be disrupted if significant portions of our workforce are unable to work effectively, due to illness, quarantines, government actions, or other restrictions in connection with the COVID-19 pandemic. We temporarily or permanently closed certain of our branches and offices and many employees are still working remotely. Though we have re-opened some of our branches, others remain closed. It is anticipated that staffing levels at our headquarters will remain lower than pre-pandemic levels for some time.</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response to the COVID-19 pandemic, we temporarily suspended residential property foreclosure sales, evictions, and involuntary automobile repossessions. Evictions remain suspended. We offered other expanded assistance to customers such as fee waivers, payment deferrals or forbearances on automobile loans and leases, mortgages, home equity loans and lines, as well as commercial, small business and personal loans. Although our initial assistance programs have ended, we continue to work with our customers as some of the initial assistance programs have been extended or renewed. The extent to which the COVID-19 pandemic impacts our business, results of operations, financial condition, regulatory capital, and liquidity ratios, will depend on the scope and duration of the COVID-19 pandemic, actions taken by governmental authorities, the availability of federal, state, or local funding programs, actions taken by other third parties in response to the COVID-19 pandemic, and the pace of recovery when the COVID-19 pandemic subsides, all of which are highly uncertain.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second quarter of 2021 were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Approximate Dollar</w:t>
            </w:r>
          </w:p>
        </w:tc>
      </w:tr>
      <w:tr>
        <w:trPr>
          <w:trHeight w:val="203"/>
        </w:trPr>
        <w:tc>
          <w:tcPr>
            <w:tcW w:w="32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Value of Shares</w:t>
            </w:r>
          </w:p>
        </w:tc>
      </w:tr>
      <w:tr>
        <w:trPr>
          <w:trHeight w:val="203"/>
        </w:trPr>
        <w:tc>
          <w:tcPr>
            <w:tcW w:w="32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Shares Purchased</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that May Yet Be</w:t>
            </w:r>
          </w:p>
        </w:tc>
      </w:tr>
      <w:tr>
        <w:trPr>
          <w:trHeight w:val="203"/>
        </w:trPr>
        <w:tc>
          <w:tcPr>
            <w:tcW w:w="3200" w:type="dxa"/>
            <w:vAlign w:val="bottom"/>
          </w:tcPr>
          <w:p>
            <w:pPr>
              <w:spacing w:after="0"/>
              <w:rPr>
                <w:sz w:val="17"/>
                <w:szCs w:val="17"/>
                <w:color w:val="auto"/>
              </w:rPr>
            </w:pPr>
          </w:p>
        </w:tc>
        <w:tc>
          <w:tcPr>
            <w:tcW w:w="314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 Number</w:t>
            </w:r>
          </w:p>
        </w:tc>
        <w:tc>
          <w:tcPr>
            <w:tcW w:w="3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 Price</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as Part of</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w w:val="93"/>
              </w:rPr>
              <w:t>Purchased Under</w:t>
            </w:r>
          </w:p>
        </w:tc>
      </w:tr>
      <w:tr>
        <w:trPr>
          <w:trHeight w:val="199"/>
        </w:trPr>
        <w:tc>
          <w:tcPr>
            <w:tcW w:w="3200" w:type="dxa"/>
            <w:vAlign w:val="bottom"/>
          </w:tcPr>
          <w:p>
            <w:pPr>
              <w:spacing w:after="0"/>
              <w:rPr>
                <w:sz w:val="17"/>
                <w:szCs w:val="17"/>
                <w:color w:val="auto"/>
              </w:rPr>
            </w:pPr>
          </w:p>
        </w:tc>
        <w:tc>
          <w:tcPr>
            <w:tcW w:w="3140" w:type="dxa"/>
            <w:vAlign w:val="bottom"/>
          </w:tcPr>
          <w:p>
            <w:pPr>
              <w:jc w:val="right"/>
              <w:ind w:right="59"/>
              <w:spacing w:after="0"/>
              <w:rPr>
                <w:sz w:val="20"/>
                <w:szCs w:val="20"/>
                <w:color w:val="auto"/>
              </w:rPr>
            </w:pPr>
            <w:r>
              <w:rPr>
                <w:rFonts w:ascii="Arial" w:cs="Arial" w:eastAsia="Arial" w:hAnsi="Arial"/>
                <w:sz w:val="16"/>
                <w:szCs w:val="16"/>
                <w:b w:val="1"/>
                <w:bCs w:val="1"/>
                <w:color w:val="auto"/>
              </w:rPr>
              <w:t>of Shares</w:t>
            </w:r>
          </w:p>
        </w:tc>
        <w:tc>
          <w:tcPr>
            <w:tcW w:w="3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Paid Per</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Publicly Announced</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the Plans or</w:t>
            </w:r>
          </w:p>
        </w:tc>
      </w:tr>
      <w:tr>
        <w:trPr>
          <w:trHeight w:val="220"/>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314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b w:val="1"/>
                <w:bCs w:val="1"/>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Plans or Programs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0"/>
              <w:spacing w:after="0" w:line="220" w:lineRule="exact"/>
              <w:rPr>
                <w:sz w:val="20"/>
                <w:szCs w:val="20"/>
                <w:color w:val="auto"/>
              </w:rPr>
            </w:pPr>
            <w:r>
              <w:rPr>
                <w:rFonts w:ascii="Arial" w:cs="Arial" w:eastAsia="Arial" w:hAnsi="Arial"/>
                <w:sz w:val="15"/>
                <w:szCs w:val="15"/>
                <w:b w:val="1"/>
                <w:bCs w:val="1"/>
                <w:color w:val="auto"/>
              </w:rPr>
              <w:t xml:space="preserve">Programs </w:t>
            </w:r>
            <w:r>
              <w:rPr>
                <w:rFonts w:ascii="Arial" w:cs="Arial" w:eastAsia="Arial" w:hAnsi="Arial"/>
                <w:sz w:val="25"/>
                <w:szCs w:val="25"/>
                <w:b w:val="1"/>
                <w:bCs w:val="1"/>
                <w:color w:val="auto"/>
                <w:vertAlign w:val="superscript"/>
              </w:rPr>
              <w:t>2</w:t>
            </w:r>
          </w:p>
        </w:tc>
      </w:tr>
      <w:tr>
        <w:trPr>
          <w:trHeight w:val="20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April 1 - 30, 2021</w:t>
            </w:r>
          </w:p>
        </w:tc>
        <w:tc>
          <w:tcPr>
            <w:tcW w:w="3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1,173</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92.36</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113,073,521</w:t>
            </w:r>
          </w:p>
        </w:tc>
      </w:tr>
      <w:tr>
        <w:trPr>
          <w:trHeight w:val="213"/>
        </w:trPr>
        <w:tc>
          <w:tcPr>
            <w:tcW w:w="3200" w:type="dxa"/>
            <w:vAlign w:val="bottom"/>
          </w:tcPr>
          <w:p>
            <w:pPr>
              <w:spacing w:after="0"/>
              <w:rPr>
                <w:sz w:val="20"/>
                <w:szCs w:val="20"/>
                <w:color w:val="auto"/>
              </w:rPr>
            </w:pPr>
            <w:r>
              <w:rPr>
                <w:rFonts w:ascii="Arial" w:cs="Arial" w:eastAsia="Arial" w:hAnsi="Arial"/>
                <w:sz w:val="16"/>
                <w:szCs w:val="16"/>
                <w:color w:val="auto"/>
              </w:rPr>
              <w:t>May 1 - 31, 2021</w:t>
            </w:r>
          </w:p>
        </w:tc>
        <w:tc>
          <w:tcPr>
            <w:tcW w:w="3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113,073,521</w:t>
            </w:r>
          </w:p>
        </w:tc>
      </w:tr>
      <w:tr>
        <w:trPr>
          <w:trHeight w:val="216"/>
        </w:trPr>
        <w:tc>
          <w:tcPr>
            <w:tcW w:w="3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June 1 - 30, 2021</w:t>
            </w:r>
          </w:p>
        </w:tc>
        <w:tc>
          <w:tcPr>
            <w:tcW w:w="3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113,073,521</w:t>
            </w:r>
          </w:p>
        </w:tc>
      </w:tr>
      <w:tr>
        <w:trPr>
          <w:trHeight w:val="209"/>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1,173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92.36</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right="200" w:hanging="172"/>
        <w:spacing w:after="0" w:line="248" w:lineRule="auto"/>
        <w:tabs>
          <w:tab w:leader="none" w:pos="180" w:val="left"/>
        </w:tabs>
        <w:numPr>
          <w:ilvl w:val="0"/>
          <w:numId w:val="48"/>
        </w:numPr>
        <w:rPr>
          <w:rFonts w:ascii="Arial" w:cs="Arial" w:eastAsia="Arial" w:hAnsi="Arial"/>
          <w:sz w:val="11"/>
          <w:szCs w:val="11"/>
          <w:color w:val="auto"/>
        </w:rPr>
      </w:pPr>
      <w:r>
        <w:rPr>
          <w:rFonts w:ascii="Arial" w:cs="Arial" w:eastAsia="Arial" w:hAnsi="Arial"/>
          <w:sz w:val="13"/>
          <w:szCs w:val="13"/>
          <w:color w:val="auto"/>
        </w:rPr>
        <w:t>During the second quarter of 2021, 1,173 shares were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w:t>
      </w:r>
    </w:p>
    <w:p>
      <w:pPr>
        <w:jc w:val="both"/>
        <w:ind w:left="180" w:right="160"/>
        <w:spacing w:after="0" w:line="221" w:lineRule="auto"/>
        <w:rPr>
          <w:sz w:val="20"/>
          <w:szCs w:val="20"/>
          <w:color w:val="auto"/>
        </w:rPr>
      </w:pPr>
      <w:r>
        <w:rPr>
          <w:rFonts w:ascii="Arial" w:cs="Arial" w:eastAsia="Arial" w:hAnsi="Arial"/>
          <w:sz w:val="14"/>
          <w:szCs w:val="14"/>
          <w:color w:val="auto"/>
        </w:rPr>
        <w:t>the registration requirements of the Securities Act of 1933, as amended (the “Securities Act”) by Section 4(a)(2) thereof. The trustee under the trust and the participants under the DDCP are “Accredited Investors”, as defined in Rule 501(a) under the Securities Act. These transactions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180" w:right="60" w:hanging="172"/>
        <w:spacing w:after="0" w:line="255" w:lineRule="auto"/>
        <w:tabs>
          <w:tab w:leader="none" w:pos="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 On March 17, 2020, we suspended share repurchases in light of the COVID-19 pandemic. We plan to resume our share repurchase program as soon as practicable subject to market and economic conditions and applicable SEC rules.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280" w:type="dxa"/>
            <w:vAlign w:val="bottom"/>
            <w:gridSpan w:val="15"/>
          </w:tcPr>
          <w:p>
            <w:pPr>
              <w:spacing w:after="0"/>
              <w:rPr>
                <w:rFonts w:ascii="Arial" w:cs="Arial" w:eastAsia="Arial" w:hAnsi="Arial"/>
                <w:sz w:val="18"/>
                <w:szCs w:val="18"/>
                <w:color w:val="0000EE"/>
                <w:w w:val="98"/>
              </w:rPr>
            </w:pPr>
            <w:hyperlink r:id="rId89">
              <w:r>
                <w:rPr>
                  <w:rFonts w:ascii="Arial" w:cs="Arial" w:eastAsia="Arial" w:hAnsi="Arial"/>
                  <w:sz w:val="18"/>
                  <w:szCs w:val="18"/>
                  <w:color w:val="0000EE"/>
                  <w:w w:val="98"/>
                </w:rPr>
                <w:t>Certificate of Incorporation of Bank of Hawaii Corporation (f/k/a Pacific Century Financial Corporation and Bancorp Hawaii, Inc.), as</w:t>
              </w:r>
            </w:hyperlink>
          </w:p>
        </w:tc>
      </w:tr>
      <w:tr>
        <w:trPr>
          <w:trHeight w:val="20"/>
        </w:trPr>
        <w:tc>
          <w:tcPr>
            <w:tcW w:w="9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amended (incorporated by reference to Exhibit 3.1 to Bank of Hawaii Corporation’s Annual Report on Form 10-K for its fiscal year ended</w:t>
              </w:r>
            </w:hyperlink>
          </w:p>
        </w:tc>
      </w:tr>
      <w:tr>
        <w:trPr>
          <w:trHeight w:val="196"/>
        </w:trPr>
        <w:tc>
          <w:tcPr>
            <w:tcW w:w="920" w:type="dxa"/>
            <w:vAlign w:val="bottom"/>
          </w:tcPr>
          <w:p>
            <w:pPr>
              <w:spacing w:after="0"/>
              <w:rPr>
                <w:sz w:val="17"/>
                <w:szCs w:val="17"/>
                <w:color w:val="auto"/>
              </w:rPr>
            </w:pPr>
          </w:p>
        </w:tc>
        <w:tc>
          <w:tcPr>
            <w:tcW w:w="9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December 31, 2005 filed on February 28, 2006).</w:t>
              </w:r>
            </w:hyperlink>
          </w:p>
        </w:tc>
        <w:tc>
          <w:tcPr>
            <w:tcW w:w="34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Borders>
              <w:bottom w:val="single" w:sz="8" w:color="0000EE"/>
            </w:tcBorders>
            <w:gridSpan w:val="13"/>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Certificate of Amendment of Certificate of Incorporation of Bank of Hawaii Corporation (incorporated by reference to Exhibit 3.1 to Bank of</w:t>
              </w:r>
            </w:hyperlink>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Hawaii Corporation’s Current Report on Form 8-K filed on April 30, 2008).</w:t>
              </w:r>
            </w:hyperlink>
          </w:p>
        </w:tc>
      </w:tr>
      <w:tr>
        <w:trPr>
          <w:trHeight w:val="20"/>
        </w:trPr>
        <w:tc>
          <w:tcPr>
            <w:tcW w:w="9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0280" w:type="dxa"/>
            <w:vAlign w:val="bottom"/>
            <w:gridSpan w:val="15"/>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Certificate of Designations of 4.375% Fixed Rate Non-Cumulative Perpetual Preferred Stock, Series A (incorporated by reference to Exhibit</w:t>
              </w:r>
            </w:hyperlink>
          </w:p>
        </w:tc>
      </w:tr>
      <w:tr>
        <w:trPr>
          <w:trHeight w:val="196"/>
        </w:trPr>
        <w:tc>
          <w:tcPr>
            <w:tcW w:w="9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Bank of Hawaii Corporation’s Current Report on Form 8-K filed on June 15, 2021).</w:t>
              </w:r>
            </w:hyperlink>
          </w:p>
        </w:tc>
        <w:tc>
          <w:tcPr>
            <w:tcW w:w="16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0080" w:type="dxa"/>
            <w:vAlign w:val="bottom"/>
            <w:tcBorders>
              <w:bottom w:val="single" w:sz="8" w:color="0000EE"/>
            </w:tcBorders>
            <w:gridSpan w:val="11"/>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Amended and Restated By-laws of Bank of Hawaii Corporation (as amended October 19, 2018) (incorporated by reference to Exhibit 3.2 to</w:t>
              </w:r>
            </w:hyperlink>
          </w:p>
        </w:tc>
        <w:tc>
          <w:tcPr>
            <w:tcW w:w="20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Bank of Hawaii Corporation’s Current Report on Form 8-K filed on October 24, 2018).</w:t>
              </w:r>
            </w:hyperlink>
          </w:p>
        </w:tc>
      </w:tr>
      <w:tr>
        <w:trPr>
          <w:trHeight w:val="20"/>
        </w:trPr>
        <w:tc>
          <w:tcPr>
            <w:tcW w:w="9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280" w:type="dxa"/>
            <w:vAlign w:val="bottom"/>
            <w:tcBorders>
              <w:bottom w:val="single" w:sz="8" w:color="0000EE"/>
            </w:tcBorders>
            <w:gridSpan w:val="15"/>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Deposit Agreement, dated June 15, 2021, by and among Bank of Hawaii Corporation, Computershare Inc. and Computershare Trust Company,</w:t>
              </w:r>
            </w:hyperlink>
          </w:p>
        </w:tc>
      </w:tr>
      <w:tr>
        <w:trPr>
          <w:trHeight w:val="196"/>
        </w:trPr>
        <w:tc>
          <w:tcPr>
            <w:tcW w:w="920" w:type="dxa"/>
            <w:vAlign w:val="bottom"/>
          </w:tcPr>
          <w:p>
            <w:pPr>
              <w:spacing w:after="0"/>
              <w:rPr>
                <w:sz w:val="17"/>
                <w:szCs w:val="17"/>
                <w:color w:val="auto"/>
              </w:rPr>
            </w:pPr>
          </w:p>
        </w:tc>
        <w:tc>
          <w:tcPr>
            <w:tcW w:w="99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N.A., jointly as depositary, and the holders from time to time of the depositary receipts described therein (incorporated by reference to the</w:t>
              </w:r>
            </w:hyperlink>
          </w:p>
        </w:tc>
        <w:tc>
          <w:tcPr>
            <w:tcW w:w="3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Company’s Current Report on Form 8-K filed with the SEC on June 15, 2021)</w:t>
              </w:r>
            </w:hyperlink>
          </w:p>
        </w:tc>
        <w:tc>
          <w:tcPr>
            <w:tcW w:w="4640" w:type="dxa"/>
            <w:vAlign w:val="bottom"/>
            <w:gridSpan w:val="10"/>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Form Depository Receipt (included in Exhibit 4.1)</w:t>
              </w:r>
            </w:hyperlink>
          </w:p>
        </w:tc>
        <w:tc>
          <w:tcPr>
            <w:tcW w:w="6640" w:type="dxa"/>
            <w:vAlign w:val="bottom"/>
            <w:gridSpan w:val="12"/>
          </w:tcPr>
          <w:p>
            <w:pPr>
              <w:spacing w:after="0"/>
              <w:rPr>
                <w:sz w:val="24"/>
                <w:szCs w:val="24"/>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Chief Executive Officer Pursuant to Rule 13a-14(a) of the Securities Exchange Act of 1934, as Amended, Adopted Pursuant to</w:t>
              </w:r>
            </w:hyperlink>
          </w:p>
        </w:tc>
      </w:tr>
      <w:tr>
        <w:trPr>
          <w:trHeight w:val="196"/>
        </w:trPr>
        <w:tc>
          <w:tcPr>
            <w:tcW w:w="92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Section 302 of the Sarbanes Oxley Act of 2002</w:t>
              </w:r>
            </w:hyperlink>
          </w:p>
        </w:tc>
        <w:tc>
          <w:tcPr>
            <w:tcW w:w="6880" w:type="dxa"/>
            <w:vAlign w:val="bottom"/>
            <w:gridSpan w:val="14"/>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Chief Financial Officer Pursuant to Rule 13a-14(a) of the Securities Exchange Act of 1934, as Amended, Adopted Pursuant to</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Section 302 of the Sarbanes Oxley Act of 2002</w:t>
              </w:r>
            </w:hyperlink>
          </w:p>
        </w:tc>
        <w:tc>
          <w:tcPr>
            <w:tcW w:w="6880" w:type="dxa"/>
            <w:vAlign w:val="bottom"/>
            <w:gridSpan w:val="14"/>
          </w:tcPr>
          <w:p>
            <w:pPr>
              <w:spacing w:after="0"/>
              <w:rPr>
                <w:sz w:val="17"/>
                <w:szCs w:val="17"/>
                <w:color w:val="auto"/>
              </w:rPr>
            </w:pPr>
          </w:p>
        </w:tc>
      </w:tr>
    </w:tbl>
    <w:p>
      <w:pPr>
        <w:spacing w:after="0" w:line="134" w:lineRule="exact"/>
        <w:rPr>
          <w:sz w:val="20"/>
          <w:szCs w:val="20"/>
          <w:color w:val="auto"/>
        </w:rPr>
      </w:pPr>
    </w:p>
    <w:p>
      <w:pPr>
        <w:ind w:left="920" w:right="120" w:hanging="912"/>
        <w:spacing w:after="0" w:line="277" w:lineRule="auto"/>
        <w:tabs>
          <w:tab w:leader="none" w:pos="920" w:val="left"/>
        </w:tabs>
        <w:numPr>
          <w:ilvl w:val="0"/>
          <w:numId w:val="50"/>
        </w:numPr>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of the Sarbanes-Oxley Act of 2002</w:t>
        </w:r>
      </w:hyperlink>
    </w:p>
    <w:p>
      <w:pPr>
        <w:spacing w:after="0" w:line="7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ind w:left="1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0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7"/>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rFonts w:ascii="Arial" w:cs="Arial" w:eastAsia="Arial" w:hAnsi="Arial"/>
          <w:sz w:val="18"/>
          <w:szCs w:val="18"/>
          <w:color w:val="auto"/>
        </w:rPr>
      </w:pPr>
    </w:p>
    <w:p>
      <w:pPr>
        <w:jc w:val="center"/>
        <w:ind w:left="5540" w:right="480" w:hanging="5532"/>
        <w:spacing w:after="0" w:line="778" w:lineRule="auto"/>
        <w:tabs>
          <w:tab w:leader="none" w:pos="9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the Form 10-Q has been formatted in Inline XBRL and contained in Exhibit 101 74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140"/>
              <w:spacing w:after="0"/>
              <w:rPr>
                <w:sz w:val="20"/>
                <w:szCs w:val="20"/>
                <w:color w:val="auto"/>
              </w:rPr>
            </w:pPr>
            <w:r>
              <w:rPr>
                <w:rFonts w:ascii="Arial" w:cs="Arial" w:eastAsia="Arial" w:hAnsi="Arial"/>
                <w:sz w:val="18"/>
                <w:szCs w:val="18"/>
                <w:color w:val="auto"/>
              </w:rPr>
              <w:t>July 26, 2021</w:t>
            </w:r>
          </w:p>
        </w:tc>
        <w:tc>
          <w:tcPr>
            <w:tcW w:w="4940" w:type="dxa"/>
            <w:vAlign w:val="bottom"/>
          </w:tcPr>
          <w:p>
            <w:pPr>
              <w:ind w:left="60"/>
              <w:spacing w:after="0"/>
              <w:rPr>
                <w:sz w:val="20"/>
                <w:szCs w:val="20"/>
                <w:color w:val="auto"/>
              </w:rPr>
            </w:pPr>
            <w:r>
              <w:rPr>
                <w:rFonts w:ascii="Arial" w:cs="Arial" w:eastAsia="Arial" w:hAnsi="Arial"/>
                <w:sz w:val="18"/>
                <w:szCs w:val="18"/>
                <w:color w:val="auto"/>
              </w:rPr>
              <w:t>Bank of Hawaii Corporation</w:t>
            </w:r>
          </w:p>
        </w:tc>
      </w:tr>
      <w:tr>
        <w:trPr>
          <w:trHeight w:val="432"/>
        </w:trPr>
        <w:tc>
          <w:tcPr>
            <w:tcW w:w="540" w:type="dxa"/>
            <w:vAlign w:val="bottom"/>
          </w:tcPr>
          <w:p>
            <w:pPr>
              <w:spacing w:after="0"/>
              <w:rPr>
                <w:sz w:val="24"/>
                <w:szCs w:val="24"/>
                <w:color w:val="auto"/>
              </w:rPr>
            </w:pPr>
          </w:p>
        </w:tc>
        <w:tc>
          <w:tcPr>
            <w:tcW w:w="5700" w:type="dxa"/>
            <w:vAlign w:val="bottom"/>
          </w:tcPr>
          <w:p>
            <w:pPr>
              <w:ind w:left="5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Peter S. Ho</w:t>
            </w:r>
          </w:p>
        </w:tc>
      </w:tr>
      <w:tr>
        <w:trPr>
          <w:trHeight w:val="195"/>
        </w:trPr>
        <w:tc>
          <w:tcPr>
            <w:tcW w:w="5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940" w:type="dxa"/>
            <w:vAlign w:val="bottom"/>
          </w:tcPr>
          <w:p>
            <w:pPr>
              <w:ind w:left="380"/>
              <w:spacing w:after="0" w:line="195" w:lineRule="exact"/>
              <w:rPr>
                <w:sz w:val="20"/>
                <w:szCs w:val="20"/>
                <w:color w:val="auto"/>
              </w:rPr>
            </w:pPr>
            <w:r>
              <w:rPr>
                <w:rFonts w:ascii="Arial" w:cs="Arial" w:eastAsia="Arial" w:hAnsi="Arial"/>
                <w:sz w:val="18"/>
                <w:szCs w:val="18"/>
                <w:color w:val="auto"/>
              </w:rPr>
              <w:t>Peter S. Ho</w:t>
            </w:r>
          </w:p>
        </w:tc>
      </w:tr>
      <w:tr>
        <w:trPr>
          <w:trHeight w:val="216"/>
        </w:trPr>
        <w:tc>
          <w:tcPr>
            <w:tcW w:w="5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16"/>
        </w:trPr>
        <w:tc>
          <w:tcPr>
            <w:tcW w:w="5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432"/>
        </w:trPr>
        <w:tc>
          <w:tcPr>
            <w:tcW w:w="540" w:type="dxa"/>
            <w:vAlign w:val="bottom"/>
          </w:tcPr>
          <w:p>
            <w:pPr>
              <w:spacing w:after="0"/>
              <w:rPr>
                <w:sz w:val="24"/>
                <w:szCs w:val="24"/>
                <w:color w:val="auto"/>
              </w:rPr>
            </w:pPr>
          </w:p>
        </w:tc>
        <w:tc>
          <w:tcPr>
            <w:tcW w:w="5700" w:type="dxa"/>
            <w:vAlign w:val="bottom"/>
          </w:tcPr>
          <w:p>
            <w:pPr>
              <w:ind w:left="5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Dean Y. Shigemura</w:t>
            </w:r>
          </w:p>
        </w:tc>
      </w:tr>
      <w:tr>
        <w:trPr>
          <w:trHeight w:val="195"/>
        </w:trPr>
        <w:tc>
          <w:tcPr>
            <w:tcW w:w="5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940" w:type="dxa"/>
            <w:vAlign w:val="bottom"/>
          </w:tcPr>
          <w:p>
            <w:pPr>
              <w:ind w:left="380"/>
              <w:spacing w:after="0" w:line="195" w:lineRule="exact"/>
              <w:rPr>
                <w:sz w:val="20"/>
                <w:szCs w:val="20"/>
                <w:color w:val="auto"/>
              </w:rPr>
            </w:pPr>
            <w:r>
              <w:rPr>
                <w:rFonts w:ascii="Arial" w:cs="Arial" w:eastAsia="Arial" w:hAnsi="Arial"/>
                <w:sz w:val="18"/>
                <w:szCs w:val="18"/>
                <w:color w:val="auto"/>
              </w:rPr>
              <w:t>Dean Y. Shigemura</w:t>
            </w:r>
          </w:p>
        </w:tc>
      </w:tr>
      <w:tr>
        <w:trPr>
          <w:trHeight w:val="230"/>
        </w:trPr>
        <w:tc>
          <w:tcPr>
            <w:tcW w:w="5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r>
        <w:trPr>
          <w:trHeight w:val="648"/>
        </w:trPr>
        <w:tc>
          <w:tcPr>
            <w:tcW w:w="540" w:type="dxa"/>
            <w:vAlign w:val="bottom"/>
          </w:tcPr>
          <w:p>
            <w:pPr>
              <w:spacing w:after="0"/>
              <w:rPr>
                <w:sz w:val="24"/>
                <w:szCs w:val="24"/>
                <w:color w:val="auto"/>
              </w:rPr>
            </w:pPr>
          </w:p>
        </w:tc>
        <w:tc>
          <w:tcPr>
            <w:tcW w:w="5700" w:type="dxa"/>
            <w:vAlign w:val="bottom"/>
          </w:tcPr>
          <w:p>
            <w:pPr>
              <w:jc w:val="right"/>
              <w:ind w:right="490"/>
              <w:spacing w:after="0"/>
              <w:rPr>
                <w:sz w:val="20"/>
                <w:szCs w:val="20"/>
                <w:color w:val="auto"/>
              </w:rPr>
            </w:pPr>
            <w:r>
              <w:rPr>
                <w:rFonts w:ascii="Arial" w:cs="Arial" w:eastAsia="Arial" w:hAnsi="Arial"/>
                <w:sz w:val="18"/>
                <w:szCs w:val="18"/>
                <w:color w:val="auto"/>
              </w:rPr>
              <w:t>75</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58"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5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00" w:right="360" w:hanging="392"/>
        <w:spacing w:after="0" w:line="263"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00" w:right="260" w:hanging="392"/>
        <w:spacing w:after="0" w:line="277"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02" w:lineRule="exact"/>
        <w:rPr>
          <w:rFonts w:ascii="Arial" w:cs="Arial" w:eastAsia="Arial" w:hAnsi="Arial"/>
          <w:sz w:val="18"/>
          <w:szCs w:val="18"/>
          <w:color w:val="auto"/>
        </w:rPr>
      </w:pPr>
    </w:p>
    <w:p>
      <w:pPr>
        <w:ind w:left="800" w:right="140" w:hanging="401"/>
        <w:spacing w:after="0" w:line="277" w:lineRule="auto"/>
        <w:tabs>
          <w:tab w:leader="none" w:pos="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July 26, 2021</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40640</wp:posOffset>
            </wp:positionV>
            <wp:extent cx="3566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Peter S. Ho</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and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33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58"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5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00" w:right="360" w:hanging="392"/>
        <w:spacing w:after="0" w:line="263"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00" w:right="260" w:hanging="392"/>
        <w:spacing w:after="0" w:line="277"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02" w:lineRule="exact"/>
        <w:rPr>
          <w:rFonts w:ascii="Arial" w:cs="Arial" w:eastAsia="Arial" w:hAnsi="Arial"/>
          <w:sz w:val="18"/>
          <w:szCs w:val="18"/>
          <w:color w:val="auto"/>
        </w:rPr>
      </w:pPr>
    </w:p>
    <w:p>
      <w:pPr>
        <w:ind w:left="800" w:right="140" w:hanging="401"/>
        <w:spacing w:after="0" w:line="277"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July 26, 2021</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40640</wp:posOffset>
            </wp:positionV>
            <wp:extent cx="3566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Dean Y. Shigemura</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June 30, 2021 (the “Report”):</w:t>
      </w:r>
    </w:p>
    <w:p>
      <w:pPr>
        <w:spacing w:after="0" w:line="103" w:lineRule="exact"/>
        <w:rPr>
          <w:sz w:val="20"/>
          <w:szCs w:val="20"/>
          <w:color w:val="auto"/>
        </w:rPr>
      </w:pPr>
    </w:p>
    <w:p>
      <w:pPr>
        <w:ind w:left="800" w:hanging="401"/>
        <w:spacing w:after="0"/>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July 26, 2021</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Peter S. Ho</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and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Dean Y. Shigemura</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bullet"/>
      <w:start w:val="1"/>
    </w:lvl>
  </w:abstractNum>
  <w:abstractNum w:abstractNumId="3">
    <w:nsid w:val="2901D82"/>
    <w:multiLevelType w:val="hybridMultilevel"/>
    <w:lvl w:ilvl="0">
      <w:lvlJc w:val="left"/>
      <w:lvlText w:val="1"/>
      <w:numFmt w:val="bullet"/>
      <w:start w:val="1"/>
    </w:lvl>
  </w:abstractNum>
  <w:abstractNum w:abstractNumId="4">
    <w:nsid w:val="3A95F874"/>
    <w:multiLevelType w:val="hybridMultilevel"/>
    <w:lvl w:ilvl="0">
      <w:lvlJc w:val="left"/>
      <w:lvlText w:val="1"/>
      <w:numFmt w:val="bullet"/>
      <w:start w:val="1"/>
    </w:lvl>
  </w:abstractNum>
  <w:abstractNum w:abstractNumId="5">
    <w:nsid w:val="8138641"/>
    <w:multiLevelType w:val="hybridMultilevel"/>
    <w:lvl w:ilvl="0">
      <w:lvlJc w:val="left"/>
      <w:lvlText w:val="1"/>
      <w:numFmt w:val="bullet"/>
      <w:start w:val="1"/>
    </w:lvl>
  </w:abstractNum>
  <w:abstractNum w:abstractNumId="6">
    <w:nsid w:val="1E7FF521"/>
    <w:multiLevelType w:val="hybridMultilevel"/>
    <w:lvl w:ilvl="0">
      <w:lvlJc w:val="left"/>
      <w:lvlText w:val="1"/>
      <w:numFmt w:val="bullet"/>
      <w:start w:val="1"/>
    </w:lvl>
  </w:abstractNum>
  <w:abstractNum w:abstractNumId="7">
    <w:nsid w:val="7C3DBD3D"/>
    <w:multiLevelType w:val="hybridMultilevel"/>
    <w:lvl w:ilvl="0">
      <w:lvlJc w:val="left"/>
      <w:lvlText w:val="2"/>
      <w:numFmt w:val="bullet"/>
      <w:start w:val="1"/>
    </w:lvl>
  </w:abstractNum>
  <w:abstractNum w:abstractNumId="8">
    <w:nsid w:val="737B8DDC"/>
    <w:multiLevelType w:val="hybridMultilevel"/>
    <w:lvl w:ilvl="0">
      <w:lvlJc w:val="left"/>
      <w:lvlText w:val="1"/>
      <w:numFmt w:val="bullet"/>
      <w:start w:val="1"/>
    </w:lvl>
  </w:abstractNum>
  <w:abstractNum w:abstractNumId="9">
    <w:nsid w:val="6CEAF087"/>
    <w:multiLevelType w:val="hybridMultilevel"/>
    <w:lvl w:ilvl="0">
      <w:lvlJc w:val="left"/>
      <w:lvlText w:val="1"/>
      <w:numFmt w:val="bullet"/>
      <w:start w:val="1"/>
    </w:lvl>
  </w:abstractNum>
  <w:abstractNum w:abstractNumId="10">
    <w:nsid w:val="22221A70"/>
    <w:multiLevelType w:val="hybridMultilevel"/>
    <w:lvl w:ilvl="0">
      <w:lvlJc w:val="left"/>
      <w:lvlText w:val="1"/>
      <w:numFmt w:val="bullet"/>
      <w:start w:val="1"/>
    </w:lvl>
  </w:abstractNum>
  <w:abstractNum w:abstractNumId="11">
    <w:nsid w:val="4516DDE9"/>
    <w:multiLevelType w:val="hybridMultilevel"/>
    <w:lvl w:ilvl="0">
      <w:lvlJc w:val="left"/>
      <w:lvlText w:val="1"/>
      <w:numFmt w:val="bullet"/>
      <w:start w:val="1"/>
    </w:lvl>
  </w:abstractNum>
  <w:abstractNum w:abstractNumId="12">
    <w:nsid w:val="3006C83E"/>
    <w:multiLevelType w:val="hybridMultilevel"/>
    <w:lvl w:ilvl="0">
      <w:lvlJc w:val="left"/>
      <w:lvlText w:val="2"/>
      <w:numFmt w:val="bullet"/>
      <w:start w:val="1"/>
    </w:lvl>
  </w:abstractNum>
  <w:abstractNum w:abstractNumId="13">
    <w:nsid w:val="614FD4A1"/>
    <w:multiLevelType w:val="hybridMultilevel"/>
    <w:lvl w:ilvl="0">
      <w:lvlJc w:val="left"/>
      <w:lvlText w:val="1"/>
      <w:numFmt w:val="bullet"/>
      <w:start w:val="1"/>
    </w:lvl>
  </w:abstractNum>
  <w:abstractNum w:abstractNumId="14">
    <w:nsid w:val="419AC241"/>
    <w:multiLevelType w:val="hybridMultilevel"/>
    <w:lvl w:ilvl="0">
      <w:lvlJc w:val="left"/>
      <w:lvlText w:val="1"/>
      <w:numFmt w:val="bullet"/>
      <w:start w:val="1"/>
    </w:lvl>
  </w:abstractNum>
  <w:abstractNum w:abstractNumId="15">
    <w:nsid w:val="5577F8E1"/>
    <w:multiLevelType w:val="hybridMultilevel"/>
    <w:lvl w:ilvl="0">
      <w:lvlJc w:val="left"/>
      <w:lvlText w:val="1"/>
      <w:numFmt w:val="bullet"/>
      <w:start w:val="1"/>
    </w:lvl>
  </w:abstractNum>
  <w:abstractNum w:abstractNumId="16">
    <w:nsid w:val="440BADFC"/>
    <w:multiLevelType w:val="hybridMultilevel"/>
    <w:lvl w:ilvl="0">
      <w:lvlJc w:val="left"/>
      <w:lvlText w:val="1"/>
      <w:numFmt w:val="bullet"/>
      <w:start w:val="1"/>
    </w:lvl>
  </w:abstractNum>
  <w:abstractNum w:abstractNumId="17">
    <w:nsid w:val="5072367"/>
    <w:multiLevelType w:val="hybridMultilevel"/>
    <w:lvl w:ilvl="0">
      <w:lvlJc w:val="left"/>
      <w:lvlText w:val="2"/>
      <w:numFmt w:val="bullet"/>
      <w:start w:val="1"/>
    </w:lvl>
  </w:abstractNum>
  <w:abstractNum w:abstractNumId="18">
    <w:nsid w:val="3804823E"/>
    <w:multiLevelType w:val="hybridMultilevel"/>
    <w:lvl w:ilvl="0">
      <w:lvlJc w:val="left"/>
      <w:lvlText w:val="1"/>
      <w:numFmt w:val="bullet"/>
      <w:start w:val="1"/>
    </w:lvl>
  </w:abstractNum>
  <w:abstractNum w:abstractNumId="19">
    <w:nsid w:val="77465F01"/>
    <w:multiLevelType w:val="hybridMultilevel"/>
    <w:lvl w:ilvl="0">
      <w:lvlJc w:val="left"/>
      <w:lvlText w:val="1"/>
      <w:numFmt w:val="bullet"/>
      <w:start w:val="1"/>
    </w:lvl>
  </w:abstractNum>
  <w:abstractNum w:abstractNumId="20">
    <w:nsid w:val="7724C67E"/>
    <w:multiLevelType w:val="hybridMultilevel"/>
    <w:lvl w:ilvl="0">
      <w:lvlJc w:val="left"/>
      <w:lvlText w:val="1"/>
      <w:numFmt w:val="bullet"/>
      <w:start w:val="1"/>
    </w:lvl>
  </w:abstractNum>
  <w:abstractNum w:abstractNumId="21">
    <w:nsid w:val="5C482A97"/>
    <w:multiLevelType w:val="hybridMultilevel"/>
    <w:lvl w:ilvl="0">
      <w:lvlJc w:val="left"/>
      <w:lvlText w:val="1"/>
      <w:numFmt w:val="bullet"/>
      <w:start w:val="1"/>
    </w:lvl>
  </w:abstractNum>
  <w:abstractNum w:abstractNumId="22">
    <w:nsid w:val="2463B9EA"/>
    <w:multiLevelType w:val="hybridMultilevel"/>
    <w:lvl w:ilvl="0">
      <w:lvlJc w:val="left"/>
      <w:lvlText w:val="1"/>
      <w:numFmt w:val="bullet"/>
      <w:start w:val="1"/>
    </w:lvl>
  </w:abstractNum>
  <w:abstractNum w:abstractNumId="23">
    <w:nsid w:val="5E884ADC"/>
    <w:multiLevelType w:val="hybridMultilevel"/>
    <w:lvl w:ilvl="0">
      <w:lvlJc w:val="left"/>
      <w:lvlText w:val="1"/>
      <w:numFmt w:val="bullet"/>
      <w:start w:val="1"/>
    </w:lvl>
  </w:abstractNum>
  <w:abstractNum w:abstractNumId="24">
    <w:nsid w:val="51EAD36B"/>
    <w:multiLevelType w:val="hybridMultilevel"/>
    <w:lvl w:ilvl="0">
      <w:lvlJc w:val="left"/>
      <w:lvlText w:val="%1)"/>
      <w:numFmt w:val="decimal"/>
      <w:start w:val="8"/>
    </w:lvl>
  </w:abstractNum>
  <w:abstractNum w:abstractNumId="25">
    <w:nsid w:val="2D517796"/>
    <w:multiLevelType w:val="hybridMultilevel"/>
    <w:lvl w:ilvl="0">
      <w:lvlJc w:val="left"/>
      <w:lvlText w:val="%1)"/>
      <w:numFmt w:val="decimal"/>
      <w:start w:val="17"/>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bullet"/>
      <w:start w:val="1"/>
    </w:lvl>
  </w:abstractNum>
  <w:abstractNum w:abstractNumId="34">
    <w:nsid w:val="2CD89A32"/>
    <w:multiLevelType w:val="hybridMultilevel"/>
    <w:lvl w:ilvl="0">
      <w:lvlJc w:val="left"/>
      <w:lvlText w:val="1"/>
      <w:numFmt w:val="bullet"/>
      <w:start w:val="1"/>
    </w:lvl>
  </w:abstractNum>
  <w:abstractNum w:abstractNumId="35">
    <w:nsid w:val="57E4CCAF"/>
    <w:multiLevelType w:val="hybridMultilevel"/>
    <w:lvl w:ilvl="0">
      <w:lvlJc w:val="left"/>
      <w:lvlText w:val="1"/>
      <w:numFmt w:val="bullet"/>
      <w:start w:val="1"/>
    </w:lvl>
  </w:abstractNum>
  <w:abstractNum w:abstractNumId="36">
    <w:nsid w:val="7A6D8D3C"/>
    <w:multiLevelType w:val="hybridMultilevel"/>
    <w:lvl w:ilvl="0">
      <w:lvlJc w:val="left"/>
      <w:lvlText w:val="1"/>
      <w:numFmt w:val="bullet"/>
      <w:start w:val="1"/>
    </w:lvl>
  </w:abstractNum>
  <w:abstractNum w:abstractNumId="37">
    <w:nsid w:val="4B588F54"/>
    <w:multiLevelType w:val="hybridMultilevel"/>
    <w:lvl w:ilvl="0">
      <w:lvlJc w:val="left"/>
      <w:lvlText w:val="1"/>
      <w:numFmt w:val="bullet"/>
      <w:start w:val="1"/>
    </w:lvl>
  </w:abstractNum>
  <w:abstractNum w:abstractNumId="38">
    <w:nsid w:val="542289EC"/>
    <w:multiLevelType w:val="hybridMultilevel"/>
    <w:lvl w:ilvl="0">
      <w:lvlJc w:val="left"/>
      <w:lvlText w:val="2"/>
      <w:numFmt w:val="bullet"/>
      <w:start w:val="1"/>
    </w:lvl>
  </w:abstractNum>
  <w:abstractNum w:abstractNumId="39">
    <w:nsid w:val="6DE91B18"/>
    <w:multiLevelType w:val="hybridMultilevel"/>
    <w:lvl w:ilvl="0">
      <w:lvlJc w:val="left"/>
      <w:lvlText w:val="3"/>
      <w:numFmt w:val="bullet"/>
      <w:start w:val="1"/>
    </w:lvl>
  </w:abstractNum>
  <w:abstractNum w:abstractNumId="40">
    <w:nsid w:val="38437FDB"/>
    <w:multiLevelType w:val="hybridMultilevel"/>
    <w:lvl w:ilvl="0">
      <w:lvlJc w:val="left"/>
      <w:lvlText w:val="1"/>
      <w:numFmt w:val="bullet"/>
      <w:start w:val="1"/>
    </w:lvl>
  </w:abstractNum>
  <w:abstractNum w:abstractNumId="41">
    <w:nsid w:val="7644A45C"/>
    <w:multiLevelType w:val="hybridMultilevel"/>
    <w:lvl w:ilvl="0">
      <w:lvlJc w:val="left"/>
      <w:lvlText w:val="1"/>
      <w:numFmt w:val="bullet"/>
      <w:start w:val="1"/>
    </w:lvl>
  </w:abstractNum>
  <w:abstractNum w:abstractNumId="42">
    <w:nsid w:val="32FFF902"/>
    <w:multiLevelType w:val="hybridMultilevel"/>
    <w:lvl w:ilvl="0">
      <w:lvlJc w:val="left"/>
      <w:lvlText w:val="2"/>
      <w:numFmt w:val="bullet"/>
      <w:start w:val="1"/>
    </w:lvl>
  </w:abstractNum>
  <w:abstractNum w:abstractNumId="43">
    <w:nsid w:val="684A481A"/>
    <w:multiLevelType w:val="hybridMultilevel"/>
    <w:lvl w:ilvl="0">
      <w:lvlJc w:val="left"/>
      <w:lvlText w:val="3"/>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bullet"/>
      <w:start w:val="1"/>
    </w:lvl>
  </w:abstractNum>
  <w:abstractNum w:abstractNumId="46">
    <w:nsid w:val="3DC240FB"/>
    <w:multiLevelType w:val="hybridMultilevel"/>
    <w:lvl w:ilvl="0">
      <w:lvlJc w:val="left"/>
      <w:lvlText w:val="%1"/>
      <w:numFmt w:val="upperLetter"/>
      <w:start w:val="68"/>
    </w:lvl>
  </w:abstractNum>
  <w:abstractNum w:abstractNumId="47">
    <w:nsid w:val="1BA026FA"/>
    <w:multiLevelType w:val="hybridMultilevel"/>
    <w:lvl w:ilvl="0">
      <w:lvlJc w:val="left"/>
      <w:lvlText w:val="1"/>
      <w:numFmt w:val="bullet"/>
      <w:start w:val="1"/>
    </w:lvl>
  </w:abstractNum>
  <w:abstractNum w:abstractNumId="48">
    <w:nsid w:val="79A1DEAA"/>
    <w:multiLevelType w:val="hybridMultilevel"/>
    <w:lvl w:ilvl="0">
      <w:lvlJc w:val="left"/>
      <w:lvlText w:val="2"/>
      <w:numFmt w:val="bullet"/>
      <w:start w:val="1"/>
    </w:lvl>
  </w:abstractNum>
  <w:abstractNum w:abstractNumId="49">
    <w:nsid w:val="75C6C33A"/>
    <w:multiLevelType w:val="hybridMultilevel"/>
    <w:lvl w:ilvl="0">
      <w:lvlJc w:val="left"/>
      <w:lvlText w:val="%1"/>
      <w:numFmt w:val="decimal"/>
      <w:start w:val="32"/>
    </w:lvl>
  </w:abstractNum>
  <w:abstractNum w:abstractNumId="50">
    <w:nsid w:val="12E685FB"/>
    <w:multiLevelType w:val="hybridMultilevel"/>
    <w:lvl w:ilvl="0">
      <w:lvlJc w:val="left"/>
      <w:lvlText w:val="%1"/>
      <w:numFmt w:val="decimal"/>
      <w:start w:val="104"/>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89" Type="http://schemas.openxmlformats.org/officeDocument/2006/relationships/hyperlink" Target="http://www.sec.gov/Archives/edgar/data/0000046195/000104746906002592/a2167652zex-3_1.htm" TargetMode="External"/><Relationship Id="rId90" Type="http://schemas.openxmlformats.org/officeDocument/2006/relationships/hyperlink" Target="http://www.sec.gov/Archives/edgar/data/0000046195/000110465908028414/a08-13016_1ex3d1.htm" TargetMode="External"/><Relationship Id="rId91" Type="http://schemas.openxmlformats.org/officeDocument/2006/relationships/hyperlink" Target="http://www.sec.gov/Archives/edgar/data/0000046195/000119312521191143/d184114dex31.htm" TargetMode="External"/><Relationship Id="rId92" Type="http://schemas.openxmlformats.org/officeDocument/2006/relationships/hyperlink" Target="http://www.sec.gov/Archives/edgar/data/0000046195/000004619518000062/exhibit32amendedandrestate.htm" TargetMode="External"/><Relationship Id="rId93" Type="http://schemas.openxmlformats.org/officeDocument/2006/relationships/hyperlink" Target="http://www.sec.gov/Archives/edgar/data/0000046195/000119312521191143/d18411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2021-07-26T16:26:34Z</dcterms:created>
  <dcterms:modified xsi:type="dcterms:W3CDTF">2021-07-26T16:26:34Z</dcterms:modified>
</cp:coreProperties>
</file>