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60" w:right="2320" w:hanging="176"/>
        <w:spacing w:after="0" w:line="305"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00" w:hanging="316"/>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w:t>
      </w:r>
    </w:p>
    <w:p>
      <w:pPr>
        <w:spacing w:after="0" w:line="37"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w w:val="93"/>
              </w:rPr>
              <w:t>period from</w:t>
            </w:r>
          </w:p>
        </w:tc>
        <w:tc>
          <w:tcPr>
            <w:tcW w:w="500" w:type="dxa"/>
            <w:vAlign w:val="bottom"/>
          </w:tcPr>
          <w:p>
            <w:pPr>
              <w:spacing w:after="0"/>
              <w:rPr>
                <w:sz w:val="17"/>
                <w:szCs w:val="17"/>
                <w:color w:val="auto"/>
              </w:rPr>
            </w:pPr>
          </w:p>
        </w:tc>
        <w:tc>
          <w:tcPr>
            <w:tcW w:w="4960" w:type="dxa"/>
            <w:vAlign w:val="bottom"/>
            <w:gridSpan w:val="3"/>
          </w:tcPr>
          <w:p>
            <w:pPr>
              <w:ind w:left="80"/>
              <w:spacing w:after="0"/>
              <w:rPr>
                <w:sz w:val="20"/>
                <w:szCs w:val="20"/>
                <w:color w:val="auto"/>
              </w:rPr>
            </w:pPr>
            <w:r>
              <w:rPr>
                <w:rFonts w:ascii="Arial" w:cs="Arial" w:eastAsia="Arial" w:hAnsi="Arial"/>
                <w:sz w:val="18"/>
                <w:szCs w:val="18"/>
                <w:b w:val="1"/>
                <w:bCs w:val="1"/>
                <w:color w:val="auto"/>
              </w:rPr>
              <w:t>to</w:t>
            </w:r>
          </w:p>
        </w:tc>
      </w:tr>
      <w:tr>
        <w:trPr>
          <w:trHeight w:val="453"/>
        </w:trPr>
        <w:tc>
          <w:tcPr>
            <w:tcW w:w="9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180" w:type="dxa"/>
            <w:vAlign w:val="bottom"/>
          </w:tcPr>
          <w:p>
            <w:pPr>
              <w:ind w:left="1600"/>
              <w:spacing w:after="0"/>
              <w:rPr>
                <w:sz w:val="20"/>
                <w:szCs w:val="20"/>
                <w:color w:val="auto"/>
              </w:rPr>
            </w:pPr>
            <w:r>
              <w:rPr>
                <w:rFonts w:ascii="Arial" w:cs="Arial" w:eastAsia="Arial" w:hAnsi="Arial"/>
                <w:sz w:val="18"/>
                <w:szCs w:val="18"/>
                <w:b w:val="1"/>
                <w:bCs w:val="1"/>
                <w:color w:val="auto"/>
                <w:w w:val="90"/>
              </w:rPr>
              <w:t>Commission File Number: 1-6887</w:t>
            </w:r>
          </w:p>
        </w:tc>
      </w:tr>
    </w:tbl>
    <w:p>
      <w:pPr>
        <w:spacing w:after="0" w:line="1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BANK OF HAWAII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3"/>
              </w:rPr>
              <w:t>Delaware</w:t>
            </w:r>
          </w:p>
        </w:tc>
        <w:tc>
          <w:tcPr>
            <w:tcW w:w="5300" w:type="dxa"/>
            <w:vAlign w:val="bottom"/>
          </w:tcPr>
          <w:p>
            <w:pPr>
              <w:jc w:val="right"/>
              <w:ind w:right="790"/>
              <w:spacing w:after="0"/>
              <w:rPr>
                <w:sz w:val="20"/>
                <w:szCs w:val="20"/>
                <w:color w:val="auto"/>
              </w:rPr>
            </w:pPr>
            <w:r>
              <w:rPr>
                <w:rFonts w:ascii="Arial" w:cs="Arial" w:eastAsia="Arial" w:hAnsi="Arial"/>
                <w:sz w:val="18"/>
                <w:szCs w:val="18"/>
                <w:b w:val="1"/>
                <w:bCs w:val="1"/>
                <w:color w:val="auto"/>
              </w:rPr>
              <w:t>99-0148992</w:t>
            </w:r>
          </w:p>
        </w:tc>
      </w:tr>
      <w:tr>
        <w:trPr>
          <w:trHeight w:val="270"/>
        </w:trPr>
        <w:tc>
          <w:tcPr>
            <w:tcW w:w="3460" w:type="dxa"/>
            <w:vAlign w:val="bottom"/>
          </w:tcPr>
          <w:p>
            <w:pPr>
              <w:jc w:val="center"/>
              <w:ind w:right="350"/>
              <w:spacing w:after="0"/>
              <w:rPr>
                <w:sz w:val="20"/>
                <w:szCs w:val="20"/>
                <w:color w:val="auto"/>
              </w:rPr>
            </w:pPr>
            <w:r>
              <w:rPr>
                <w:rFonts w:ascii="Arial" w:cs="Arial" w:eastAsia="Arial" w:hAnsi="Arial"/>
                <w:sz w:val="18"/>
                <w:szCs w:val="18"/>
                <w:color w:val="auto"/>
                <w:w w:val="92"/>
              </w:rPr>
              <w:t>(State of incorporation)</w:t>
            </w:r>
          </w:p>
        </w:tc>
        <w:tc>
          <w:tcPr>
            <w:tcW w:w="5300" w:type="dxa"/>
            <w:vAlign w:val="bottom"/>
          </w:tcPr>
          <w:p>
            <w:pPr>
              <w:jc w:val="center"/>
              <w:ind w:left="2590"/>
              <w:spacing w:after="0"/>
              <w:rPr>
                <w:sz w:val="20"/>
                <w:szCs w:val="20"/>
                <w:color w:val="auto"/>
              </w:rPr>
            </w:pPr>
            <w:r>
              <w:rPr>
                <w:rFonts w:ascii="Arial" w:cs="Arial" w:eastAsia="Arial" w:hAnsi="Arial"/>
                <w:sz w:val="18"/>
                <w:szCs w:val="18"/>
                <w:color w:val="auto"/>
                <w:w w:val="94"/>
              </w:rPr>
              <w:t>(I.R.S. Employer Identification No.)</w:t>
            </w:r>
          </w:p>
        </w:tc>
      </w:tr>
      <w:tr>
        <w:trPr>
          <w:trHeight w:val="540"/>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130 Merchant Street, Honolulu, Hawaii</w:t>
            </w:r>
          </w:p>
        </w:tc>
        <w:tc>
          <w:tcPr>
            <w:tcW w:w="5300" w:type="dxa"/>
            <w:vAlign w:val="bottom"/>
          </w:tcPr>
          <w:p>
            <w:pPr>
              <w:jc w:val="right"/>
              <w:ind w:right="990"/>
              <w:spacing w:after="0"/>
              <w:rPr>
                <w:sz w:val="20"/>
                <w:szCs w:val="20"/>
                <w:color w:val="auto"/>
              </w:rPr>
            </w:pPr>
            <w:r>
              <w:rPr>
                <w:rFonts w:ascii="Arial" w:cs="Arial" w:eastAsia="Arial" w:hAnsi="Arial"/>
                <w:sz w:val="18"/>
                <w:szCs w:val="18"/>
                <w:b w:val="1"/>
                <w:bCs w:val="1"/>
                <w:color w:val="auto"/>
              </w:rPr>
              <w:t>96813</w:t>
            </w:r>
          </w:p>
        </w:tc>
      </w:tr>
      <w:tr>
        <w:trPr>
          <w:trHeight w:val="270"/>
        </w:trPr>
        <w:tc>
          <w:tcPr>
            <w:tcW w:w="3460" w:type="dxa"/>
            <w:vAlign w:val="bottom"/>
          </w:tcPr>
          <w:p>
            <w:pPr>
              <w:jc w:val="center"/>
              <w:ind w:right="350"/>
              <w:spacing w:after="0"/>
              <w:rPr>
                <w:sz w:val="20"/>
                <w:szCs w:val="20"/>
                <w:color w:val="auto"/>
              </w:rPr>
            </w:pPr>
            <w:r>
              <w:rPr>
                <w:rFonts w:ascii="Arial" w:cs="Arial" w:eastAsia="Arial" w:hAnsi="Arial"/>
                <w:sz w:val="18"/>
                <w:szCs w:val="18"/>
                <w:color w:val="auto"/>
                <w:w w:val="92"/>
              </w:rPr>
              <w:t>(Address of principal executive offices)</w:t>
            </w:r>
          </w:p>
        </w:tc>
        <w:tc>
          <w:tcPr>
            <w:tcW w:w="5300" w:type="dxa"/>
            <w:vAlign w:val="bottom"/>
          </w:tcPr>
          <w:p>
            <w:pPr>
              <w:jc w:val="center"/>
              <w:ind w:left="2570"/>
              <w:spacing w:after="0"/>
              <w:rPr>
                <w:sz w:val="20"/>
                <w:szCs w:val="20"/>
                <w:color w:val="auto"/>
              </w:rPr>
            </w:pPr>
            <w:r>
              <w:rPr>
                <w:rFonts w:ascii="Arial" w:cs="Arial" w:eastAsia="Arial" w:hAnsi="Arial"/>
                <w:sz w:val="18"/>
                <w:szCs w:val="18"/>
                <w:color w:val="auto"/>
                <w:w w:val="94"/>
              </w:rPr>
              <w:t>(Zip Code)</w:t>
            </w:r>
          </w:p>
        </w:tc>
      </w:tr>
      <w:tr>
        <w:trPr>
          <w:trHeight w:val="243"/>
        </w:trPr>
        <w:tc>
          <w:tcPr>
            <w:tcW w:w="3460" w:type="dxa"/>
            <w:vAlign w:val="bottom"/>
          </w:tcPr>
          <w:p>
            <w:pPr>
              <w:spacing w:after="0"/>
              <w:rPr>
                <w:sz w:val="21"/>
                <w:szCs w:val="21"/>
                <w:color w:val="auto"/>
              </w:rPr>
            </w:pPr>
          </w:p>
        </w:tc>
        <w:tc>
          <w:tcPr>
            <w:tcW w:w="5300" w:type="dxa"/>
            <w:vAlign w:val="bottom"/>
          </w:tcPr>
          <w:p>
            <w:pPr>
              <w:jc w:val="right"/>
              <w:ind w:right="3590"/>
              <w:spacing w:after="0"/>
              <w:rPr>
                <w:sz w:val="20"/>
                <w:szCs w:val="20"/>
                <w:color w:val="auto"/>
              </w:rPr>
            </w:pPr>
            <w:r>
              <w:rPr>
                <w:rFonts w:ascii="Arial" w:cs="Arial" w:eastAsia="Arial" w:hAnsi="Arial"/>
                <w:sz w:val="18"/>
                <w:szCs w:val="18"/>
                <w:b w:val="1"/>
                <w:bCs w:val="1"/>
                <w:color w:val="auto"/>
              </w:rPr>
              <w:t>1-888-643-3888</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4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rPr>
          <w:sz w:val="20"/>
          <w:szCs w:val="20"/>
          <w:color w:val="auto"/>
        </w:rPr>
      </w:pPr>
      <w:r>
        <w:rPr>
          <w:rFonts w:ascii="Arial" w:cs="Arial" w:eastAsia="Arial" w:hAnsi="Arial"/>
          <w:sz w:val="18"/>
          <w:szCs w:val="18"/>
          <w:color w:val="auto"/>
        </w:rPr>
        <w:t>Yes x No o</w:t>
      </w:r>
    </w:p>
    <w:p>
      <w:pPr>
        <w:spacing w:after="0" w:line="211" w:lineRule="exact"/>
        <w:rPr>
          <w:sz w:val="24"/>
          <w:szCs w:val="24"/>
          <w:color w:val="auto"/>
        </w:rPr>
      </w:pPr>
    </w:p>
    <w:p>
      <w:pPr>
        <w:jc w:val="both"/>
        <w:ind w:right="6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w:t>
      </w:r>
    </w:p>
    <w:p>
      <w:pPr>
        <w:jc w:val="center"/>
        <w:spacing w:after="0"/>
        <w:rPr>
          <w:sz w:val="20"/>
          <w:szCs w:val="20"/>
          <w:color w:val="auto"/>
        </w:rPr>
      </w:pPr>
      <w:r>
        <w:rPr>
          <w:rFonts w:ascii="Arial" w:cs="Arial" w:eastAsia="Arial" w:hAnsi="Arial"/>
          <w:sz w:val="18"/>
          <w:szCs w:val="18"/>
          <w:color w:val="auto"/>
        </w:rPr>
        <w:t>Yes x No o</w:t>
      </w:r>
    </w:p>
    <w:p>
      <w:pPr>
        <w:spacing w:after="0" w:line="21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8" w:right="239" w:bottom="1440" w:gutter="0" w:footer="0" w:header="0"/>
        </w:sectPr>
      </w:pPr>
    </w:p>
    <w:p>
      <w:pPr>
        <w:spacing w:after="0" w:line="181" w:lineRule="exact"/>
        <w:rPr>
          <w:sz w:val="24"/>
          <w:szCs w:val="24"/>
          <w:color w:val="auto"/>
        </w:rPr>
      </w:pPr>
    </w:p>
    <w:p>
      <w:pPr>
        <w:ind w:left="5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6860" w:space="720"/>
            <w:col w:w="3840"/>
          </w:cols>
          <w:pgMar w:left="240" w:top="238"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60" w:space="720"/>
            <w:col w:w="3840"/>
          </w:cols>
          <w:pgMar w:left="240" w:top="238" w:right="239" w:bottom="1440" w:gutter="0" w:footer="0" w:header="0"/>
          <w:type w:val="continuous"/>
        </w:sectPr>
      </w:pPr>
    </w:p>
    <w:p>
      <w:pPr>
        <w:ind w:left="758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38" w:right="239" w:bottom="1440" w:gutter="0" w:footer="0" w:header="0"/>
          <w:type w:val="continuous"/>
        </w:sectPr>
      </w:pPr>
    </w:p>
    <w:p>
      <w:pPr>
        <w:spacing w:after="0" w:line="16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Yes o No x</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As of April 17, 2018, there were 42,267,067 shares of common stock outstanding.</w:t>
      </w:r>
    </w:p>
    <w:p>
      <w:pPr>
        <w:sectPr>
          <w:pgSz w:w="11900" w:h="16838" w:orient="portrait"/>
          <w:cols w:equalWidth="0" w:num="1">
            <w:col w:w="11420"/>
          </w:cols>
          <w:pgMar w:left="240" w:top="238" w:right="2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Bank of Hawaii Corporation</w:t>
      </w:r>
    </w:p>
    <w:p>
      <w:pPr>
        <w:spacing w:after="0" w:line="1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Index</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34290</wp:posOffset>
            </wp:positionV>
            <wp:extent cx="4889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7940" w:type="dxa"/>
            <w:vAlign w:val="bottom"/>
            <w:gridSpan w:val="16"/>
          </w:tcPr>
          <w:p>
            <w:pPr>
              <w:spacing w:after="0"/>
              <w:rPr>
                <w:sz w:val="20"/>
                <w:szCs w:val="20"/>
                <w:color w:val="auto"/>
              </w:rPr>
            </w:pPr>
            <w:r>
              <w:rPr>
                <w:rFonts w:ascii="Arial" w:cs="Arial" w:eastAsia="Arial" w:hAnsi="Arial"/>
                <w:sz w:val="18"/>
                <w:szCs w:val="18"/>
                <w:color w:val="auto"/>
              </w:rPr>
              <w:t>Financial Statements (Unaudited)</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0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w:t>
              </w:r>
            </w:hyperlink>
          </w:p>
        </w:tc>
        <w:tc>
          <w:tcPr>
            <w:tcW w:w="168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months ended March 31, 2018 and 2017</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w:t>
              </w:r>
            </w:hyperlink>
          </w:p>
        </w:tc>
        <w:tc>
          <w:tcPr>
            <w:tcW w:w="16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700" w:type="dxa"/>
            <w:vAlign w:val="bottom"/>
            <w:tcBorders>
              <w:top w:val="single" w:sz="8" w:color="0000EE"/>
            </w:tcBorders>
            <w:gridSpan w:val="10"/>
          </w:tcPr>
          <w:p>
            <w:pPr>
              <w:spacing w:after="0" w:line="19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Three months ended March 31, 2018 and 2017</w:t>
              </w:r>
            </w:hyperlink>
          </w:p>
        </w:tc>
        <w:tc>
          <w:tcPr>
            <w:tcW w:w="4080" w:type="dxa"/>
            <w:vAlign w:val="bottom"/>
            <w:gridSpan w:val="4"/>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Condition –</w:t>
              </w:r>
            </w:hyperlink>
          </w:p>
        </w:tc>
        <w:tc>
          <w:tcPr>
            <w:tcW w:w="168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31, 2018 and December 31, 2017</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 –</w:t>
              </w:r>
            </w:hyperlink>
          </w:p>
        </w:tc>
        <w:tc>
          <w:tcPr>
            <w:tcW w:w="168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gridSpan w:val="9"/>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Three months ended March 31, 2018 and 2017</w:t>
              </w:r>
            </w:hyperlink>
          </w:p>
        </w:tc>
        <w:tc>
          <w:tcPr>
            <w:tcW w:w="4260" w:type="dxa"/>
            <w:vAlign w:val="bottom"/>
            <w:gridSpan w:val="5"/>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w:t>
              </w:r>
            </w:hyperlink>
          </w:p>
        </w:tc>
        <w:tc>
          <w:tcPr>
            <w:tcW w:w="168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Three months ended March 31, 2018 and 2017</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13"/>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 (Unaudited)</w:t>
              </w:r>
            </w:hyperlink>
          </w:p>
        </w:tc>
        <w:tc>
          <w:tcPr>
            <w:tcW w:w="3880" w:type="dxa"/>
            <w:vAlign w:val="bottom"/>
            <w:gridSpan w:val="3"/>
          </w:tcPr>
          <w:p>
            <w:pPr>
              <w:spacing w:after="0"/>
              <w:rPr>
                <w:sz w:val="24"/>
                <w:szCs w:val="24"/>
                <w:color w:val="auto"/>
              </w:rPr>
            </w:pPr>
          </w:p>
        </w:tc>
        <w:tc>
          <w:tcPr>
            <w:tcW w:w="168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00" w:type="dxa"/>
            <w:vAlign w:val="bottom"/>
            <w:gridSpan w:val="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2.</w:t>
              </w:r>
            </w:hyperlink>
          </w:p>
        </w:tc>
        <w:tc>
          <w:tcPr>
            <w:tcW w:w="7940" w:type="dxa"/>
            <w:vAlign w:val="bottom"/>
            <w:gridSpan w:val="1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Management’s Discussion and Analysis of Financial Condition and Results of Operations</w:t>
              </w:r>
            </w:hyperlink>
          </w:p>
        </w:tc>
        <w:tc>
          <w:tcPr>
            <w:tcW w:w="168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3.</w:t>
              </w:r>
            </w:hyperlink>
          </w:p>
        </w:tc>
        <w:tc>
          <w:tcPr>
            <w:tcW w:w="7940" w:type="dxa"/>
            <w:vAlign w:val="bottom"/>
            <w:gridSpan w:val="1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Quantitative and Qualitative Disclosures About Market Risk</w:t>
              </w:r>
            </w:hyperlink>
          </w:p>
        </w:tc>
        <w:tc>
          <w:tcPr>
            <w:tcW w:w="168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3600" w:type="dxa"/>
            <w:vAlign w:val="bottom"/>
            <w:tcBorders>
              <w:left w:val="single" w:sz="8" w:color="0000EE"/>
            </w:tcBorders>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4.</w:t>
              </w:r>
            </w:hyperlink>
          </w:p>
        </w:tc>
        <w:tc>
          <w:tcPr>
            <w:tcW w:w="7940" w:type="dxa"/>
            <w:vAlign w:val="bottom"/>
            <w:gridSpan w:val="1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Controls and Procedures</w:t>
              </w:r>
            </w:hyperlink>
          </w:p>
        </w:tc>
        <w:tc>
          <w:tcPr>
            <w:tcW w:w="1680" w:type="dxa"/>
            <w:vAlign w:val="bottom"/>
            <w:gridSpan w:val="3"/>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19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81">
              <w:r>
                <w:rPr>
                  <w:rFonts w:ascii="Arial" w:cs="Arial" w:eastAsia="Arial" w:hAnsi="Arial"/>
                  <w:sz w:val="18"/>
                  <w:szCs w:val="18"/>
                  <w:color w:val="0000EE"/>
                  <w:w w:val="93"/>
                </w:rPr>
                <w:t>Part II - Other Information</w:t>
              </w:r>
            </w:hyperlink>
          </w:p>
        </w:tc>
        <w:tc>
          <w:tcPr>
            <w:tcW w:w="7480" w:type="dxa"/>
            <w:vAlign w:val="bottom"/>
            <w:gridSpan w:val="13"/>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Item 1A.</w:t>
              </w:r>
            </w:hyperlink>
          </w:p>
        </w:tc>
        <w:tc>
          <w:tcPr>
            <w:tcW w:w="820" w:type="dxa"/>
            <w:vAlign w:val="bottom"/>
            <w:gridSpan w:val="2"/>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Risk Factors</w:t>
              </w:r>
            </w:hyperlink>
          </w:p>
        </w:tc>
        <w:tc>
          <w:tcPr>
            <w:tcW w:w="1680" w:type="dxa"/>
            <w:vAlign w:val="bottom"/>
            <w:gridSpan w:val="3"/>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2.</w:t>
              </w:r>
            </w:hyperlink>
          </w:p>
        </w:tc>
        <w:tc>
          <w:tcPr>
            <w:tcW w:w="820" w:type="dxa"/>
            <w:vAlign w:val="bottom"/>
            <w:gridSpan w:val="2"/>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Unregistered Sales of Equity Securities and Use of Proceeds</w:t>
              </w:r>
            </w:hyperlink>
          </w:p>
        </w:tc>
        <w:tc>
          <w:tcPr>
            <w:tcW w:w="1680" w:type="dxa"/>
            <w:vAlign w:val="bottom"/>
            <w:gridSpan w:val="3"/>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740" w:type="dxa"/>
            <w:vAlign w:val="bottom"/>
            <w:gridSpan w:val="10"/>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6.</w:t>
              </w:r>
            </w:hyperlink>
          </w:p>
        </w:tc>
        <w:tc>
          <w:tcPr>
            <w:tcW w:w="7940" w:type="dxa"/>
            <w:vAlign w:val="bottom"/>
            <w:gridSpan w:val="1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Exhibits</w:t>
              </w:r>
            </w:hyperlink>
          </w:p>
        </w:tc>
        <w:tc>
          <w:tcPr>
            <w:tcW w:w="1680" w:type="dxa"/>
            <w:vAlign w:val="bottom"/>
            <w:gridSpan w:val="3"/>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gridSpan w:val="3"/>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78</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gridSpan w:val="14"/>
          </w:tcPr>
          <w:p>
            <w:pPr>
              <w:ind w:left="4160"/>
              <w:spacing w:after="0"/>
              <w:rPr>
                <w:sz w:val="20"/>
                <w:szCs w:val="20"/>
                <w:color w:val="auto"/>
              </w:rPr>
            </w:pPr>
            <w:r>
              <w:rPr>
                <w:rFonts w:ascii="Arial" w:cs="Arial" w:eastAsia="Arial" w:hAnsi="Arial"/>
                <w:sz w:val="18"/>
                <w:szCs w:val="18"/>
                <w:color w:val="auto"/>
              </w:rPr>
              <w:t>1</w:t>
            </w: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30" w:right="5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Pr>
          <w:p>
            <w:pPr>
              <w:spacing w:after="0"/>
              <w:rPr>
                <w:sz w:val="18"/>
                <w:szCs w:val="18"/>
                <w:color w:val="auto"/>
              </w:rPr>
            </w:pPr>
          </w:p>
        </w:tc>
      </w:tr>
      <w:tr>
        <w:trPr>
          <w:trHeight w:val="257"/>
        </w:trPr>
        <w:tc>
          <w:tcPr>
            <w:tcW w:w="8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6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840" w:type="dxa"/>
            <w:vAlign w:val="bottom"/>
          </w:tcPr>
          <w:p>
            <w:pPr>
              <w:spacing w:after="0"/>
              <w:rPr>
                <w:sz w:val="22"/>
                <w:szCs w:val="22"/>
                <w:color w:val="auto"/>
              </w:rPr>
            </w:pPr>
          </w:p>
        </w:tc>
      </w:tr>
      <w:tr>
        <w:trPr>
          <w:trHeight w:val="33"/>
        </w:trPr>
        <w:tc>
          <w:tcPr>
            <w:tcW w:w="8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7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Interest and Fees on Loans and Leases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97,634</w:t>
            </w:r>
          </w:p>
        </w:tc>
        <w:tc>
          <w:tcPr>
            <w:tcW w:w="7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87,937</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on Investment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380"/>
              <w:spacing w:after="0"/>
              <w:rPr>
                <w:sz w:val="20"/>
                <w:szCs w:val="20"/>
                <w:color w:val="auto"/>
              </w:rPr>
            </w:pPr>
            <w:r>
              <w:rPr>
                <w:rFonts w:ascii="Arial" w:cs="Arial" w:eastAsia="Arial" w:hAnsi="Arial"/>
                <w:sz w:val="16"/>
                <w:szCs w:val="16"/>
                <w:color w:val="auto"/>
              </w:rPr>
              <w:t>Available-for-Sale</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12,141</w:t>
            </w:r>
          </w:p>
        </w:tc>
        <w:tc>
          <w:tcPr>
            <w:tcW w:w="7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11,084</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Held-to-Maturity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21,296</w:t>
            </w: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19,706</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Deposits</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7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Sold</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757</w:t>
            </w: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300</w:t>
            </w:r>
          </w:p>
        </w:tc>
        <w:tc>
          <w:tcPr>
            <w:tcW w:w="7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230</w:t>
            </w:r>
          </w:p>
        </w:tc>
      </w:tr>
      <w:tr>
        <w:trPr>
          <w:trHeight w:val="33"/>
        </w:trPr>
        <w:tc>
          <w:tcPr>
            <w:tcW w:w="8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132,146</w:t>
            </w:r>
          </w:p>
        </w:tc>
        <w:tc>
          <w:tcPr>
            <w:tcW w:w="7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119,852</w:t>
            </w:r>
          </w:p>
        </w:tc>
      </w:tr>
      <w:tr>
        <w:trPr>
          <w:trHeight w:val="231"/>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Deposits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7,581</w:t>
            </w: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3,691</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4,564</w:t>
            </w:r>
          </w:p>
        </w:tc>
        <w:tc>
          <w:tcPr>
            <w:tcW w:w="7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5,185</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Purchased</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53</w:t>
            </w: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Short-Term Borrowings</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7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Debt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976</w:t>
            </w:r>
          </w:p>
        </w:tc>
        <w:tc>
          <w:tcPr>
            <w:tcW w:w="7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1,101</w:t>
            </w:r>
          </w:p>
        </w:tc>
      </w:tr>
      <w:tr>
        <w:trPr>
          <w:trHeight w:val="231"/>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 Expense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13,190</w:t>
            </w:r>
          </w:p>
        </w:tc>
        <w:tc>
          <w:tcPr>
            <w:tcW w:w="7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9,980</w:t>
            </w:r>
          </w:p>
        </w:tc>
      </w:tr>
      <w:tr>
        <w:trPr>
          <w:trHeight w:val="33"/>
        </w:trPr>
        <w:tc>
          <w:tcPr>
            <w:tcW w:w="8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118,956</w:t>
            </w: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109,872</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4,125</w:t>
            </w:r>
          </w:p>
        </w:tc>
        <w:tc>
          <w:tcPr>
            <w:tcW w:w="7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4,400</w:t>
            </w:r>
          </w:p>
        </w:tc>
      </w:tr>
      <w:tr>
        <w:trPr>
          <w:trHeight w:val="33"/>
        </w:trPr>
        <w:tc>
          <w:tcPr>
            <w:tcW w:w="8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114,831</w:t>
            </w:r>
          </w:p>
        </w:tc>
        <w:tc>
          <w:tcPr>
            <w:tcW w:w="7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105,472</w:t>
            </w:r>
          </w:p>
        </w:tc>
      </w:tr>
      <w:tr>
        <w:trPr>
          <w:trHeight w:val="231"/>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Income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Trust and Asset Management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11,181</w:t>
            </w: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11,479</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Mortgage Banking</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2,145</w:t>
            </w:r>
          </w:p>
        </w:tc>
        <w:tc>
          <w:tcPr>
            <w:tcW w:w="7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3,300</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Service Charges on Deposit Accounts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7,129</w:t>
            </w: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8,325</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Fees, Exchange, and Other Service Charges</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14,333</w:t>
            </w:r>
          </w:p>
        </w:tc>
        <w:tc>
          <w:tcPr>
            <w:tcW w:w="7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13,332</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Gains (Losses),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(666)</w:t>
            </w: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12,133</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Annuity and Insurance</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1,206</w:t>
            </w:r>
          </w:p>
        </w:tc>
        <w:tc>
          <w:tcPr>
            <w:tcW w:w="7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1,995</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Bank-Owned Life Insurance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1,842</w:t>
            </w: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1,497</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6,865</w:t>
            </w:r>
          </w:p>
        </w:tc>
        <w:tc>
          <w:tcPr>
            <w:tcW w:w="7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3,855</w:t>
            </w:r>
          </w:p>
        </w:tc>
      </w:tr>
      <w:tr>
        <w:trPr>
          <w:trHeight w:val="33"/>
        </w:trPr>
        <w:tc>
          <w:tcPr>
            <w:tcW w:w="8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44,035</w:t>
            </w:r>
          </w:p>
        </w:tc>
        <w:tc>
          <w:tcPr>
            <w:tcW w:w="7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55,916</w:t>
            </w:r>
          </w:p>
        </w:tc>
      </w:tr>
      <w:tr>
        <w:trPr>
          <w:trHeight w:val="231"/>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Expense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Salaries and Benefits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54,422</w:t>
            </w: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51,165</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Net Occupancy</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8,534</w:t>
            </w:r>
          </w:p>
        </w:tc>
        <w:tc>
          <w:tcPr>
            <w:tcW w:w="7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8,168</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5,527</w:t>
            </w: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Data Processing</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3,891</w:t>
            </w:r>
          </w:p>
        </w:tc>
        <w:tc>
          <w:tcPr>
            <w:tcW w:w="7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3,410</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Professional Fees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2,773</w:t>
            </w: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2,779</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FDIC Insurance</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2,157</w:t>
            </w:r>
          </w:p>
        </w:tc>
        <w:tc>
          <w:tcPr>
            <w:tcW w:w="7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2,209</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17,080</w:t>
            </w:r>
          </w:p>
        </w:tc>
        <w:tc>
          <w:tcPr>
            <w:tcW w:w="7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15,336</w:t>
            </w:r>
          </w:p>
        </w:tc>
      </w:tr>
      <w:tr>
        <w:trPr>
          <w:trHeight w:val="231"/>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94,384</w:t>
            </w:r>
          </w:p>
        </w:tc>
        <w:tc>
          <w:tcPr>
            <w:tcW w:w="7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88,568</w:t>
            </w:r>
          </w:p>
        </w:tc>
      </w:tr>
      <w:tr>
        <w:trPr>
          <w:trHeight w:val="33"/>
        </w:trPr>
        <w:tc>
          <w:tcPr>
            <w:tcW w:w="8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64,482</w:t>
            </w: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72,820</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10,442</w:t>
            </w:r>
          </w:p>
        </w:tc>
        <w:tc>
          <w:tcPr>
            <w:tcW w:w="7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21,644</w:t>
            </w:r>
          </w:p>
        </w:tc>
      </w:tr>
      <w:tr>
        <w:trPr>
          <w:trHeight w:val="33"/>
        </w:trPr>
        <w:tc>
          <w:tcPr>
            <w:tcW w:w="8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54,040</w:t>
            </w:r>
          </w:p>
        </w:tc>
        <w:tc>
          <w:tcPr>
            <w:tcW w:w="7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51,176</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824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1.29</w:t>
            </w:r>
          </w:p>
        </w:tc>
        <w:tc>
          <w:tcPr>
            <w:tcW w:w="7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1.28</w:t>
            </w:r>
          </w:p>
        </w:tc>
        <w:tc>
          <w:tcPr>
            <w:tcW w:w="7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0.52</w:t>
            </w:r>
          </w:p>
        </w:tc>
        <w:tc>
          <w:tcPr>
            <w:tcW w:w="7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0.50</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Shares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42,038,573</w:t>
            </w: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42,406,006</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Diluted Weighted Average Shares</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42,358,425</w:t>
            </w:r>
          </w:p>
        </w:tc>
        <w:tc>
          <w:tcPr>
            <w:tcW w:w="7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w w:val="89"/>
              </w:rPr>
              <w:t>42,749,866</w:t>
            </w:r>
          </w:p>
        </w:tc>
      </w:tr>
      <w:tr>
        <w:trPr>
          <w:trHeight w:val="33"/>
        </w:trPr>
        <w:tc>
          <w:tcPr>
            <w:tcW w:w="8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ectPr>
          <w:pgSz w:w="11900" w:h="16838" w:orient="portrait"/>
          <w:cols w:equalWidth="0" w:num="1">
            <w:col w:w="11420"/>
          </w:cols>
          <w:pgMar w:left="240" w:top="130" w:right="239" w:bottom="705"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30" w:right="239" w:bottom="705"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8"/>
                <w:szCs w:val="18"/>
                <w:color w:val="auto"/>
              </w:rPr>
            </w:pPr>
          </w:p>
        </w:tc>
      </w:tr>
      <w:tr>
        <w:trPr>
          <w:trHeight w:val="270"/>
        </w:trPr>
        <w:tc>
          <w:tcPr>
            <w:tcW w:w="8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23"/>
                <w:szCs w:val="23"/>
                <w:color w:val="auto"/>
              </w:rPr>
            </w:pPr>
          </w:p>
        </w:tc>
      </w:tr>
      <w:tr>
        <w:trPr>
          <w:trHeight w:val="33"/>
        </w:trPr>
        <w:tc>
          <w:tcPr>
            <w:tcW w:w="8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8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54,040</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51,176</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(9,121)</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4,894</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Defined Benefit Plans</w:t>
            </w:r>
          </w:p>
        </w:tc>
        <w:tc>
          <w:tcPr>
            <w:tcW w:w="4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216</w:t>
            </w:r>
          </w:p>
        </w:tc>
        <w:tc>
          <w:tcPr>
            <w:tcW w:w="8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8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(8,905)</w:t>
            </w:r>
          </w:p>
        </w:tc>
        <w:tc>
          <w:tcPr>
            <w:tcW w:w="8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5,040</w:t>
            </w:r>
          </w:p>
        </w:tc>
      </w:tr>
      <w:tr>
        <w:trPr>
          <w:trHeight w:val="231"/>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45,135</w:t>
            </w:r>
          </w:p>
        </w:tc>
        <w:tc>
          <w:tcPr>
            <w:tcW w:w="84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56,216</w:t>
            </w:r>
          </w:p>
        </w:tc>
      </w:tr>
      <w:tr>
        <w:trPr>
          <w:trHeight w:val="33"/>
        </w:trPr>
        <w:tc>
          <w:tcPr>
            <w:tcW w:w="8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Condition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2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2,589</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3,421</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Funds Sold</w:t>
            </w:r>
          </w:p>
        </w:tc>
        <w:tc>
          <w:tcPr>
            <w:tcW w:w="2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387,766</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181,413</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2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Available-for-Sale</w:t>
            </w:r>
          </w:p>
        </w:tc>
        <w:tc>
          <w:tcPr>
            <w:tcW w:w="2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2,184,187</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2,232,979</w:t>
            </w:r>
          </w:p>
        </w:tc>
      </w:tr>
      <w:tr>
        <w:trPr>
          <w:trHeight w:val="237"/>
        </w:trPr>
        <w:tc>
          <w:tcPr>
            <w:tcW w:w="6220" w:type="dxa"/>
            <w:vAlign w:val="bottom"/>
          </w:tcPr>
          <w:p>
            <w:pPr>
              <w:ind w:left="280"/>
              <w:spacing w:after="0"/>
              <w:rPr>
                <w:sz w:val="20"/>
                <w:szCs w:val="20"/>
                <w:color w:val="auto"/>
              </w:rPr>
            </w:pPr>
            <w:r>
              <w:rPr>
                <w:rFonts w:ascii="Arial" w:cs="Arial" w:eastAsia="Arial" w:hAnsi="Arial"/>
                <w:sz w:val="16"/>
                <w:szCs w:val="16"/>
                <w:color w:val="auto"/>
              </w:rPr>
              <w:t>Held-to-Maturity (Fair Value of $3,711,149 and $3,894,121)</w:t>
            </w:r>
          </w:p>
        </w:tc>
        <w:tc>
          <w:tcPr>
            <w:tcW w:w="238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3,789,092</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3,928,170</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2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23,548</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19,231</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238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9,916,628</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9,796,947</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Loan and Lease Losses</w:t>
            </w:r>
          </w:p>
        </w:tc>
        <w:tc>
          <w:tcPr>
            <w:tcW w:w="2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(107,938)</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(107,346)</w:t>
            </w:r>
          </w:p>
        </w:tc>
      </w:tr>
      <w:tr>
        <w:trPr>
          <w:trHeight w:val="231"/>
        </w:trPr>
        <w:tc>
          <w:tcPr>
            <w:tcW w:w="622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Loans and Leases</w:t>
            </w:r>
          </w:p>
        </w:tc>
        <w:tc>
          <w:tcPr>
            <w:tcW w:w="2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9,808,690</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9,689,601</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Earning Assets</w:t>
            </w:r>
          </w:p>
        </w:tc>
        <w:tc>
          <w:tcPr>
            <w:tcW w:w="2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16,195,872</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16,054,815</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Cash and Due From Banks</w:t>
            </w:r>
          </w:p>
        </w:tc>
        <w:tc>
          <w:tcPr>
            <w:tcW w:w="2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174,871</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263,017</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Premises and Equipment, Net</w:t>
            </w:r>
          </w:p>
        </w:tc>
        <w:tc>
          <w:tcPr>
            <w:tcW w:w="2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137,201</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130,926</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Accrued Interest Receivable</w:t>
            </w:r>
          </w:p>
        </w:tc>
        <w:tc>
          <w:tcPr>
            <w:tcW w:w="238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52,941</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50,485</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Foreclosed Real Estate</w:t>
            </w:r>
          </w:p>
        </w:tc>
        <w:tc>
          <w:tcPr>
            <w:tcW w:w="2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2,768</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1,040</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Mortgage Servicing Rights</w:t>
            </w:r>
          </w:p>
        </w:tc>
        <w:tc>
          <w:tcPr>
            <w:tcW w:w="238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24,493</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24,622</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31,517</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31,517</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Bank-Owned Life Insurance</w:t>
            </w:r>
          </w:p>
        </w:tc>
        <w:tc>
          <w:tcPr>
            <w:tcW w:w="238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280,537</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280,034</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235,830</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252,596</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17,136,030</w:t>
            </w:r>
          </w:p>
        </w:tc>
        <w:tc>
          <w:tcPr>
            <w:tcW w:w="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17,089,052</w:t>
            </w:r>
          </w:p>
        </w:tc>
      </w:tr>
      <w:tr>
        <w:trPr>
          <w:trHeight w:val="73"/>
        </w:trPr>
        <w:tc>
          <w:tcPr>
            <w:tcW w:w="622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64"/>
        </w:trPr>
        <w:tc>
          <w:tcPr>
            <w:tcW w:w="622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Deposits</w:t>
            </w:r>
          </w:p>
        </w:tc>
        <w:tc>
          <w:tcPr>
            <w:tcW w:w="2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280"/>
              <w:spacing w:after="0"/>
              <w:rPr>
                <w:sz w:val="20"/>
                <w:szCs w:val="20"/>
                <w:color w:val="auto"/>
              </w:rPr>
            </w:pPr>
            <w:r>
              <w:rPr>
                <w:rFonts w:ascii="Arial" w:cs="Arial" w:eastAsia="Arial" w:hAnsi="Arial"/>
                <w:sz w:val="16"/>
                <w:szCs w:val="16"/>
                <w:color w:val="auto"/>
              </w:rPr>
              <w:t>Noninterest-Bearing Demand</w:t>
            </w:r>
          </w:p>
        </w:tc>
        <w:tc>
          <w:tcPr>
            <w:tcW w:w="2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4,759,777</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4,724,300</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Interest-Bearing Demand</w:t>
            </w:r>
          </w:p>
        </w:tc>
        <w:tc>
          <w:tcPr>
            <w:tcW w:w="2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3,028,373</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3,082,563</w:t>
            </w:r>
          </w:p>
        </w:tc>
      </w:tr>
      <w:tr>
        <w:trPr>
          <w:trHeight w:val="237"/>
        </w:trPr>
        <w:tc>
          <w:tcPr>
            <w:tcW w:w="6220" w:type="dxa"/>
            <w:vAlign w:val="bottom"/>
          </w:tcPr>
          <w:p>
            <w:pPr>
              <w:ind w:left="280"/>
              <w:spacing w:after="0"/>
              <w:rPr>
                <w:sz w:val="20"/>
                <w:szCs w:val="20"/>
                <w:color w:val="auto"/>
              </w:rPr>
            </w:pPr>
            <w:r>
              <w:rPr>
                <w:rFonts w:ascii="Arial" w:cs="Arial" w:eastAsia="Arial" w:hAnsi="Arial"/>
                <w:sz w:val="16"/>
                <w:szCs w:val="16"/>
                <w:color w:val="auto"/>
              </w:rPr>
              <w:t>Savings</w:t>
            </w:r>
          </w:p>
        </w:tc>
        <w:tc>
          <w:tcPr>
            <w:tcW w:w="238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5,397,291</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5,389,013</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w:t>
            </w:r>
          </w:p>
        </w:tc>
        <w:tc>
          <w:tcPr>
            <w:tcW w:w="2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1,771,692</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1,688,092</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Deposits</w:t>
            </w:r>
          </w:p>
        </w:tc>
        <w:tc>
          <w:tcPr>
            <w:tcW w:w="2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14,957,133</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14,883,968</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2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505,293</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505,293</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Other Debt</w:t>
            </w:r>
          </w:p>
        </w:tc>
        <w:tc>
          <w:tcPr>
            <w:tcW w:w="238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235,699</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260,716</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Benefits Payable</w:t>
            </w:r>
          </w:p>
        </w:tc>
        <w:tc>
          <w:tcPr>
            <w:tcW w:w="2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37,046</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37,312</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Accrued Interest Payable</w:t>
            </w:r>
          </w:p>
        </w:tc>
        <w:tc>
          <w:tcPr>
            <w:tcW w:w="238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8,229</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6,946</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 Payable and Deferred Taxes</w:t>
            </w:r>
          </w:p>
        </w:tc>
        <w:tc>
          <w:tcPr>
            <w:tcW w:w="2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29,557</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24,009</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38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121,880</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138,940</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15,894,837</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15,857,184</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($.01 par value; authorized 500,000,000 shares;</w:t>
            </w:r>
          </w:p>
        </w:tc>
        <w:tc>
          <w:tcPr>
            <w:tcW w:w="2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03"/>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issued / outstanding: March 31, 2018 - 58,051,646 / 42,314,414</w:t>
            </w:r>
          </w:p>
        </w:tc>
        <w:tc>
          <w:tcPr>
            <w:tcW w:w="2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December 31, 2017 - 57,959,074 / 42,401,443)</w:t>
            </w:r>
          </w:p>
        </w:tc>
        <w:tc>
          <w:tcPr>
            <w:tcW w:w="2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577</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Capital Surplus</w:t>
            </w:r>
          </w:p>
        </w:tc>
        <w:tc>
          <w:tcPr>
            <w:tcW w:w="238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563,598</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561,161</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2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(51,097)</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(34,715)</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238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1,551,900</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1,512,218</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Treasury Stock, at Cost (Shares: March 31, 2018 - 15,737,232</w:t>
            </w:r>
          </w:p>
        </w:tc>
        <w:tc>
          <w:tcPr>
            <w:tcW w:w="2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December 31, 2017 - 15,557,631)</w:t>
            </w:r>
          </w:p>
        </w:tc>
        <w:tc>
          <w:tcPr>
            <w:tcW w:w="2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(823,785)</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(807,372)</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Shareholders’ Equity</w:t>
            </w:r>
          </w:p>
        </w:tc>
        <w:tc>
          <w:tcPr>
            <w:tcW w:w="2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1,241,193</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1,231,868</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2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17,136,030</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17,089,052</w:t>
            </w:r>
          </w:p>
        </w:tc>
      </w:tr>
      <w:tr>
        <w:trPr>
          <w:trHeight w:val="20"/>
        </w:trPr>
        <w:tc>
          <w:tcPr>
            <w:tcW w:w="62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11420"/>
          </w:cols>
          <w:pgMar w:left="240" w:top="130" w:right="239" w:bottom="1440" w:gutter="0" w:footer="0" w:header="0"/>
        </w:sectPr>
      </w:pPr>
    </w:p>
    <w:p>
      <w:pPr>
        <w:jc w:val="center"/>
        <w:ind w:right="-59"/>
        <w:spacing w:after="0"/>
        <w:rPr>
          <w:sz w:val="20"/>
          <w:szCs w:val="20"/>
          <w:color w:val="auto"/>
        </w:rPr>
      </w:pPr>
      <w:r>
        <w:rPr>
          <w:rFonts w:ascii="Arial" w:cs="Arial" w:eastAsia="Arial" w:hAnsi="Arial"/>
          <w:sz w:val="12"/>
          <w:szCs w:val="12"/>
          <w:color w:val="auto"/>
        </w:rPr>
        <w:t>The accompanying notes are an integral part of the Consolidated Financial Statements (Unaudited).</w:t>
      </w:r>
    </w:p>
    <w:p>
      <w:pPr>
        <w:sectPr>
          <w:pgSz w:w="11900" w:h="16838" w:orient="portrait"/>
          <w:cols w:equalWidth="0" w:num="1">
            <w:col w:w="11420"/>
          </w:cols>
          <w:pgMar w:left="240" w:top="13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409" w:right="144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Accum.</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Common</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Compre-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Common</w:t>
            </w:r>
          </w:p>
        </w:tc>
        <w:tc>
          <w:tcPr>
            <w:tcW w:w="40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hensive</w:t>
            </w:r>
          </w:p>
        </w:tc>
        <w:tc>
          <w:tcPr>
            <w:tcW w:w="28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Retained</w:t>
            </w:r>
          </w:p>
        </w:tc>
        <w:tc>
          <w:tcPr>
            <w:tcW w:w="30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Treasury</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Stock</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Surplus</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(Loss)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2017</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42,401,443</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561,161</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(34,715)</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1,512,218</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(807,372)</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1,231,868</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54,040</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54,040</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(8,905)</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(8,905)</w:t>
            </w:r>
          </w:p>
        </w:tc>
        <w:tc>
          <w:tcPr>
            <w:tcW w:w="0" w:type="dxa"/>
            <w:vAlign w:val="bottom"/>
          </w:tcPr>
          <w:p>
            <w:pPr>
              <w:spacing w:after="0"/>
              <w:rPr>
                <w:sz w:val="1"/>
                <w:szCs w:val="1"/>
                <w:color w:val="auto"/>
              </w:rPr>
            </w:pPr>
          </w:p>
        </w:tc>
      </w:tr>
      <w:tr>
        <w:trPr>
          <w:trHeight w:val="157"/>
        </w:trPr>
        <w:tc>
          <w:tcPr>
            <w:tcW w:w="3320" w:type="dxa"/>
            <w:vAlign w:val="bottom"/>
          </w:tcPr>
          <w:p>
            <w:pPr>
              <w:ind w:left="40"/>
              <w:spacing w:after="0" w:line="157" w:lineRule="exact"/>
              <w:rPr>
                <w:sz w:val="20"/>
                <w:szCs w:val="20"/>
                <w:color w:val="auto"/>
              </w:rPr>
            </w:pPr>
            <w:r>
              <w:rPr>
                <w:rFonts w:ascii="Arial" w:cs="Arial" w:eastAsia="Arial" w:hAnsi="Arial"/>
                <w:sz w:val="14"/>
                <w:szCs w:val="14"/>
                <w:color w:val="auto"/>
              </w:rPr>
              <w:t>Reclassification of the Income Tax Effects of the</w:t>
            </w: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20" w:type="dxa"/>
            <w:vAlign w:val="bottom"/>
          </w:tcPr>
          <w:p>
            <w:pPr>
              <w:ind w:left="40"/>
              <w:spacing w:after="0"/>
              <w:rPr>
                <w:sz w:val="20"/>
                <w:szCs w:val="20"/>
                <w:color w:val="auto"/>
              </w:rPr>
            </w:pPr>
            <w:r>
              <w:rPr>
                <w:rFonts w:ascii="Arial" w:cs="Arial" w:eastAsia="Arial" w:hAnsi="Arial"/>
                <w:sz w:val="14"/>
                <w:szCs w:val="14"/>
                <w:color w:val="auto"/>
              </w:rPr>
              <w:t>Tax Cuts and Jobs Act from AOCI</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(7,477)</w:t>
            </w:r>
          </w:p>
        </w:tc>
        <w:tc>
          <w:tcPr>
            <w:tcW w:w="28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7,477</w:t>
            </w:r>
          </w:p>
        </w:tc>
        <w:tc>
          <w:tcPr>
            <w:tcW w:w="30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1,867</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1,867</w:t>
            </w:r>
          </w:p>
        </w:tc>
        <w:tc>
          <w:tcPr>
            <w:tcW w:w="0" w:type="dxa"/>
            <w:vAlign w:val="bottom"/>
          </w:tcPr>
          <w:p>
            <w:pPr>
              <w:spacing w:after="0"/>
              <w:rPr>
                <w:sz w:val="1"/>
                <w:szCs w:val="1"/>
                <w:color w:val="auto"/>
              </w:rPr>
            </w:pPr>
          </w:p>
        </w:tc>
      </w:tr>
      <w:tr>
        <w:trPr>
          <w:trHeight w:val="157"/>
        </w:trPr>
        <w:tc>
          <w:tcPr>
            <w:tcW w:w="3320" w:type="dxa"/>
            <w:vAlign w:val="bottom"/>
          </w:tcPr>
          <w:p>
            <w:pPr>
              <w:ind w:left="40"/>
              <w:spacing w:after="0" w:line="157" w:lineRule="exact"/>
              <w:rPr>
                <w:sz w:val="20"/>
                <w:szCs w:val="20"/>
                <w:color w:val="auto"/>
              </w:rPr>
            </w:pPr>
            <w:r>
              <w:rPr>
                <w:rFonts w:ascii="Arial" w:cs="Arial" w:eastAsia="Arial" w:hAnsi="Arial"/>
                <w:sz w:val="14"/>
                <w:szCs w:val="14"/>
                <w:color w:val="auto"/>
              </w:rPr>
              <w:t>Common Stock Issued under Purchase and Equity</w:t>
            </w: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20" w:type="dxa"/>
            <w:vAlign w:val="bottom"/>
          </w:tcPr>
          <w:p>
            <w:pPr>
              <w:ind w:left="40"/>
              <w:spacing w:after="0"/>
              <w:rPr>
                <w:sz w:val="20"/>
                <w:szCs w:val="20"/>
                <w:color w:val="auto"/>
              </w:rPr>
            </w:pPr>
            <w:r>
              <w:rPr>
                <w:rFonts w:ascii="Arial" w:cs="Arial" w:eastAsia="Arial" w:hAnsi="Arial"/>
                <w:sz w:val="14"/>
                <w:szCs w:val="14"/>
                <w:color w:val="auto"/>
              </w:rPr>
              <w:t>Compensation Plans and Related Tax Benefits</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121,299</w:t>
            </w:r>
          </w:p>
        </w:tc>
        <w:tc>
          <w:tcPr>
            <w:tcW w:w="3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570</w:t>
            </w:r>
          </w:p>
        </w:tc>
        <w:tc>
          <w:tcPr>
            <w:tcW w:w="34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252</w:t>
            </w:r>
          </w:p>
        </w:tc>
        <w:tc>
          <w:tcPr>
            <w:tcW w:w="30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1,128</w:t>
            </w:r>
          </w:p>
        </w:tc>
        <w:tc>
          <w:tcPr>
            <w:tcW w:w="28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1,951</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Repurchased</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(208,328)</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(17,541)</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(17,541)</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Dividends Declared ($0.52 per share)</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(22,087)</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(22,087)</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March 31, 2018</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42,314,414</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577</w:t>
            </w:r>
          </w:p>
        </w:tc>
        <w:tc>
          <w:tcPr>
            <w:tcW w:w="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563,598</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(51,097)</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1,551,900</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(823,785)</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1,241,193</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2016</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42,635,978</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551,628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(33,906)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1,415,440</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(772,201)</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1,161,537</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51,176</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51,176</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5,040</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5,040</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1,735</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1,735</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Purchase and Equity</w:t>
            </w: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Plans and Related Tax Benefits</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235,803</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535</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(702)</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6,744</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6,577</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(135,749)</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(11,509)</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(11,509)</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Declared ($0.50 per share)</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(21,419)</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(21,419)</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March 31, 2017</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42,736,032</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576</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553,898</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(28,866)</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1,444,495</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(776,966)</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1,193,137</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Pr>
          <w:p>
            <w:pPr>
              <w:spacing w:after="0"/>
              <w:rPr>
                <w:sz w:val="18"/>
                <w:szCs w:val="18"/>
                <w:color w:val="auto"/>
              </w:rPr>
            </w:pPr>
          </w:p>
        </w:tc>
      </w:tr>
      <w:tr>
        <w:trPr>
          <w:trHeight w:val="257"/>
        </w:trPr>
        <w:tc>
          <w:tcPr>
            <w:tcW w:w="8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8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22"/>
                <w:szCs w:val="22"/>
                <w:color w:val="auto"/>
              </w:rPr>
            </w:pPr>
          </w:p>
        </w:tc>
      </w:tr>
      <w:tr>
        <w:trPr>
          <w:trHeight w:val="33"/>
        </w:trPr>
        <w:tc>
          <w:tcPr>
            <w:tcW w:w="8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Pr>
          <w:p>
            <w:pPr>
              <w:spacing w:after="0"/>
              <w:rPr>
                <w:sz w:val="22"/>
                <w:szCs w:val="22"/>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8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70"/>
        </w:trPr>
        <w:tc>
          <w:tcPr>
            <w:tcW w:w="8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44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spacing w:after="0"/>
              <w:rPr>
                <w:sz w:val="23"/>
                <w:szCs w:val="23"/>
                <w:color w:val="auto"/>
              </w:rPr>
            </w:pPr>
          </w:p>
        </w:tc>
        <w:tc>
          <w:tcPr>
            <w:tcW w:w="840" w:type="dxa"/>
            <w:vAlign w:val="bottom"/>
            <w:tcBorders>
              <w:bottom w:val="single" w:sz="8" w:color="BFE4FF"/>
            </w:tcBorders>
            <w:shd w:val="clear" w:color="auto" w:fill="BFE4FF"/>
          </w:tcPr>
          <w:p>
            <w:pPr>
              <w:spacing w:after="0"/>
              <w:rPr>
                <w:sz w:val="23"/>
                <w:szCs w:val="23"/>
                <w:color w:val="auto"/>
              </w:rPr>
            </w:pPr>
          </w:p>
        </w:tc>
        <w:tc>
          <w:tcPr>
            <w:tcW w:w="760" w:type="dxa"/>
            <w:vAlign w:val="bottom"/>
            <w:tcBorders>
              <w:bottom w:val="single" w:sz="8" w:color="BFE4FF"/>
            </w:tcBorders>
            <w:shd w:val="clear" w:color="auto" w:fill="BFE4FF"/>
          </w:tcPr>
          <w:p>
            <w:pPr>
              <w:spacing w:after="0"/>
              <w:rPr>
                <w:sz w:val="23"/>
                <w:szCs w:val="23"/>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54,040</w:t>
            </w:r>
          </w:p>
        </w:tc>
        <w:tc>
          <w:tcPr>
            <w:tcW w:w="84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51,176</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Provision for Credit Losses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4,125</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4,400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Depreciation and Amortization</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3,339</w:t>
            </w: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3,280</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Amortization of Deferred Loan and Lease Fees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(151)</w:t>
            </w: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Amortization and Accretion of Premiums/Discounts on Investment Securities, Net</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8,966</w:t>
            </w: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10,130</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Share-Based Compensation</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1,867</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1,735</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Benefit Plan Contributions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(375)</w:t>
            </w: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(334)</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(138)</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9,161</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Net Gains on Sales of Loans and Leases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(573)</w:t>
            </w: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(2,168)</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Net Losses (Gains) on Sales of Investment Securities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666</w:t>
            </w: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(12,133)</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Proceeds from Sales of Loans Held for Sale</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66,003</w:t>
            </w: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68,884</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Originations of Loans Held for Sale</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(70,290)</w:t>
            </w: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(73,983)</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Net Tax Benefits from Share-Based Compensation</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767</w:t>
            </w: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1,900</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Net Change in Other Assets and Other Liabilities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6,632</w:t>
            </w: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(19,942)</w:t>
            </w:r>
          </w:p>
        </w:tc>
      </w:tr>
      <w:tr>
        <w:trPr>
          <w:trHeight w:val="33"/>
        </w:trPr>
        <w:tc>
          <w:tcPr>
            <w:tcW w:w="8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b w:val="1"/>
                <w:bCs w:val="1"/>
                <w:color w:val="auto"/>
              </w:rPr>
              <w:t>Net Cash Provided by Operating Activities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74,878</w:t>
            </w: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41,679</w:t>
            </w:r>
          </w:p>
        </w:tc>
      </w:tr>
      <w:tr>
        <w:trPr>
          <w:trHeight w:val="216"/>
        </w:trPr>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0"/>
        </w:trPr>
        <w:tc>
          <w:tcPr>
            <w:tcW w:w="8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Investment Securities Available-for-Sale:</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Proceeds from Sales, Prepayments and Maturities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89,399</w:t>
            </w: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94,028</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Purchases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(59,160)</w:t>
            </w: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(234,979)</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Investment Securities Held-to-Maturity:</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Proceeds from Prepayments and Maturities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195,199</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161,465</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Purchases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(59,598)</w:t>
            </w: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99"/>
              </w:rPr>
              <w:t>(181,048)</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Net Change in Loans and Leases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(124,225)</w:t>
            </w: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(198,531)</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Proceeds from Sales of Loans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79,169</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Premises and Equipment, Net</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(9,614)</w:t>
            </w: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(4,640)</w:t>
            </w:r>
          </w:p>
        </w:tc>
      </w:tr>
      <w:tr>
        <w:trPr>
          <w:trHeight w:val="33"/>
        </w:trPr>
        <w:tc>
          <w:tcPr>
            <w:tcW w:w="8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32,001</w:t>
            </w: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99"/>
              </w:rPr>
              <w:t>(284,536)</w:t>
            </w:r>
          </w:p>
        </w:tc>
      </w:tr>
      <w:tr>
        <w:trPr>
          <w:trHeight w:val="216"/>
        </w:trPr>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0"/>
        </w:trPr>
        <w:tc>
          <w:tcPr>
            <w:tcW w:w="8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Net Change in Deposits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73,165</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156,293</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Net Change in Short-Term Borrowings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(23,086)</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Repayments of Long-Term Debt</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(25,000)</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1,959</w:t>
            </w: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6,494</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(17,541)</w:t>
            </w: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(11,509)</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Cash Dividends Paid</w:t>
            </w:r>
          </w:p>
        </w:tc>
        <w:tc>
          <w:tcPr>
            <w:tcW w:w="44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(22,087)</w:t>
            </w:r>
          </w:p>
        </w:tc>
        <w:tc>
          <w:tcPr>
            <w:tcW w:w="840" w:type="dxa"/>
            <w:vAlign w:val="bottom"/>
            <w:tcBorders>
              <w:bottom w:val="single" w:sz="8" w:color="BFE4FF"/>
            </w:tcBorders>
            <w:shd w:val="clear" w:color="auto" w:fill="BFE4FF"/>
          </w:tcPr>
          <w:p>
            <w:pPr>
              <w:spacing w:after="0"/>
              <w:rPr>
                <w:sz w:val="23"/>
                <w:szCs w:val="23"/>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(21,419)</w:t>
            </w:r>
          </w:p>
        </w:tc>
      </w:tr>
      <w:tr>
        <w:trPr>
          <w:trHeight w:val="231"/>
        </w:trPr>
        <w:tc>
          <w:tcPr>
            <w:tcW w:w="82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Net Cash Provided by Financing Activities</w:t>
            </w: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10,496</w:t>
            </w: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106,773</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824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1140" w:type="dxa"/>
            <w:vAlign w:val="bottom"/>
            <w:shd w:val="clear" w:color="auto" w:fill="BFE4FF"/>
          </w:tcPr>
          <w:p>
            <w:pPr>
              <w:spacing w:after="0"/>
              <w:rPr>
                <w:sz w:val="18"/>
                <w:szCs w:val="18"/>
                <w:color w:val="auto"/>
              </w:rPr>
            </w:pPr>
          </w:p>
        </w:tc>
        <w:tc>
          <w:tcPr>
            <w:tcW w:w="84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117,375</w:t>
            </w: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(136,084)</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44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447,851</w:t>
            </w:r>
          </w:p>
        </w:tc>
        <w:tc>
          <w:tcPr>
            <w:tcW w:w="840" w:type="dxa"/>
            <w:vAlign w:val="bottom"/>
            <w:tcBorders>
              <w:bottom w:val="single" w:sz="8" w:color="BFE4FF"/>
            </w:tcBorders>
            <w:shd w:val="clear" w:color="auto" w:fill="BFE4FF"/>
          </w:tcPr>
          <w:p>
            <w:pPr>
              <w:spacing w:after="0"/>
              <w:rPr>
                <w:sz w:val="23"/>
                <w:szCs w:val="23"/>
                <w:color w:val="auto"/>
              </w:rPr>
            </w:pP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879,607</w:t>
            </w:r>
          </w:p>
        </w:tc>
      </w:tr>
      <w:tr>
        <w:trPr>
          <w:trHeight w:val="231"/>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565,226</w:t>
            </w:r>
          </w:p>
        </w:tc>
        <w:tc>
          <w:tcPr>
            <w:tcW w:w="84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743,523</w:t>
            </w:r>
          </w:p>
        </w:tc>
      </w:tr>
      <w:tr>
        <w:trPr>
          <w:trHeight w:val="73"/>
        </w:trPr>
        <w:tc>
          <w:tcPr>
            <w:tcW w:w="82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231"/>
        </w:trPr>
        <w:tc>
          <w:tcPr>
            <w:tcW w:w="8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440" w:type="dxa"/>
            <w:vAlign w:val="bottom"/>
            <w:tcBorders>
              <w:bottom w:val="single" w:sz="8" w:color="BFE4FF"/>
            </w:tcBorders>
            <w:shd w:val="clear" w:color="auto" w:fill="BFE4FF"/>
          </w:tcPr>
          <w:p>
            <w:pPr>
              <w:spacing w:after="0"/>
              <w:rPr>
                <w:sz w:val="20"/>
                <w:szCs w:val="20"/>
                <w:color w:val="auto"/>
              </w:rPr>
            </w:pPr>
          </w:p>
        </w:tc>
        <w:tc>
          <w:tcPr>
            <w:tcW w:w="1140" w:type="dxa"/>
            <w:vAlign w:val="bottom"/>
            <w:tcBorders>
              <w:bottom w:val="single" w:sz="8" w:color="BFE4FF"/>
            </w:tcBorders>
            <w:shd w:val="clear" w:color="auto" w:fill="BFE4FF"/>
          </w:tcPr>
          <w:p>
            <w:pPr>
              <w:spacing w:after="0"/>
              <w:rPr>
                <w:sz w:val="20"/>
                <w:szCs w:val="20"/>
                <w:color w:val="auto"/>
              </w:rPr>
            </w:pPr>
          </w:p>
        </w:tc>
        <w:tc>
          <w:tcPr>
            <w:tcW w:w="840" w:type="dxa"/>
            <w:vAlign w:val="bottom"/>
            <w:tcBorders>
              <w:bottom w:val="single" w:sz="8" w:color="BFE4FF"/>
            </w:tcBorders>
            <w:shd w:val="clear" w:color="auto" w:fill="BFE4FF"/>
          </w:tcPr>
          <w:p>
            <w:pPr>
              <w:spacing w:after="0"/>
              <w:rPr>
                <w:sz w:val="20"/>
                <w:szCs w:val="20"/>
                <w:color w:val="auto"/>
              </w:rPr>
            </w:pPr>
          </w:p>
        </w:tc>
        <w:tc>
          <w:tcPr>
            <w:tcW w:w="760" w:type="dxa"/>
            <w:vAlign w:val="bottom"/>
            <w:tcBorders>
              <w:bottom w:val="single" w:sz="8" w:color="BFE4FF"/>
            </w:tcBorders>
            <w:shd w:val="clear" w:color="auto" w:fill="BFE4FF"/>
          </w:tcPr>
          <w:p>
            <w:pPr>
              <w:spacing w:after="0"/>
              <w:rPr>
                <w:sz w:val="20"/>
                <w:szCs w:val="20"/>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Paid for Interest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11,908</w:t>
            </w:r>
          </w:p>
        </w:tc>
        <w:tc>
          <w:tcPr>
            <w:tcW w:w="84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8,905</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Cash Paid for Income Taxes</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961</w:t>
            </w: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1,822</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Non-Cash Investing Activities: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Transfer from Loans to Foreclosed Real Estate</w:t>
            </w:r>
          </w:p>
        </w:tc>
        <w:tc>
          <w:tcPr>
            <w:tcW w:w="4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1,728</w:t>
            </w:r>
          </w:p>
        </w:tc>
        <w:tc>
          <w:tcPr>
            <w:tcW w:w="8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843</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Transfers from Loans to Loans Held for Sale</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30,477</w:t>
            </w: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ectPr>
          <w:pgSz w:w="11900" w:h="16838" w:orient="portrait"/>
          <w:cols w:equalWidth="0" w:num="1">
            <w:col w:w="11420"/>
          </w:cols>
          <w:pgMar w:left="240" w:top="130" w:right="239" w:bottom="462"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30" w:right="239" w:bottom="462"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accompanying consolidated financial statements include the accounts of the Parent and its subsidiaries. The Parent’s principal operating subsidiary is Bank of Hawaii (the “Bank”).</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for any future period.</w:t>
      </w:r>
    </w:p>
    <w:p>
      <w:pPr>
        <w:spacing w:after="0" w:line="188"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the power to direct the activities of the VIE that most significantly impact the entity’s economic performance and the obligation to absorb losses or the right to receive benefits that could be significant to the VIE.</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has limited partnership interests in several low-income housing partnerships. These partnerships provide funds for the construction and operation of apartment complexes that provide affordable housing to lower-income households. If these developments successfully attract a specified percentage of residents falling in that lower-income range, state and/or federal income tax credits are made available to the partners. The tax credits are generally recognized over 10 years. In order to continue receiving the tax credits each year over the life of the partnership, the low-income residency targets must be maintained.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Prior to January 1, 2015, the Company utilized the effective yield method whereby the Company recognized tax credits generally over 10 years and amortized the initial cost of the investment to provide a constant effective yield over the period that tax credits are allocated to the Company. On January 1, 2015, the Company adopted ASU No. 2014-01, </w:t>
      </w:r>
      <w:r>
        <w:rPr>
          <w:rFonts w:ascii="Arial" w:cs="Arial" w:eastAsia="Arial" w:hAnsi="Arial"/>
          <w:sz w:val="18"/>
          <w:szCs w:val="18"/>
          <w:i w:val="1"/>
          <w:iCs w:val="1"/>
          <w:color w:val="auto"/>
        </w:rPr>
        <w:t>“Accounting for Investments in Qualified Affordable Housing Projects”</w:t>
      </w:r>
      <w:r>
        <w:rPr>
          <w:rFonts w:ascii="Arial" w:cs="Arial" w:eastAsia="Arial" w:hAnsi="Arial"/>
          <w:sz w:val="18"/>
          <w:szCs w:val="18"/>
          <w:color w:val="auto"/>
        </w:rPr>
        <w:t xml:space="preserve"> prospectively for new investments. ASU No. 2014-01 permits reporting entities to make an accounting policy election to account for their investments in qualified affordable housing projects using the proportional amortization method if certain conditions are met. As permitted by ASU No. 2014-01, the Company elected to continue to utilize the effective yield method for investments made prior to January 1, 2015.</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30"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Unfunded commitments to fund these low-income housing partnerships were $15.0 million and $17.5 million as of March 31, 2018 and December 31, 2017, respectively. These unfunded commitments are unconditional and legally binding and are recorded in other liabilities in the consolidated statements of condition. See Note 6 </w:t>
      </w:r>
      <w:r>
        <w:rPr>
          <w:rFonts w:ascii="Arial" w:cs="Arial" w:eastAsia="Arial" w:hAnsi="Arial"/>
          <w:sz w:val="18"/>
          <w:szCs w:val="18"/>
          <w:i w:val="1"/>
          <w:iCs w:val="1"/>
          <w:color w:val="auto"/>
        </w:rPr>
        <w:t>Affordable Housing Projects Tax Credit Partnerships</w:t>
      </w:r>
      <w:r>
        <w:rPr>
          <w:rFonts w:ascii="Arial" w:cs="Arial" w:eastAsia="Arial" w:hAnsi="Arial"/>
          <w:sz w:val="18"/>
          <w:szCs w:val="18"/>
          <w:color w:val="auto"/>
        </w:rPr>
        <w:t xml:space="preserve"> for more information.</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six years.</w:t>
      </w:r>
    </w:p>
    <w:p>
      <w:pPr>
        <w:spacing w:after="0" w:line="11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These entities meet the definition of a VIE; however,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investments in these entities are initially recorded at cost, which approximates the maximum exposure to loss as a result of the Company’s involvement with these unconsolidated entities. The balance of the Company’s investments in these entities was $86.3 million and $87.6 million as of March 31, 2018 and December 31, 2017, respectively, and is included in other assets in the consolidated statements of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w:t>
      </w:r>
    </w:p>
    <w:p>
      <w:pPr>
        <w:spacing w:after="0" w:line="239"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Public law No. 115-97, known as the Tax Cuts and Jobs Act (the "Tax Act"), enacted on December 22, 2017, reduced the U.S. federal corporate tax rate from 35% to 21% effective January 1, 2018. Also on December 22, 2017, the Securities and Exchange Commission issued Staff Accounting Bulletin No. 118 (“SAB 118”), which provides guidance on accounting for tax effects of the Tax Act. SAB 118 provides a measurement period of up to one year from the enactment date to complete the accounting. Any adjustments during this measurement period will be included in net earnings from continuing operations as an adjustment to income tax expense in the reporting period when such adjustments are determined. Based on the information available and current interpretation of the rules, the Company estimated the impact of the reduction in the corporate tax rate and remeasurement of certain deferred tax assets and liabilities. The provisional amount recorded in the fourth quarter of 2017 related to the remeasurement of the Company's deferred tax balance resulted in additional income tax expense of $3.6 million. An additional $0.1 million was expensed in the first quarter of 2018 due to the remeasurement of the Company’s deferred tax balance. In addition, during the first quarter of 2018, the Company recorded a $2.0 million basis adjustment on its low income housing partnership investments, which consequently reduced income tax expense by the same amount. The final impact of the Tax Act may differ from these estimates as a result of changes in management’s interpretations and assumptions, as well as new guidance that may be issued by the Internal Revenue Service.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2018</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The standard’s core principle is that a company will recognize revenue when it transfers promised goods or services to customers in an amount that reflects the consideration to which the company expects to be entitled in exchange for those goods or services. In doing so, companies generally will be required to use more judgment and make more estimates than under current guidance. These may include identifying performance obligations in the contract, estimating the amount of variable consideration to include in the transaction price and allocating the transaction price to each separate performance obligation. Subsequent to the issuance of ASU 2014-09, the FASB issued targeted updates to clarify specific implementation issues including ASU No. 2016-08, </w:t>
      </w:r>
      <w:r>
        <w:rPr>
          <w:rFonts w:ascii="Arial" w:cs="Arial" w:eastAsia="Arial" w:hAnsi="Arial"/>
          <w:sz w:val="17"/>
          <w:szCs w:val="17"/>
          <w:i w:val="1"/>
          <w:iCs w:val="1"/>
          <w:color w:val="auto"/>
        </w:rPr>
        <w:t>“Principal versus Agent Considerations (Reporting Revenue Gross versus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Net),” </w:t>
      </w:r>
      <w:r>
        <w:rPr>
          <w:rFonts w:ascii="Arial" w:cs="Arial" w:eastAsia="Arial" w:hAnsi="Arial"/>
          <w:sz w:val="17"/>
          <w:szCs w:val="17"/>
          <w:color w:val="auto"/>
        </w:rPr>
        <w:t>ASU No. 2016-10,</w:t>
      </w:r>
      <w:r>
        <w:rPr>
          <w:rFonts w:ascii="Arial" w:cs="Arial" w:eastAsia="Arial" w:hAnsi="Arial"/>
          <w:sz w:val="17"/>
          <w:szCs w:val="17"/>
          <w:i w:val="1"/>
          <w:iCs w:val="1"/>
          <w:color w:val="auto"/>
        </w:rPr>
        <w:t xml:space="preserve"> “Identifying Performance Obligations and Licensing,” </w:t>
      </w:r>
      <w:r>
        <w:rPr>
          <w:rFonts w:ascii="Arial" w:cs="Arial" w:eastAsia="Arial" w:hAnsi="Arial"/>
          <w:sz w:val="17"/>
          <w:szCs w:val="17"/>
          <w:color w:val="auto"/>
        </w:rPr>
        <w:t>ASU No. 2016-12,</w:t>
      </w:r>
      <w:r>
        <w:rPr>
          <w:rFonts w:ascii="Arial" w:cs="Arial" w:eastAsia="Arial" w:hAnsi="Arial"/>
          <w:sz w:val="17"/>
          <w:szCs w:val="17"/>
          <w:i w:val="1"/>
          <w:iCs w:val="1"/>
          <w:color w:val="auto"/>
        </w:rPr>
        <w:t xml:space="preserve"> “Narrow-Scope Improvements and Practical Expedients,” </w:t>
      </w:r>
      <w:r>
        <w:rPr>
          <w:rFonts w:ascii="Arial" w:cs="Arial" w:eastAsia="Arial" w:hAnsi="Arial"/>
          <w:sz w:val="17"/>
          <w:szCs w:val="17"/>
          <w:color w:val="auto"/>
        </w:rPr>
        <w:t>and ASU No. 2016-20</w:t>
      </w:r>
      <w:r>
        <w:rPr>
          <w:rFonts w:ascii="Arial" w:cs="Arial" w:eastAsia="Arial" w:hAnsi="Arial"/>
          <w:sz w:val="17"/>
          <w:szCs w:val="17"/>
          <w:i w:val="1"/>
          <w:iCs w:val="1"/>
          <w:color w:val="auto"/>
        </w:rPr>
        <w:t xml:space="preserve"> “Technical Corrections and Improvements to Topic 606, Revenue from Contracts with Customers.” </w:t>
      </w:r>
      <w:r>
        <w:rPr>
          <w:rFonts w:ascii="Arial" w:cs="Arial" w:eastAsia="Arial" w:hAnsi="Arial"/>
          <w:sz w:val="17"/>
          <w:szCs w:val="17"/>
          <w:color w:val="auto"/>
        </w:rPr>
        <w:t>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purposes, the standard allows for either full retrospective adoption, meaning the standard is applied to all of the periods presented, or modified retrospective adoption, meaning the standard is applied only to the most current period presented in the financial statements with the cumulative effect of initially applying the standard recognized at the date of initial application. Since the guidance does not apply to revenue associated with financial instruments, including loans and securities that are accounted for under other GAAP, the new guidance did not have a material impact on revenue most closely associated with financial instruments, including interest income and expense. The Company completed its overall assessment of revenue streams and review of related contracts potentially affected by the ASU, including trust and asset management fees, deposit related fees, interchange fees, merchant income, and annuity and insurance commissions. Based on this assessment, the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30"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Company concluded that ASU 2014-09 did not materially change the method in which the Company currently recognizes revenue for these revenue streams. The Company also completed its evaluation of certain costs related to these revenue streams to determine whether such costs should be presented as expenses or contra-revenue (i.e., gross vs. net). Based on its evaluation, the Company determined that the classification of certain debit and credit card related costs should change (i.e., costs previously recorded as expense is now recorded as contra-revenue, and vice versa). These classification changes resulted in immaterial changes to both revenue and expense. The Company also determined that certain costs related to ATMs should be recorded as an expense rather than a reduction of revenue. This change did not have a material effect to noninterest income or expense. The Company adopted ASU 2014-09 and its related amendments on its required effective date of January 1, 2018 utilizing the modified retrospective approach. Since there was no net income impact upon adoption of the new guidance, a cumulative effect adjustment to opening retained earnings was not deemed necessary. Consistent with the modified retrospective approach, the Company did not adjust prior period amounts for the debit and credit card costs and the ATM costs reclassifications noted above. See Note 15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for more information.</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This ASU addresses certain aspects of recognition, measurement, presentation, and disclosure of financial instruments by making targeted improvements to GAAP as follows: (1) require equity investments (except those accounted for under the equity method of accounting or those that result in consolidation of the investee) to be measured at fair value with changes in fair value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(2) simplify the impairment assessment of equity investments without readily determinable fair values by requiring a qualitative assessment to identify impairment. When a qualitative assessment indicates that impairment exists, an entity is required to measure the investment at fair value; (3) eliminate the requirement to disclose the fair value of financial instruments measured at amortized cost for entities that are not public business entities; (4) eliminate the requirement for public business entities to disclose the method(s) and significant assumptions used to estimate the fair value that is required to be disclosed for financial instruments measured at amortized cost on the balance sheet; (5) require public business entities to use the exit price notion when measuring the fair value of financial instruments for disclosure purposes; (6) require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(7) require separate presentation of financial assets and financial liabilities by measurement category and form of financial asset (that is, securities or loans and receivables) on the balance sheet or the accompanying notes to the financial statements; and (8) clarify that an entity should evaluate the need for a valuation allowance on a deferred tax asset related to available-for-sale securities in combination with the entity’s other deferred tax assets. The adoption of ASU No. 2016-01 on January 1, 2018 did not have a material impact on the Company’s Consolidated Financial Statements. In accordance with (5) above, the Company measured the fair value of its loan portfolio as of March 31, 2018 using an exit price notion (see Note 14 </w:t>
      </w:r>
      <w:r>
        <w:rPr>
          <w:rFonts w:ascii="Arial" w:cs="Arial" w:eastAsia="Arial" w:hAnsi="Arial"/>
          <w:sz w:val="16"/>
          <w:szCs w:val="16"/>
          <w:i w:val="1"/>
          <w:iCs w:val="1"/>
          <w:color w:val="auto"/>
        </w:rPr>
        <w:t>Fair Value of Assets and Liabilities</w:t>
      </w:r>
      <w:r>
        <w:rPr>
          <w:rFonts w:ascii="Arial" w:cs="Arial" w:eastAsia="Arial" w:hAnsi="Arial"/>
          <w:sz w:val="16"/>
          <w:szCs w:val="16"/>
          <w:color w:val="auto"/>
        </w:rPr>
        <w:t>).</w:t>
      </w:r>
    </w:p>
    <w:p>
      <w:pPr>
        <w:spacing w:after="0" w:line="1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xml:space="preserve"> Current GAAP is unclear or does not include specific guidance on how to classify certain transactions in the statement of cash flows. This ASU is intended to reduce diversity in practice in how eight particular transactions are classified in the statement of cash flows. ASU No. 2016-15 is effective for interim and annual reporting periods beginning after December 15, 2017. Entities are required to apply the guidance retrospectively. If it is impracticable to apply the guidance retrospectively for an issue, the amendments related to that issue would be applied prospectively. The Company adopted ASU No. 2016-15 on January 1, 2018. ASU No. 2016-15 did not have a material impact on the Company’s Consolidated Financial Statements.</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 </w:t>
      </w:r>
      <w:r>
        <w:rPr>
          <w:rFonts w:ascii="Arial" w:cs="Arial" w:eastAsia="Arial" w:hAnsi="Arial"/>
          <w:sz w:val="17"/>
          <w:szCs w:val="17"/>
          <w:color w:val="auto"/>
        </w:rPr>
        <w:t>Under the new guidance, employers are required to present the service cost component of the net periodic benefit cost in the same income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line item (e.g., Salaries and Benefits) as other employee compensation costs arising from services rendered during the period. In addition, only the service cost component will be eligible for capitalization in assets. Employers will present the other components of net periodic benefit cost separately (e.g., Other Noninterest Expense) from the line item that includes the service cost. ASU No. 2017-07 is effective for interim and annual reporting periods beginning after December 15, 2017. Employers will apply the guidance on the presentation of the components of net periodic benefit cost in the income statement retrospectively. The guidance limiting the capitalization of net periodic benefit cost in assets to the service cost component will be applied prospectively. The Company adopted ASU No. 2017-07 on January 1, 2018 and utilized the ASU’s practical expedient allowing entities to estimate amounts for comparative periods using the information previously disclosed in their pension and other postretirement benefit plan footnote. ASU No. 2017-07 did not have a material impact on the Company’s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0"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February 2018, the FASB issued ASU No.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xml:space="preserve"> This ASU allows a reclassification from accumulated other comprehensive income (“AOCI”) to retained earnings for certain income tax effects stranded in AOCI as a result of the Tax Act. Consequently, the reclassification eliminates the stranded tax effects resulting from the Tax Act and is intended to improve the usefulness of information reported to financial statement users. However, because the ASU only relates to the reclassification of the income tax effects of the Tax Act, the underlying guidance that requires the effect of a change in tax laws or rates to be included in income from continuing operations is not affected. ASU No. 2018-02 is effective for the Company's reporting period beginning on January 1, 2019; early adoption is permitted. The Company elected to early adopt ASU No. 2018-02 during the first quarter of 2018, and elected to reclassify the income tax effects of the Tax Act from AOCI to retained earnings. The reclassification decreased AOCI and increased retained earnings by $7.5 million, with zero net effect on total shareholders’ equity. The Company utilizes the individual securities approach when releasing income tax effects from AOCI for its investment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Pending Adoption</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Under the new guidance, lessees will be required to recognize the following for all leases (with the exception of short-term leases): 1) a lease liability, which is the present value of a lessee’s obligation to make lease payments, and 2) a right-of-use asset, which is an asset that represents the lessee’s right to use, or control the use of, a specified asset for the lease term. Lessor accounting under the new guidance remains largely unchanged as it is substantially equivalent to existing guidance for sales-type leases, direct financing leases, and operating leases. Leveraged leases have been eliminated, although lessors can continue to account for existing leveraged leases using the current accounting guidance. Other limited changes were made to align lessor accounting with the lessee accounting model and the new revenue recognition standard</w:t>
      </w:r>
      <w:r>
        <w:rPr>
          <w:rFonts w:ascii="Arial" w:cs="Arial" w:eastAsia="Arial" w:hAnsi="Arial"/>
          <w:sz w:val="16"/>
          <w:szCs w:val="16"/>
          <w:i w:val="1"/>
          <w:iCs w:val="1"/>
          <w:color w:val="auto"/>
        </w:rPr>
        <w:t>.</w:t>
      </w:r>
      <w:r>
        <w:rPr>
          <w:rFonts w:ascii="Arial" w:cs="Arial" w:eastAsia="Arial" w:hAnsi="Arial"/>
          <w:sz w:val="16"/>
          <w:szCs w:val="16"/>
          <w:color w:val="auto"/>
        </w:rPr>
        <w:t xml:space="preserve"> All entities will classify leases to determine how to recognize lease-related revenue and expense. Quantitative and qualitative disclosures will be required by lessees and lessors to meet the objective of enabling users of financial statements to assess the amount, timing, and uncertainty of cash flows arising from leases. The intention is to require enough information to supplement the amounts recorded in the financial statements so that users can understand more about the nature of an entity’s leasing activities. ASU No. 2016-02 is effective for interim and annual reporting periods beginning after December 15, 2018; early adoption is permitted. All entities are required to use a modified retrospective approach for leases that exist or are entered into after the beginning of the earliest comparative period in the financial statements. They have the option to use certain relief; full retrospective application is prohibited. The Company has several lease agreements, such as branch locations, which are currently considered operating leases, and therefore, not recognized on the Company’s consolidated statements of condition. The Company expects the new guidance will require these lease agreements to be recognized on the consolidated statements of condition as a right-of-use asset and a corresponding lease liability. Therefore, the Company’s preliminary evaluation indicates the provisions of ASU No. 2016-02 are expected to impact the Company’s consolidated statements of condition, along with our regulatory capital ratios. However, the Company continues to evaluate the extent of potential impact the new guidance will have on the Company’s Consolidated Financial Statements. The Company is nearing completion of identifying a complete inventory of arrangements containing a lease and accumulating the lease data necessary to apply the amended guidance. In addition, the Company has obtained new software to aid in the transition to the new leasing guidance.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30" w:right="2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This ASU significantly changes how entities will measure credit losses for most financial assets and certain other instruments that aren’t measured at fair value through net income. In issuing the standard, the FASB is responding to criticism that today’s guidance delays recognition of credit losses. The standard will replace today’s “incurred loss” approach with an “expected loss” model. The new model, referred to as the current expected credit loss (“CECL”) model, will apply to: (1) financial assets subject to credit losses and measured at amortized cost, and (2) certain off-balance sheet credit exposures. This includes, but is not limited to, loans, leases, held-to-maturity securities, loan commitments, and financial guarantees. The CECL model does not apply to available-for-sale (“AFS”) debt securities. For AFS debt securities with unrealized losses, entities will measure credit losses in a manner similar to what they do today, except that the credit losses will be recognized as allowances rather than reductions in the amortized cost of the securities. As a result, entities will recognize improvements to estimated credit losses immediately in earnings rather than as interest income over time, as they do today. The ASU also simplifies the accounting model for purchased credit-impaired debt securities and loans. ASU 2016-13 also expands the disclosure requirements regarding an entity’s assumptions, models, and methods for estimating the allowance for loan and lease losses. In addition, entities will need to disclose the amortized cost balance for each class of financial asset by credit quality indicator, disaggregated by the year of origination. ASU No. 2016-13 is effective for interim and annual reporting periods beginning after December 15, 2019; early adoption is permitted for interim and annual reporting periods beginning after December 15, 2018. Entities will apply the standard’s provisions as a cumulative-effect adjustment to retained earnings as of the beginning of the first reporting period in which the guidance is effective (i.e., modified retrospective approach). The Company is continuing its implementation efforts through its Company-wide implementation team. This team has assigned roles and responsibilities, key tasks to complete, and a general timeline to be followed. The implementation team meets periodically to discuss the latest developments and ensure progress is being made. The team also keeps current on evolving interpretations and industry practices related to ASU 2016-13 via webcasts, publications, conferences, and peer bank meetings. The team continues to evaluate and validate data resources and different loss methodologies. The Company has also engaged an outside consultant to assist with the methodology review and validation, as well as other key aspects of implementing the standard. The Company’s preliminary evaluation indicates the provisions of ASU No. 2016-13 are expected to impact the Company’s Consolidated Financial Statements, in particular the level of the reserve for credit losses. However, the Company continues to evaluate the extent of the potential impact.</w:t>
      </w:r>
    </w:p>
    <w:p>
      <w:pPr>
        <w:spacing w:after="0" w:line="18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xml:space="preserve"> This ASU’s objectives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ASU No. 2017-12 is effective for interim and annual reporting periods beginning after December 15, 2018; early adoption is permitted. The Company currently does not designate any derivative financial instruments as formal hedging relationships, and therefore, does not utilize hedge accounting. However, the Company is currently evaluating this ASU to determine whether its provisions will enhance the Company’s ability to employ risk management strategies, while improving the transparency and understanding of those strategies for financial statement users.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statements of condition that sum to the total of the same such amounts shown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Arial" w:cs="Arial" w:eastAsia="Arial" w:hAnsi="Arial"/>
                <w:sz w:val="16"/>
                <w:szCs w:val="16"/>
                <w:b w:val="1"/>
                <w:bCs w:val="1"/>
                <w:color w:val="auto"/>
                <w:w w:val="97"/>
              </w:rPr>
              <w:t>December 31,</w:t>
            </w:r>
          </w:p>
        </w:tc>
      </w:tr>
      <w:tr>
        <w:trPr>
          <w:trHeight w:val="237"/>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2017</w:t>
            </w: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3180" w:type="dxa"/>
            <w:vAlign w:val="bottom"/>
            <w:tcBorders>
              <w:bottom w:val="single" w:sz="8" w:color="CCEEFF"/>
            </w:tcBorders>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2,589</w:t>
            </w:r>
          </w:p>
        </w:tc>
        <w:tc>
          <w:tcPr>
            <w:tcW w:w="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3,421</w:t>
            </w:r>
          </w:p>
        </w:tc>
      </w:tr>
      <w:tr>
        <w:trPr>
          <w:trHeight w:val="243"/>
        </w:trPr>
        <w:tc>
          <w:tcPr>
            <w:tcW w:w="560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318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387,766</w:t>
            </w:r>
          </w:p>
        </w:tc>
        <w:tc>
          <w:tcPr>
            <w:tcW w:w="3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181,413</w:t>
            </w:r>
          </w:p>
        </w:tc>
      </w:tr>
      <w:tr>
        <w:trPr>
          <w:trHeight w:val="27"/>
        </w:trPr>
        <w:tc>
          <w:tcPr>
            <w:tcW w:w="56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Due From Banks</w:t>
            </w:r>
          </w:p>
        </w:tc>
        <w:tc>
          <w:tcPr>
            <w:tcW w:w="3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174,871</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263,017</w:t>
            </w:r>
          </w:p>
        </w:tc>
      </w:tr>
      <w:tr>
        <w:trPr>
          <w:trHeight w:val="231"/>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Cash and Cash Equivalents</w:t>
            </w:r>
          </w:p>
        </w:tc>
        <w:tc>
          <w:tcPr>
            <w:tcW w:w="3180" w:type="dxa"/>
            <w:vAlign w:val="bottom"/>
            <w:tcBorders>
              <w:top w:val="single" w:sz="8" w:color="auto"/>
            </w:tcBorders>
          </w:tcPr>
          <w:p>
            <w:pPr>
              <w:ind w:left="288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74"/>
              <w:spacing w:after="0"/>
              <w:rPr>
                <w:sz w:val="20"/>
                <w:szCs w:val="20"/>
                <w:color w:val="auto"/>
              </w:rPr>
            </w:pPr>
            <w:r>
              <w:rPr>
                <w:rFonts w:ascii="Arial" w:cs="Arial" w:eastAsia="Arial" w:hAnsi="Arial"/>
                <w:sz w:val="16"/>
                <w:szCs w:val="16"/>
                <w:color w:val="auto"/>
              </w:rPr>
              <w:t>565,226</w:t>
            </w:r>
          </w:p>
        </w:tc>
        <w:tc>
          <w:tcPr>
            <w:tcW w:w="34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447,851</w:t>
            </w:r>
          </w:p>
        </w:tc>
      </w:tr>
      <w:tr>
        <w:trPr>
          <w:trHeight w:val="33"/>
        </w:trPr>
        <w:tc>
          <w:tcPr>
            <w:tcW w:w="56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Company’s investment securities as of March 31, 2018 and December 31, 2017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Amortized</w:t>
            </w: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Cost</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Gains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Losses</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2018</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Available-for-Sale:</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438,951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1,363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438,410</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606,507</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7,119</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(1,622)</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612,004</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252,997</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69</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251,066</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220,935</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2,710</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222,541</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610,668</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485</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(17,058)</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594,095</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70,351</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(4,280)</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66,071</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901,954</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3,195</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(22,442)</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882,707</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2,200,409</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11,746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(27,968)</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2,184,187</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394,703</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(1,906)</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392,797</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237,539</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7,511</w:t>
            </w:r>
          </w:p>
        </w:tc>
        <w:tc>
          <w:tcPr>
            <w:tcW w:w="3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245,050</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115,590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(2,405)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113,185</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2,115,460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6,437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(60,248)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2,061,649</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733,427</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321</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(22,295)</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711,453</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192,373</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123</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(5,481)</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187,015</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3,041,260</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6,881</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(88,024)</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2,960,117</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3,789,092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14,392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(92,335)</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3,711,149</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Available-for-Sale:</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424,912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2,053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(1,035)</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425,930</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618,167</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9,894</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(1,042)</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627,019</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268,003</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199</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(2,091)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266,111</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233,268</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3,129</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235,360</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619,795</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420</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(10,403)</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609,812</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71,999</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(3,252)</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68,747</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925,062</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3,549</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(14,692)</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913,919</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2,236,144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15,695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(18,860)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2,232,979</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375,074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373,641</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238,504</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9,125</w:t>
            </w:r>
          </w:p>
        </w:tc>
        <w:tc>
          <w:tcPr>
            <w:tcW w:w="3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247,629</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119,635</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123</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118,167</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2,229,985</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9,975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(37,047)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2,202,913</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763,312</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911</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(11,255)</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752,968</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201,660</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797</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(3,654)</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198,803</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3,194,957</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11,683</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(51,956)</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3,154,684</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3,928,170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20,949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(54,998)</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3,894,121</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0"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table below presents an analysis of the contractual maturities of the Company’s investment securities as of March 31, 2018.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Amortized Cost</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in One Year or Less</w:t>
            </w:r>
          </w:p>
        </w:tc>
        <w:tc>
          <w:tcPr>
            <w:tcW w:w="23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82,510</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82,492</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One Year Through Five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610,230</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609,665</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144,294</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147,503</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Ten Years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23,020</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23,945</w:t>
            </w:r>
          </w:p>
        </w:tc>
      </w:tr>
      <w:tr>
        <w:trPr>
          <w:trHeight w:val="231"/>
        </w:trPr>
        <w:tc>
          <w:tcPr>
            <w:tcW w:w="622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860,054</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863,605</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622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Debt Securities Issued by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438,401</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437,875</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220,935</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222,541</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610,668</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594,095</w:t>
            </w: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70,351</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66,071</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2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901,954</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882,707</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2,200,409</w:t>
            </w: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2,184,187</w:t>
            </w:r>
          </w:p>
        </w:tc>
      </w:tr>
      <w:tr>
        <w:trPr>
          <w:trHeight w:val="73"/>
        </w:trPr>
        <w:tc>
          <w:tcPr>
            <w:tcW w:w="622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622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284,876</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284,063</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200,331</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200,997</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235,187</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237,411</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Ten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27,438</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28,561</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747,832</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751,032</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2,115,460</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2,061,649</w:t>
            </w: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733,427</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711,453</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192,373</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187,015</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3,041,260</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2,960,117</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3,789,092</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3,711,149</w:t>
            </w:r>
          </w:p>
        </w:tc>
      </w:tr>
      <w:tr>
        <w:trPr>
          <w:trHeight w:val="20"/>
        </w:trPr>
        <w:tc>
          <w:tcPr>
            <w:tcW w:w="62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Investment securities with carrying values of $2.5 billion and $2.4 billion as of March 31, 2018 and December 31, 2017, respectively, were pledged to secure deposits of governmental entities and securities sold under agreements to repurchase.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gains and losses from the sales of investment securities for the three months ended March 31, 2018 and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7"/>
                <w:szCs w:val="17"/>
                <w:color w:val="auto"/>
              </w:rPr>
            </w:pPr>
          </w:p>
        </w:tc>
      </w:tr>
      <w:tr>
        <w:trPr>
          <w:trHeight w:val="210"/>
        </w:trPr>
        <w:tc>
          <w:tcPr>
            <w:tcW w:w="8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8"/>
                <w:szCs w:val="18"/>
                <w:color w:val="auto"/>
              </w:rPr>
            </w:pPr>
          </w:p>
        </w:tc>
      </w:tr>
      <w:tr>
        <w:trPr>
          <w:trHeight w:val="33"/>
        </w:trPr>
        <w:tc>
          <w:tcPr>
            <w:tcW w:w="8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8"/>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7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Gains on Sales of Investment Securities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12,467</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Gross Losses on Sales of Investment Securities</w:t>
            </w:r>
          </w:p>
        </w:tc>
        <w:tc>
          <w:tcPr>
            <w:tcW w:w="36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(666)</w:t>
            </w:r>
          </w:p>
        </w:tc>
        <w:tc>
          <w:tcPr>
            <w:tcW w:w="7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33"/>
        </w:trPr>
        <w:tc>
          <w:tcPr>
            <w:tcW w:w="8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Gains (Losses) on Sales of Investment Securities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(666)</w:t>
            </w:r>
          </w:p>
        </w:tc>
        <w:tc>
          <w:tcPr>
            <w:tcW w:w="7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12,133</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losses during the three months ended March 31, 2018 and 2017 were due to fees paid to the counterparties of our prior Visa Class B share sale transactions which are expensed as incurred.</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30"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gross unrealized losses and the related fair value of investment securities, aggregated by investment category and length of time in a continuous unrealized loss position,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20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198,606</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122,552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321,158</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w:t>
            </w: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140"/>
              <w:spacing w:after="0"/>
              <w:rPr>
                <w:sz w:val="20"/>
                <w:szCs w:val="20"/>
                <w:color w:val="auto"/>
              </w:rPr>
            </w:pPr>
            <w:r>
              <w:rPr>
                <w:rFonts w:ascii="Arial" w:cs="Arial" w:eastAsia="Arial" w:hAnsi="Arial"/>
                <w:sz w:val="14"/>
                <w:szCs w:val="14"/>
                <w:color w:val="auto"/>
              </w:rPr>
              <w:t>and Political Subdivisions</w:t>
            </w:r>
          </w:p>
        </w:tc>
        <w:tc>
          <w:tcPr>
            <w:tcW w:w="1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211,831</w:t>
            </w:r>
          </w:p>
        </w:tc>
        <w:tc>
          <w:tcPr>
            <w:tcW w:w="3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679</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212,510</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39,958</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186,038</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225,996</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4,782</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19,530</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24,312</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400,447</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(10,337)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150,143</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550,590</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(17,058)</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66,071</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(4,280)</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66,071</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405,229</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(10,375)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235,744</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(12,067)</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640,973</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(22,442)</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855,624</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(13,154)</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545,013</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(14,814)</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1,400,637</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(27,968)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Held-to-Maturity:</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273,603</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119,195</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392,798</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56,855</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56,330</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113,185</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(2,405)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1,101,266</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(27,870)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666,461</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(32,378)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1,767,727</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(60,248)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383,734</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320,791</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704,525</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75,948</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(677)</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79,496</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(4,804)</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155,444</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1,560,948</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(37,671)</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1,066,748</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(50,353)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2,627,696</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(88,024)</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1,891,406</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(38,995)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1,242,273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(53,340)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3,133,679</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(92,335)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Available-for-Sale:</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220"/>
              <w:spacing w:after="0"/>
              <w:rPr>
                <w:sz w:val="20"/>
                <w:szCs w:val="20"/>
                <w:color w:val="auto"/>
              </w:rPr>
            </w:pPr>
            <w:r>
              <w:rPr>
                <w:rFonts w:ascii="Arial" w:cs="Arial" w:eastAsia="Arial" w:hAnsi="Arial"/>
                <w:sz w:val="14"/>
                <w:szCs w:val="14"/>
                <w:color w:val="auto"/>
              </w:rPr>
              <w:t>and Government Agencies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103,842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132,071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235,913</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States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Political Subdivisions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172,343</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734</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173,077</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12,985</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192,927</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205,912</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22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11,035</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10,618</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21,653</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429,342</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150,887</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580,229</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68,747</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68,747</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(3,252)</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440,377</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(5,724)</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230,252</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(8,968)</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670,629</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(14,692)</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729,547</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(7,370)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555,984</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1,285,531</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(18,860)</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40"/>
              <w:spacing w:after="0"/>
              <w:rPr>
                <w:sz w:val="20"/>
                <w:szCs w:val="20"/>
                <w:color w:val="auto"/>
              </w:rPr>
            </w:pPr>
            <w:r>
              <w:rPr>
                <w:rFonts w:ascii="Arial" w:cs="Arial" w:eastAsia="Arial" w:hAnsi="Arial"/>
                <w:sz w:val="14"/>
                <w:szCs w:val="14"/>
                <w:color w:val="auto"/>
              </w:rPr>
              <w:t>and Government Agencies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254,283</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89,391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343,674</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(1,451)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25,490</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58,869</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84,359</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1,030,472</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704,545</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1,735,017</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(37,047)</w:t>
            </w:r>
          </w:p>
        </w:tc>
        <w:tc>
          <w:tcPr>
            <w:tcW w:w="0" w:type="dxa"/>
            <w:vAlign w:val="bottom"/>
          </w:tcPr>
          <w:p>
            <w:pPr>
              <w:spacing w:after="0"/>
              <w:rPr>
                <w:sz w:val="1"/>
                <w:szCs w:val="1"/>
                <w:color w:val="auto"/>
              </w:rPr>
            </w:pPr>
          </w:p>
        </w:tc>
      </w:tr>
      <w:tr>
        <w:trPr>
          <w:trHeight w:val="264"/>
        </w:trPr>
        <w:tc>
          <w:tcPr>
            <w:tcW w:w="4700" w:type="dxa"/>
            <w:vAlign w:val="bottom"/>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293,530</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339,232</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632,762</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(11,255)</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497</w:t>
            </w: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82,288</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(3,649)</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82,785</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1,324,499</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(15,373)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1,126,065</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(36,583)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2,450,564</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(51,956)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1,604,272</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(16,015)</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1,274,325</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(38,983)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2,878,597</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(54,998)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0"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does not believe that the investment securities that were in an unrealized loss position as of March 31, 2018, which were comprised of 469 securities, represent an other-than-temporary impairment. Total gross unrealized losses were primarily attributable to changes in interest rates, relative to when the investment securities were purchased, and not due to the credit quality of the investment securities. As of March 31, 2018 and December 31, 2017, the gross unrealized losses reported for mortgage-backed securities were mostly related to investment securities issued by the Government National Mortgage Association. The Company does not intend to sell the investment securities that were in an unrealized loss position and it is not more likely than not that the Company will be required to sell the investment securities before recovery of their amortized cost basis, which may be at maturity.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from taxable and non-taxable investment securities for the three months ended March 31, 2018 and 2017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7"/>
                <w:szCs w:val="17"/>
                <w:color w:val="auto"/>
              </w:rPr>
            </w:pPr>
          </w:p>
        </w:tc>
      </w:tr>
      <w:tr>
        <w:trPr>
          <w:trHeight w:val="210"/>
        </w:trPr>
        <w:tc>
          <w:tcPr>
            <w:tcW w:w="8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18"/>
                <w:szCs w:val="18"/>
                <w:color w:val="auto"/>
              </w:rPr>
            </w:pPr>
          </w:p>
        </w:tc>
      </w:tr>
      <w:tr>
        <w:trPr>
          <w:trHeight w:val="33"/>
        </w:trPr>
        <w:tc>
          <w:tcPr>
            <w:tcW w:w="8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8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Taxable</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28,671</w:t>
            </w:r>
          </w:p>
        </w:tc>
        <w:tc>
          <w:tcPr>
            <w:tcW w:w="86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25,767</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Non-Taxable</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4,766</w:t>
            </w:r>
          </w:p>
        </w:tc>
        <w:tc>
          <w:tcPr>
            <w:tcW w:w="8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5,023</w:t>
            </w:r>
          </w:p>
        </w:tc>
      </w:tr>
      <w:tr>
        <w:trPr>
          <w:trHeight w:val="33"/>
        </w:trPr>
        <w:tc>
          <w:tcPr>
            <w:tcW w:w="8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 from Investment Securities</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33,437</w:t>
            </w:r>
          </w:p>
        </w:tc>
        <w:tc>
          <w:tcPr>
            <w:tcW w:w="86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30,790</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March 31, 2018, included in the Company’s investment securities portfolio were debt securities issued by political subdivisions within the State of Hawaii of $488.4 million, representing 57% of the total fair value of the Company’s municipal debt securities. Of the entire Hawaii municipal bond portfolio, 94% were credit-rated Aa2 or better by Moody’s while the remaining Hawaii municipal bonds were credit-rated A1 or better by at least one nationally recognized statistical rating organization. Of the Company’s total Hawaii municipal bond holdings, 79% were general obligation issuances. As of March 31, 2018, there were no other holdings of municipal debt securities that were issued by a single state or political subdivision which comprised more than 10% of the total fair value of the Company’s municipal debt securities.</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March 31, 2018 and December 31, 2017, the carrying value of the Company’s Federal Home Loan Bank of Des Moines stock and Federal Reserve Bank stock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Stock</w:t>
            </w:r>
          </w:p>
        </w:tc>
        <w:tc>
          <w:tcPr>
            <w:tcW w:w="3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19,000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Federal Reserve Bank Stock</w:t>
            </w:r>
          </w:p>
        </w:tc>
        <w:tc>
          <w:tcPr>
            <w:tcW w:w="348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20,745</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20,645</w:t>
            </w:r>
          </w:p>
        </w:tc>
      </w:tr>
      <w:tr>
        <w:trPr>
          <w:trHeight w:val="33"/>
        </w:trPr>
        <w:tc>
          <w:tcPr>
            <w:tcW w:w="530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39,745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40,645</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These securities can only be redeemed or sold at their par value and only to the respective issuing government-supported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Class B Restricted Shares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is indemnified by Visa members, including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As of March 31, 2018, the conversion ratio was 1.6483.</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occasionally sells these Visa Class B shares to other financial institutions. Concurrent with every sale the Company entered into an agreement with the buyer that requires payment to the buyer in the event Visa further reduces the conversion ratio. Based on the existing transfer restriction and the uncertainty of the outcome of the Visa litigation mentioned above, the remaining 86,614 Class B shares (142,766 Class A equivalents) that the Company owns as of March 31, 2018 are carried at a zero cost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Loans and Leases and the Allowance for Loan and Lease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portfolio was comprised of the following as of March 31, 2018 and December 31, 2017:</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1,329,096</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1,279,347</w:t>
            </w:r>
          </w:p>
        </w:tc>
      </w:tr>
      <w:tr>
        <w:trPr>
          <w:trHeight w:val="33"/>
        </w:trPr>
        <w:tc>
          <w:tcPr>
            <w:tcW w:w="52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3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2,097,339</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2,103,967</w:t>
            </w: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33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186,530</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202,253</w:t>
            </w:r>
          </w:p>
        </w:tc>
      </w:tr>
      <w:tr>
        <w:trPr>
          <w:trHeight w:val="33"/>
        </w:trPr>
        <w:tc>
          <w:tcPr>
            <w:tcW w:w="52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Financing</w:t>
            </w:r>
          </w:p>
        </w:tc>
        <w:tc>
          <w:tcPr>
            <w:tcW w:w="3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179,771</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180,931</w:t>
            </w:r>
          </w:p>
        </w:tc>
      </w:tr>
      <w:tr>
        <w:trPr>
          <w:trHeight w:val="231"/>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3,792,736</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3,766,498</w:t>
            </w:r>
          </w:p>
        </w:tc>
      </w:tr>
      <w:tr>
        <w:trPr>
          <w:trHeight w:val="33"/>
        </w:trPr>
        <w:tc>
          <w:tcPr>
            <w:tcW w:w="52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3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3,505,239</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3,466,773</w:t>
            </w:r>
          </w:p>
        </w:tc>
      </w:tr>
      <w:tr>
        <w:trPr>
          <w:trHeight w:val="33"/>
        </w:trPr>
        <w:tc>
          <w:tcPr>
            <w:tcW w:w="52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1,601,698</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1,585,455</w:t>
            </w: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3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558,468</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528,474</w:t>
            </w:r>
          </w:p>
        </w:tc>
      </w:tr>
      <w:tr>
        <w:trPr>
          <w:trHeight w:val="33"/>
        </w:trPr>
        <w:tc>
          <w:tcPr>
            <w:tcW w:w="52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458,487</w:t>
            </w:r>
          </w:p>
        </w:tc>
        <w:tc>
          <w:tcPr>
            <w:tcW w:w="4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449,747</w:t>
            </w:r>
          </w:p>
        </w:tc>
      </w:tr>
      <w:tr>
        <w:trPr>
          <w:trHeight w:val="231"/>
        </w:trPr>
        <w:tc>
          <w:tcPr>
            <w:tcW w:w="524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3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6,123,892</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6,030,449</w:t>
            </w:r>
          </w:p>
        </w:tc>
      </w:tr>
      <w:tr>
        <w:trPr>
          <w:trHeight w:val="33"/>
        </w:trPr>
        <w:tc>
          <w:tcPr>
            <w:tcW w:w="52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9,916,628</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9,796,947</w:t>
            </w: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3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3"/>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majority of the Company’s lending activity is with customers located in the State of Hawaii. A substantial portion of the Company’s real estate loans are secured by real estate in Hawaii.</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gains related to sales of residential mortgage loans, recorded as a component of mortgage banking income were $0.3 million and $1.3 million for the three months ended March 31, 2018 and 2017,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 (the “Allowance”)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presents by portfolio segment, the activity in the Allowance for the three months ended March 31, 2018 and 2017. The following also presents by portfolio segment, the balance in the Allowance disaggregated on the basis of the Company’s impairment measurement method and the related recorded investment in loans and leases as of March 31, 2018 and 2017.</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Commercial</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Consumer</w:t>
            </w: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Three Months Ended March 31, 2018</w:t>
            </w:r>
          </w:p>
        </w:tc>
        <w:tc>
          <w:tcPr>
            <w:tcW w:w="1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65,822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41,524</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107,346</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(206)</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(5,782)</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(5,988)</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328</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2,127</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2,455</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122</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(3,655)</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(3,533)</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(1,834)</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5,959</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4,125</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64,110</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43,828</w:t>
            </w:r>
          </w:p>
        </w:tc>
        <w:tc>
          <w:tcPr>
            <w:tcW w:w="5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107,938</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March 31, 2018</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59</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3,783</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3,842</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64,051</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40,045</w:t>
            </w:r>
          </w:p>
        </w:tc>
        <w:tc>
          <w:tcPr>
            <w:tcW w:w="5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104,096</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64,110</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43,828</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107,938</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Recorded Investment in Loans and Leases:</w:t>
            </w: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21,095</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40,727</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61,822</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3,771,641</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6,083,165</w:t>
            </w:r>
          </w:p>
        </w:tc>
        <w:tc>
          <w:tcPr>
            <w:tcW w:w="5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9,854,806</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3,792,736</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6,123,892</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9,916,628</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2017</w:t>
            </w:r>
          </w:p>
        </w:tc>
        <w:tc>
          <w:tcPr>
            <w:tcW w:w="1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65,680</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38,593</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104,273</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(174)</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(5,530)</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(5,704)</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336</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1,759</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2,095</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162</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(3,771)</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(3,609)</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1,051</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3,349</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4,400</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66,893</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38,171</w:t>
            </w:r>
          </w:p>
        </w:tc>
        <w:tc>
          <w:tcPr>
            <w:tcW w:w="5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105,064</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March 31, 2017</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38</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3,912</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3,950</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66,855</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34,259</w:t>
            </w:r>
          </w:p>
        </w:tc>
        <w:tc>
          <w:tcPr>
            <w:tcW w:w="5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101,114</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66,893</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38,171</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105,064</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Recorded Investment in Loans and Leases:</w:t>
            </w: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20,902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39,429</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60,331</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3,609,593</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5,443,885</w:t>
            </w:r>
          </w:p>
        </w:tc>
        <w:tc>
          <w:tcPr>
            <w:tcW w:w="5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9,053,478</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3,630,495</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5,483,314</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9,113,809</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definitions of the Company’s credit quality indicators:</w:t>
      </w:r>
    </w:p>
    <w:p>
      <w:pPr>
        <w:sectPr>
          <w:pgSz w:w="11900" w:h="16838" w:orient="portrait"/>
          <w:cols w:equalWidth="0" w:num="1">
            <w:col w:w="11400"/>
          </w:cols>
          <w:pgMar w:left="240" w:top="130" w:right="259" w:bottom="1440" w:gutter="0" w:footer="0" w:header="0"/>
        </w:sect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Pass: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Loans and leases in all classes within the commercial and consumer portfolio segments that are not adversely rated, are contractually current as to principal and interest, and are otherwise in compliance with the contractual terms of the loan or lease agreement. Management believes that there is a low likelihood of loss related to those loans and leases that are considered pass.</w:t>
      </w:r>
    </w:p>
    <w:p>
      <w:pPr>
        <w:spacing w:after="0" w:line="147" w:lineRule="exact"/>
        <w:rPr>
          <w:sz w:val="20"/>
          <w:szCs w:val="20"/>
          <w:color w:val="auto"/>
        </w:rPr>
      </w:pPr>
    </w:p>
    <w:p>
      <w:pPr>
        <w:sectPr>
          <w:pgSz w:w="11900" w:h="16838" w:orient="portrait"/>
          <w:cols w:equalWidth="0" w:num="2">
            <w:col w:w="1240" w:space="720"/>
            <w:col w:w="9440"/>
          </w:cols>
          <w:pgMar w:left="240" w:top="130" w:right="2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Special Mention:</w:t>
      </w:r>
    </w:p>
    <w:p>
      <w:pPr>
        <w:spacing w:after="0" w:line="20" w:lineRule="exact"/>
        <w:rPr>
          <w:sz w:val="20"/>
          <w:szCs w:val="20"/>
          <w:color w:val="auto"/>
        </w:rPr>
      </w:pPr>
      <w:r>
        <w:rPr>
          <w:sz w:val="20"/>
          <w:szCs w:val="20"/>
          <w:color w:val="auto"/>
        </w:rPr>
        <w:br w:type="column"/>
      </w:r>
    </w:p>
    <w:p>
      <w:pPr>
        <w:jc w:val="both"/>
        <w:ind w:right="520"/>
        <w:spacing w:after="0" w:line="312" w:lineRule="auto"/>
        <w:rPr>
          <w:sz w:val="20"/>
          <w:szCs w:val="20"/>
          <w:color w:val="auto"/>
        </w:rPr>
      </w:pPr>
      <w:r>
        <w:rPr>
          <w:rFonts w:ascii="Arial" w:cs="Arial" w:eastAsia="Arial" w:hAnsi="Arial"/>
          <w:sz w:val="16"/>
          <w:szCs w:val="16"/>
          <w:color w:val="auto"/>
        </w:rPr>
        <w:t>Loans and leases that have potential weaknesses that deserve management’s close attention. If not addressed, these potential weaknesses may result in deterioration of the repayment prospects for the loan or lease. Management believes that there is a moderate likelihood of some loss related to those loans and leases that are considered special mention.</w:t>
      </w:r>
    </w:p>
    <w:p>
      <w:pPr>
        <w:spacing w:after="0" w:line="147" w:lineRule="exact"/>
        <w:rPr>
          <w:sz w:val="20"/>
          <w:szCs w:val="20"/>
          <w:color w:val="auto"/>
        </w:rPr>
      </w:pPr>
    </w:p>
    <w:p>
      <w:pPr>
        <w:sectPr>
          <w:pgSz w:w="11900" w:h="16838" w:orient="portrait"/>
          <w:cols w:equalWidth="0" w:num="2">
            <w:col w:w="1720" w:space="240"/>
            <w:col w:w="9440"/>
          </w:cols>
          <w:pgMar w:left="240" w:top="130" w:right="2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Classified:</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Loans and leases in the classes within the commercial portfolio segment that are inadequately protected by the sound worth and paying capacity of the borrower or of the collateral pledged, if any. Classified loans and leases are also those in the classes within the consumer portfolio segment that are past due 90 days or more as to principal or interest. Residential mortgage loans that are past due 90 days or more as to principal or interest may be considered pass if the Company is in the process of collection and the current loan-to-value ratio is 60% or less. Home equity loans that are past due 90 days or more as to principal or interest may be considered pass if the Company is in the process of collection, the first mortgage is with the Company, and the current combined loan-to-value ratio is 60% or less. Residential mortgage and home equity loans may be current as to principal and interest, but may be considered classified for a period of generally up to six months following a loan modification. Following a period of demonstrated performance in accordance with the modified contractual terms, the loan may be removed from classified status. Management believes that there is a distinct possibility that the Company will sustain some loss if the deficiencies related to classified loans and leases are not corrected in a timely manner.</w:t>
      </w:r>
    </w:p>
    <w:p>
      <w:pPr>
        <w:spacing w:after="0" w:line="200" w:lineRule="exact"/>
        <w:rPr>
          <w:sz w:val="20"/>
          <w:szCs w:val="20"/>
          <w:color w:val="auto"/>
        </w:rPr>
      </w:pPr>
    </w:p>
    <w:p>
      <w:pPr>
        <w:sectPr>
          <w:pgSz w:w="11900" w:h="16838" w:orient="portrait"/>
          <w:cols w:equalWidth="0" w:num="2">
            <w:col w:w="1260" w:space="700"/>
            <w:col w:w="9440"/>
          </w:cols>
          <w:pgMar w:left="240" w:top="130" w:right="259" w:bottom="1440" w:gutter="0" w:footer="0" w:header="0"/>
          <w:type w:val="continuous"/>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30" w:right="25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credit quality indicators are periodically updated on a case-by-case basis. The following presents by class and by credit quality indicator, the recorded investment in the Company’s loans and leases as of March 31, 2018 and December 31,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March 31, 2018</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1,289,103</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2,041,154</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183,240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179,401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3,692,898</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22,506</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36,431</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58,947</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17,487</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19,754</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3,290</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360</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40,891</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1,329,096</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2,097,339</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186,530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179,771</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3,792,736</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3,498,291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1,597,383</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558,135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457,702</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6,111,511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6,948</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4,315</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333</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785</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12,381</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3,505,239</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1,601,698</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558,468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458,487</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6,123,892</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9,916,628</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7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w w:val="92"/>
              </w:rPr>
              <w:t>December 31, 2017</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1,234,738</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2,046,745</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198,926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180,522</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3,660,931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15,394</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35,762</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51,173</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29,215</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21,460</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3,321</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398</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54,394</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1,279,347</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2,103,967</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202,253</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180,931</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3,766,498</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3,457,531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1,580,917</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527,587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449,008</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6,015,043</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9,242</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4,538</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887</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739</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15,406</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3,466,773</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1,585,455</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528,474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449,747</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6,030,449</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9,796,947</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4"/>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an aging analysis of the Company’s loan and lease portfolio as of March 31, 2018 and December 31, 2017.</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30 - 59</w:t>
            </w:r>
          </w:p>
        </w:tc>
        <w:tc>
          <w:tcPr>
            <w:tcW w:w="3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60 - 89</w:t>
            </w:r>
          </w:p>
        </w:tc>
        <w:tc>
          <w:tcPr>
            <w:tcW w:w="3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Past Due</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Non-</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Loans and</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90 Days</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Past Due and</w:t>
            </w:r>
          </w:p>
        </w:tc>
        <w:tc>
          <w:tcPr>
            <w:tcW w:w="36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Current</w:t>
            </w:r>
          </w:p>
        </w:tc>
        <w:tc>
          <w:tcPr>
            <w:tcW w:w="3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Loans and</w:t>
            </w: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Leases that</w:t>
            </w:r>
          </w:p>
        </w:tc>
        <w:tc>
          <w:tcPr>
            <w:tcW w:w="0" w:type="dxa"/>
            <w:vAlign w:val="bottom"/>
          </w:tcPr>
          <w:p>
            <w:pPr>
              <w:spacing w:after="0"/>
              <w:rPr>
                <w:sz w:val="1"/>
                <w:szCs w:val="1"/>
                <w:color w:val="auto"/>
              </w:rPr>
            </w:pPr>
          </w:p>
        </w:tc>
      </w:tr>
      <w:tr>
        <w:trPr>
          <w:trHeight w:val="192"/>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or More</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Accrual</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Non-Accrual</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Leases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xml:space="preserve">are Current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As of March 31, 2018</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and Industrial</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1,611</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301</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986</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2,898</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1,326,198</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1,329,096</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Commercial Mortgage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423</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1,367</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1,790</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2,095,549</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2,097,339</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Construction</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186,530</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186,530</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Lease Financing</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179,771</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179,771</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Commercial</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2,034</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301</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2,353</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4,688</w:t>
            </w: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3,788,048</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3,792,736</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Consumer</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Residential Mortgage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4,325</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2,677</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2,927</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6,725</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16,654</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3,488,585</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3,505,239</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Home Equity</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2,768</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1,255</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3,013</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3,890</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10,926</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1,590,772</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1,601,698</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Automobile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9,172</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1,577</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333</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11,082</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547,386</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558,468</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2,896</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1,587</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1,895</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6,378</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452,109</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458,487</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Consumer</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19,161</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7,096</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8,168</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10,615</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45,040</w:t>
            </w: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6,078,852</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6,123,892</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1,826</w:t>
            </w:r>
          </w:p>
        </w:tc>
        <w:tc>
          <w:tcPr>
            <w:tcW w:w="0" w:type="dxa"/>
            <w:vAlign w:val="bottom"/>
          </w:tcPr>
          <w:p>
            <w:pPr>
              <w:spacing w:after="0"/>
              <w:rPr>
                <w:sz w:val="1"/>
                <w:szCs w:val="1"/>
                <w:color w:val="auto"/>
              </w:rPr>
            </w:pPr>
          </w:p>
        </w:tc>
      </w:tr>
      <w:tr>
        <w:trPr>
          <w:trHeight w:val="30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21,195</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7,397</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8,168</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12,968</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49,728</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9,866,900</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9,916,628</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3,362</w:t>
            </w:r>
          </w:p>
        </w:tc>
        <w:tc>
          <w:tcPr>
            <w:tcW w:w="0" w:type="dxa"/>
            <w:vAlign w:val="bottom"/>
          </w:tcPr>
          <w:p>
            <w:pPr>
              <w:spacing w:after="0"/>
              <w:rPr>
                <w:sz w:val="1"/>
                <w:szCs w:val="1"/>
                <w:color w:val="auto"/>
              </w:rPr>
            </w:pPr>
          </w:p>
        </w:tc>
      </w:tr>
      <w:tr>
        <w:trPr>
          <w:trHeight w:val="257"/>
        </w:trPr>
        <w:tc>
          <w:tcPr>
            <w:tcW w:w="2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4,196</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641</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5,285</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1,274,062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1,279,347</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Mortgage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404</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1,398</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1,989</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2,101,978</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2,103,967</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202,253</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202,253</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Lease Financing</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180,931</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180,931</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Commercial</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4,383</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1,045</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1,846</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7,274</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3,759,224</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3,766,498</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Residential Mortgage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7,815</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2,008</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2,703</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9,243</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21,769</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3,445,004</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3,466,773</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Home Equity</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2,532</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2,736</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1,624</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3,991</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10,883</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1,574,572</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1,585,455</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Automobile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11,728</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2,232</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886</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14,846</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513,628</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528,474</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3,007</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1,639</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1,934</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6,580</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443,167</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449,747</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Consumer</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25,082</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8,615</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7,147</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13,234</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54,078</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5,976,371</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6,030,449</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2,118</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29,465</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9,660</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7,147</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15,080</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61,352</w:t>
            </w:r>
          </w:p>
        </w:tc>
        <w:tc>
          <w:tcPr>
            <w:tcW w:w="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9,735,595</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9,796,947</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5"/>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80" w:hanging="72"/>
        <w:spacing w:after="0"/>
        <w:tabs>
          <w:tab w:leader="none" w:pos="8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non-accrual loans that are not past due 30 days or more; however, full payment of principal and interest is still not expected.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information related to impaired loans as of March 31, 2018 and December 31, 2017.</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Recorded</w:t>
            </w:r>
          </w:p>
        </w:tc>
        <w:tc>
          <w:tcPr>
            <w:tcW w:w="36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Unpaid</w:t>
            </w:r>
          </w:p>
        </w:tc>
        <w:tc>
          <w:tcPr>
            <w:tcW w:w="3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Related</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Principal</w:t>
            </w:r>
          </w:p>
        </w:tc>
        <w:tc>
          <w:tcPr>
            <w:tcW w:w="3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w w:val="97"/>
              </w:rPr>
              <w:t>Allowance for</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Investment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Balance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Loan Losses</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March 31, 2018</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8,982</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12,596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9,498</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12,998</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Construction</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1,399</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1,399</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19,879</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26,993</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 with No Related Allowance Recorded</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19,879</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26,993</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58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 with an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968</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1,659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248</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248</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1,216</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1,907</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Residential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20,399</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25,142</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3,080</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Home Equity</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1,953</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1,953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Automobile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15,627</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15,627</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7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2,748</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2,748</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Total 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40,727</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45,470</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3,783</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 with an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41,943</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47,377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3,842</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21,095</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28,900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40,727</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45,470</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3,783</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61,822</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74,370</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3,842</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8,094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15,747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8,696</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12,196</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Construction</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1,415</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1,415</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18,205</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29,358</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 with No Related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18,205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29,358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 with an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811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811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1,200</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1,200</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2,011</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2,011</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Residential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21,581</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26,324</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3,118</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Home Equity</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1,965</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1,965</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Automobile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14,811</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14,811</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2,645</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2,645</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41,002</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45,745</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3,775</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 with an Allowance Recorded</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43,013</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47,756</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3,916</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20,216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31,369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41,002</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45,745</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3,775</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61,218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77,114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3,916</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24" w:name="page25"/>
    <w:bookmarkEnd w:id="24"/>
    <w:p>
      <w:pPr>
        <w:ind w:left="80" w:hanging="72"/>
        <w:spacing w:after="0"/>
        <w:tabs>
          <w:tab w:leader="none" w:pos="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Comprised of other revolving credit and installment financing.</w:t>
      </w:r>
    </w:p>
    <w:p>
      <w:pPr>
        <w:spacing w:after="0" w:line="33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96" w:right="1440"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presents by class, information related to the average recorded investment and interest income recognized on impaired loans for the three months ended March 31, 2018 and 2017.</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292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auto"/>
              </w:rPr>
              <w:t>March 31, 2018</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3"/>
          </w:tcPr>
          <w:p>
            <w:pPr>
              <w:jc w:val="right"/>
              <w:ind w:right="940"/>
              <w:spacing w:after="0"/>
              <w:rPr>
                <w:sz w:val="20"/>
                <w:szCs w:val="20"/>
                <w:color w:val="auto"/>
              </w:rPr>
            </w:pPr>
            <w:r>
              <w:rPr>
                <w:rFonts w:ascii="Arial" w:cs="Arial" w:eastAsia="Arial" w:hAnsi="Arial"/>
                <w:sz w:val="16"/>
                <w:szCs w:val="16"/>
                <w:b w:val="1"/>
                <w:bCs w:val="1"/>
                <w:color w:val="auto"/>
              </w:rPr>
              <w:t>March 31, 2017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(dollars in thousands)</w:t>
            </w:r>
          </w:p>
        </w:tc>
        <w:tc>
          <w:tcPr>
            <w:tcW w:w="240" w:type="dxa"/>
            <w:vAlign w:val="bottom"/>
          </w:tcPr>
          <w:p>
            <w:pPr>
              <w:spacing w:after="0"/>
              <w:rPr>
                <w:sz w:val="12"/>
                <w:szCs w:val="12"/>
                <w:color w:val="auto"/>
              </w:rPr>
            </w:pPr>
          </w:p>
        </w:tc>
        <w:tc>
          <w:tcPr>
            <w:tcW w:w="1440" w:type="dxa"/>
            <w:vAlign w:val="bottom"/>
          </w:tcPr>
          <w:p>
            <w:pPr>
              <w:jc w:val="right"/>
              <w:ind w:right="100"/>
              <w:spacing w:after="0" w:line="147" w:lineRule="exact"/>
              <w:rPr>
                <w:sz w:val="20"/>
                <w:szCs w:val="20"/>
                <w:color w:val="auto"/>
              </w:rPr>
            </w:pPr>
            <w:r>
              <w:rPr>
                <w:rFonts w:ascii="Arial" w:cs="Arial" w:eastAsia="Arial" w:hAnsi="Arial"/>
                <w:sz w:val="14"/>
                <w:szCs w:val="14"/>
                <w:b w:val="1"/>
                <w:bCs w:val="1"/>
                <w:color w:val="auto"/>
              </w:rPr>
              <w:t>Average Recorded</w:t>
            </w:r>
          </w:p>
        </w:tc>
        <w:tc>
          <w:tcPr>
            <w:tcW w:w="560" w:type="dxa"/>
            <w:vAlign w:val="bottom"/>
          </w:tcPr>
          <w:p>
            <w:pPr>
              <w:spacing w:after="0"/>
              <w:rPr>
                <w:sz w:val="12"/>
                <w:szCs w:val="12"/>
                <w:color w:val="auto"/>
              </w:rPr>
            </w:pPr>
          </w:p>
        </w:tc>
        <w:tc>
          <w:tcPr>
            <w:tcW w:w="1340" w:type="dxa"/>
            <w:vAlign w:val="bottom"/>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w w:val="92"/>
              </w:rPr>
              <w:t>Interest Income</w:t>
            </w:r>
          </w:p>
        </w:tc>
        <w:tc>
          <w:tcPr>
            <w:tcW w:w="220" w:type="dxa"/>
            <w:vAlign w:val="bottom"/>
          </w:tcPr>
          <w:p>
            <w:pPr>
              <w:spacing w:after="0"/>
              <w:rPr>
                <w:sz w:val="12"/>
                <w:szCs w:val="12"/>
                <w:color w:val="auto"/>
              </w:rPr>
            </w:pPr>
          </w:p>
        </w:tc>
        <w:tc>
          <w:tcPr>
            <w:tcW w:w="1420" w:type="dxa"/>
            <w:vAlign w:val="bottom"/>
          </w:tcPr>
          <w:p>
            <w:pPr>
              <w:jc w:val="right"/>
              <w:ind w:right="100"/>
              <w:spacing w:after="0" w:line="147" w:lineRule="exact"/>
              <w:rPr>
                <w:sz w:val="20"/>
                <w:szCs w:val="20"/>
                <w:color w:val="auto"/>
              </w:rPr>
            </w:pPr>
            <w:r>
              <w:rPr>
                <w:rFonts w:ascii="Arial" w:cs="Arial" w:eastAsia="Arial" w:hAnsi="Arial"/>
                <w:sz w:val="14"/>
                <w:szCs w:val="14"/>
                <w:b w:val="1"/>
                <w:bCs w:val="1"/>
                <w:color w:val="auto"/>
                <w:w w:val="98"/>
              </w:rPr>
              <w:t>Average Recorded</w:t>
            </w:r>
          </w:p>
        </w:tc>
        <w:tc>
          <w:tcPr>
            <w:tcW w:w="340" w:type="dxa"/>
            <w:vAlign w:val="bottom"/>
          </w:tcPr>
          <w:p>
            <w:pPr>
              <w:spacing w:after="0"/>
              <w:rPr>
                <w:sz w:val="12"/>
                <w:szCs w:val="12"/>
                <w:color w:val="auto"/>
              </w:rPr>
            </w:pPr>
          </w:p>
        </w:tc>
        <w:tc>
          <w:tcPr>
            <w:tcW w:w="1160" w:type="dxa"/>
            <w:vAlign w:val="bottom"/>
          </w:tcPr>
          <w:p>
            <w:pPr>
              <w:jc w:val="right"/>
              <w:ind w:right="20"/>
              <w:spacing w:after="0" w:line="147" w:lineRule="exact"/>
              <w:rPr>
                <w:sz w:val="20"/>
                <w:szCs w:val="20"/>
                <w:color w:val="auto"/>
              </w:rPr>
            </w:pPr>
            <w:r>
              <w:rPr>
                <w:rFonts w:ascii="Arial" w:cs="Arial" w:eastAsia="Arial" w:hAnsi="Arial"/>
                <w:sz w:val="14"/>
                <w:szCs w:val="14"/>
                <w:b w:val="1"/>
                <w:bCs w:val="1"/>
                <w:color w:val="auto"/>
              </w:rPr>
              <w:t>Interest Income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Investment</w:t>
            </w:r>
          </w:p>
        </w:tc>
        <w:tc>
          <w:tcPr>
            <w:tcW w:w="5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Recognized</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Investment</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00"/>
              <w:spacing w:after="0"/>
              <w:rPr>
                <w:sz w:val="20"/>
                <w:szCs w:val="20"/>
                <w:color w:val="auto"/>
              </w:rPr>
            </w:pPr>
            <w:r>
              <w:rPr>
                <w:rFonts w:ascii="Arial" w:cs="Arial" w:eastAsia="Arial" w:hAnsi="Arial"/>
                <w:sz w:val="16"/>
                <w:szCs w:val="16"/>
                <w:color w:val="auto"/>
              </w:rPr>
              <w:t>8,538</w:t>
            </w:r>
          </w:p>
        </w:tc>
        <w:tc>
          <w:tcPr>
            <w:tcW w:w="5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24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9,387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9,097</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9,269</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240" w:type="dxa"/>
            <w:vAlign w:val="bottom"/>
          </w:tcPr>
          <w:p>
            <w:pPr>
              <w:spacing w:after="0"/>
              <w:rPr>
                <w:sz w:val="20"/>
                <w:szCs w:val="20"/>
                <w:color w:val="auto"/>
              </w:rPr>
            </w:pPr>
          </w:p>
        </w:tc>
        <w:tc>
          <w:tcPr>
            <w:tcW w:w="1440" w:type="dxa"/>
            <w:vAlign w:val="bottom"/>
          </w:tcPr>
          <w:p>
            <w:pPr>
              <w:jc w:val="right"/>
              <w:ind w:right="100"/>
              <w:spacing w:after="0"/>
              <w:rPr>
                <w:sz w:val="20"/>
                <w:szCs w:val="20"/>
                <w:color w:val="auto"/>
              </w:rPr>
            </w:pPr>
            <w:r>
              <w:rPr>
                <w:rFonts w:ascii="Arial" w:cs="Arial" w:eastAsia="Arial" w:hAnsi="Arial"/>
                <w:sz w:val="16"/>
                <w:szCs w:val="16"/>
                <w:color w:val="auto"/>
              </w:rPr>
              <w:t>1,407</w:t>
            </w:r>
          </w:p>
        </w:tc>
        <w:tc>
          <w:tcPr>
            <w:tcW w:w="5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1,501</w:t>
            </w:r>
          </w:p>
        </w:tc>
        <w:tc>
          <w:tcPr>
            <w:tcW w:w="34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19,042</w:t>
            </w: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20,157</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1"/>
        </w:trPr>
        <w:tc>
          <w:tcPr>
            <w:tcW w:w="4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Impaired Loans with No Related Allowance Recorded</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19,042</w:t>
            </w:r>
          </w:p>
        </w:tc>
        <w:tc>
          <w:tcPr>
            <w:tcW w:w="5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223</w:t>
            </w: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20,157</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73"/>
        </w:trPr>
        <w:tc>
          <w:tcPr>
            <w:tcW w:w="47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Impaired Loans with an Allowance Recorded:</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00"/>
              <w:spacing w:after="0"/>
              <w:rPr>
                <w:sz w:val="20"/>
                <w:szCs w:val="20"/>
                <w:color w:val="auto"/>
              </w:rPr>
            </w:pPr>
            <w:r>
              <w:rPr>
                <w:rFonts w:ascii="Arial" w:cs="Arial" w:eastAsia="Arial" w:hAnsi="Arial"/>
                <w:sz w:val="16"/>
                <w:szCs w:val="16"/>
                <w:color w:val="auto"/>
              </w:rPr>
              <w:t>890</w:t>
            </w:r>
          </w:p>
        </w:tc>
        <w:tc>
          <w:tcPr>
            <w:tcW w:w="5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727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724</w:t>
            </w: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354</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1"/>
        </w:trPr>
        <w:tc>
          <w:tcPr>
            <w:tcW w:w="4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1,614</w:t>
            </w:r>
          </w:p>
        </w:tc>
        <w:tc>
          <w:tcPr>
            <w:tcW w:w="5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1,081</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240" w:type="dxa"/>
            <w:vAlign w:val="bottom"/>
          </w:tcPr>
          <w:p>
            <w:pPr>
              <w:spacing w:after="0"/>
              <w:rPr>
                <w:sz w:val="20"/>
                <w:szCs w:val="20"/>
                <w:color w:val="auto"/>
              </w:rPr>
            </w:pPr>
          </w:p>
        </w:tc>
        <w:tc>
          <w:tcPr>
            <w:tcW w:w="1440" w:type="dxa"/>
            <w:vAlign w:val="bottom"/>
          </w:tcPr>
          <w:p>
            <w:pPr>
              <w:jc w:val="right"/>
              <w:ind w:right="100"/>
              <w:spacing w:after="0"/>
              <w:rPr>
                <w:sz w:val="20"/>
                <w:szCs w:val="20"/>
                <w:color w:val="auto"/>
              </w:rPr>
            </w:pPr>
            <w:r>
              <w:rPr>
                <w:rFonts w:ascii="Arial" w:cs="Arial" w:eastAsia="Arial" w:hAnsi="Arial"/>
                <w:sz w:val="16"/>
                <w:szCs w:val="16"/>
                <w:color w:val="auto"/>
              </w:rPr>
              <w:t>20,990</w:t>
            </w:r>
          </w:p>
        </w:tc>
        <w:tc>
          <w:tcPr>
            <w:tcW w:w="5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212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24,987</w:t>
            </w:r>
          </w:p>
        </w:tc>
        <w:tc>
          <w:tcPr>
            <w:tcW w:w="34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1,959</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1,512</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240" w:type="dxa"/>
            <w:vAlign w:val="bottom"/>
          </w:tcPr>
          <w:p>
            <w:pPr>
              <w:spacing w:after="0"/>
              <w:rPr>
                <w:sz w:val="20"/>
                <w:szCs w:val="20"/>
                <w:color w:val="auto"/>
              </w:rPr>
            </w:pPr>
          </w:p>
        </w:tc>
        <w:tc>
          <w:tcPr>
            <w:tcW w:w="1440" w:type="dxa"/>
            <w:vAlign w:val="bottom"/>
          </w:tcPr>
          <w:p>
            <w:pPr>
              <w:jc w:val="right"/>
              <w:ind w:right="100"/>
              <w:spacing w:after="0"/>
              <w:rPr>
                <w:sz w:val="20"/>
                <w:szCs w:val="20"/>
                <w:color w:val="auto"/>
              </w:rPr>
            </w:pPr>
            <w:r>
              <w:rPr>
                <w:rFonts w:ascii="Arial" w:cs="Arial" w:eastAsia="Arial" w:hAnsi="Arial"/>
                <w:sz w:val="16"/>
                <w:szCs w:val="16"/>
                <w:color w:val="auto"/>
              </w:rPr>
              <w:t>15,219</w:t>
            </w:r>
          </w:p>
        </w:tc>
        <w:tc>
          <w:tcPr>
            <w:tcW w:w="5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261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10,288</w:t>
            </w:r>
          </w:p>
        </w:tc>
        <w:tc>
          <w:tcPr>
            <w:tcW w:w="34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2,697</w:t>
            </w:r>
          </w:p>
        </w:tc>
        <w:tc>
          <w:tcPr>
            <w:tcW w:w="5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2,491</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1"/>
        </w:trPr>
        <w:tc>
          <w:tcPr>
            <w:tcW w:w="470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240" w:type="dxa"/>
            <w:vAlign w:val="bottom"/>
          </w:tcPr>
          <w:p>
            <w:pPr>
              <w:spacing w:after="0"/>
              <w:rPr>
                <w:sz w:val="20"/>
                <w:szCs w:val="20"/>
                <w:color w:val="auto"/>
              </w:rPr>
            </w:pPr>
          </w:p>
        </w:tc>
        <w:tc>
          <w:tcPr>
            <w:tcW w:w="1440" w:type="dxa"/>
            <w:vAlign w:val="bottom"/>
          </w:tcPr>
          <w:p>
            <w:pPr>
              <w:jc w:val="right"/>
              <w:ind w:right="100"/>
              <w:spacing w:after="0"/>
              <w:rPr>
                <w:sz w:val="20"/>
                <w:szCs w:val="20"/>
                <w:color w:val="auto"/>
              </w:rPr>
            </w:pPr>
            <w:r>
              <w:rPr>
                <w:rFonts w:ascii="Arial" w:cs="Arial" w:eastAsia="Arial" w:hAnsi="Arial"/>
                <w:sz w:val="16"/>
                <w:szCs w:val="16"/>
                <w:color w:val="auto"/>
              </w:rPr>
              <w:t>40,865</w:t>
            </w:r>
          </w:p>
        </w:tc>
        <w:tc>
          <w:tcPr>
            <w:tcW w:w="5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550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39,278</w:t>
            </w:r>
          </w:p>
        </w:tc>
        <w:tc>
          <w:tcPr>
            <w:tcW w:w="34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 with an Allowance Recorded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42,479</w:t>
            </w:r>
          </w:p>
        </w:tc>
        <w:tc>
          <w:tcPr>
            <w:tcW w:w="5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563</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40,359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Impaired Loans: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00"/>
              <w:spacing w:after="0"/>
              <w:rPr>
                <w:sz w:val="20"/>
                <w:szCs w:val="20"/>
                <w:color w:val="auto"/>
              </w:rPr>
            </w:pPr>
            <w:r>
              <w:rPr>
                <w:rFonts w:ascii="Arial" w:cs="Arial" w:eastAsia="Arial" w:hAnsi="Arial"/>
                <w:sz w:val="16"/>
                <w:szCs w:val="16"/>
                <w:color w:val="auto"/>
              </w:rPr>
              <w:t>20,656</w:t>
            </w:r>
          </w:p>
        </w:tc>
        <w:tc>
          <w:tcPr>
            <w:tcW w:w="5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236</w:t>
            </w:r>
          </w:p>
        </w:tc>
        <w:tc>
          <w:tcPr>
            <w:tcW w:w="24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21,238</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40,865</w:t>
            </w: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550</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39,278</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31"/>
        </w:trPr>
        <w:tc>
          <w:tcPr>
            <w:tcW w:w="4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Impaired Loans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61,521</w:t>
            </w:r>
          </w:p>
        </w:tc>
        <w:tc>
          <w:tcPr>
            <w:tcW w:w="5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786</w:t>
            </w: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60,516</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8"/>
        </w:numPr>
        <w:rPr>
          <w:rFonts w:ascii="Arial" w:cs="Arial" w:eastAsia="Arial" w:hAnsi="Arial"/>
          <w:sz w:val="9"/>
          <w:szCs w:val="9"/>
          <w:color w:val="auto"/>
        </w:rPr>
      </w:pPr>
      <w:r>
        <w:rPr>
          <w:rFonts w:ascii="Arial" w:cs="Arial" w:eastAsia="Arial" w:hAnsi="Arial"/>
          <w:sz w:val="14"/>
          <w:szCs w:val="14"/>
          <w:color w:val="auto"/>
        </w:rPr>
        <w:t>Comprised of other revolving credit and installment financing.</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March 31, 2018 and 2017, the amounts of interest income recognized by the Company within the periods that the loans were impaired were primarily related to loans modified in a troubled debt restructuring that remained on accrual status. For the three months ended March 31, 2018 and 2017, the amount of interest income recognized using a cash-basis method of accounting during the periods that the loans were impaired was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modification of a loan constitutes a troubled debt restructuring (“TDR”) when the Company, for economic or legal reasons related to a borrower’s financial difficulties, grants a concession to the borrower that it would not otherwise consider. Loans modified in a TDR were $60.2 million and $60.1 million as of March 31, 2018 and December 31, 2017, respectively. There were $1.3 million and $1.5 million commitments to lend additional funds on loans modified in a TDR as of March 31, 2018 and December 31, 2017,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is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a lower interest rate and the loan being fully amortized for up to 40 years from the modification effective date. In some cases, the Company may forbear a portion of the unpaid principal balance with a balloon 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monthly payments up to an additional five years with a balloon payment due at maturity, or re-amortizing the remaining balance over a period up to 360 months. Interest rates are not changed for land loan modifications. Home equity modifications are made infrequently and uniquely designed to meet the specific needs of each borrower. Automobile loans modified in a TDR are primarily comprised of loans where the Company has lowered monthly payments by extending the term.</w:t>
      </w:r>
    </w:p>
    <w:p>
      <w:pPr>
        <w:spacing w:after="0" w:line="16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commercial and consumer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information related to loans modified in a TDR during the three months ended March 31, 2018 and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40" w:type="dxa"/>
            <w:vAlign w:val="bottom"/>
            <w:gridSpan w:val="5"/>
          </w:tcPr>
          <w:p>
            <w:pPr>
              <w:jc w:val="center"/>
              <w:ind w:right="1080"/>
              <w:spacing w:after="0"/>
              <w:rPr>
                <w:sz w:val="20"/>
                <w:szCs w:val="20"/>
                <w:color w:val="auto"/>
              </w:rPr>
            </w:pPr>
            <w:r>
              <w:rPr>
                <w:rFonts w:ascii="Arial" w:cs="Arial" w:eastAsia="Arial" w:hAnsi="Arial"/>
                <w:sz w:val="16"/>
                <w:szCs w:val="16"/>
                <w:b w:val="1"/>
                <w:bCs w:val="1"/>
                <w:color w:val="auto"/>
                <w:w w:val="93"/>
              </w:rPr>
              <w:t>Loans Modified as a TDR for the</w:t>
            </w:r>
          </w:p>
        </w:tc>
        <w:tc>
          <w:tcPr>
            <w:tcW w:w="920" w:type="dxa"/>
            <w:vAlign w:val="bottom"/>
          </w:tcPr>
          <w:p>
            <w:pPr>
              <w:spacing w:after="0"/>
              <w:rPr>
                <w:sz w:val="17"/>
                <w:szCs w:val="17"/>
                <w:color w:val="auto"/>
              </w:rPr>
            </w:pPr>
          </w:p>
        </w:tc>
        <w:tc>
          <w:tcPr>
            <w:tcW w:w="3220" w:type="dxa"/>
            <w:vAlign w:val="bottom"/>
            <w:gridSpan w:val="4"/>
          </w:tcPr>
          <w:p>
            <w:pPr>
              <w:jc w:val="right"/>
              <w:ind w:right="841"/>
              <w:spacing w:after="0"/>
              <w:rPr>
                <w:sz w:val="20"/>
                <w:szCs w:val="20"/>
                <w:color w:val="auto"/>
              </w:rPr>
            </w:pPr>
            <w:r>
              <w:rPr>
                <w:rFonts w:ascii="Arial" w:cs="Arial" w:eastAsia="Arial" w:hAnsi="Arial"/>
                <w:sz w:val="16"/>
                <w:szCs w:val="16"/>
                <w:b w:val="1"/>
                <w:bCs w:val="1"/>
                <w:color w:val="auto"/>
                <w:w w:val="93"/>
              </w:rPr>
              <w:t>Loans Modified as a TDR for the</w:t>
            </w:r>
          </w:p>
        </w:tc>
      </w:tr>
      <w:tr>
        <w:trPr>
          <w:trHeight w:val="210"/>
        </w:trPr>
        <w:tc>
          <w:tcPr>
            <w:tcW w:w="2880" w:type="dxa"/>
            <w:vAlign w:val="bottom"/>
          </w:tcPr>
          <w:p>
            <w:pPr>
              <w:spacing w:after="0"/>
              <w:rPr>
                <w:sz w:val="18"/>
                <w:szCs w:val="18"/>
                <w:color w:val="auto"/>
              </w:rPr>
            </w:pPr>
          </w:p>
        </w:tc>
        <w:tc>
          <w:tcPr>
            <w:tcW w:w="44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3"/>
              </w:rPr>
              <w:t>Three Months Ended March 31, 2018</w:t>
            </w:r>
          </w:p>
        </w:tc>
        <w:tc>
          <w:tcPr>
            <w:tcW w:w="4140" w:type="dxa"/>
            <w:vAlign w:val="bottom"/>
            <w:gridSpan w:val="5"/>
          </w:tcPr>
          <w:p>
            <w:pPr>
              <w:jc w:val="right"/>
              <w:ind w:right="681"/>
              <w:spacing w:after="0"/>
              <w:rPr>
                <w:sz w:val="20"/>
                <w:szCs w:val="20"/>
                <w:color w:val="auto"/>
              </w:rPr>
            </w:pPr>
            <w:r>
              <w:rPr>
                <w:rFonts w:ascii="Arial" w:cs="Arial" w:eastAsia="Arial" w:hAnsi="Arial"/>
                <w:sz w:val="16"/>
                <w:szCs w:val="16"/>
                <w:b w:val="1"/>
                <w:bCs w:val="1"/>
                <w:color w:val="auto"/>
              </w:rPr>
              <w:t>Three Months Ended March 31, 2017</w:t>
            </w:r>
          </w:p>
        </w:tc>
      </w:tr>
      <w:tr>
        <w:trPr>
          <w:trHeight w:val="33"/>
        </w:trPr>
        <w:tc>
          <w:tcPr>
            <w:tcW w:w="28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2"/>
        </w:trPr>
        <w:tc>
          <w:tcPr>
            <w:tcW w:w="2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Increase in</w:t>
            </w: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21"/>
                <w:szCs w:val="21"/>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Increase in</w:t>
            </w: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Allowance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Allowance</w:t>
            </w:r>
          </w:p>
        </w:tc>
      </w:tr>
      <w:tr>
        <w:trPr>
          <w:trHeight w:val="276"/>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8"/>
              </w:rPr>
              <w:t>(as of period end)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r>
      <w:tr>
        <w:trPr>
          <w:trHeight w:val="237"/>
        </w:trPr>
        <w:tc>
          <w:tcPr>
            <w:tcW w:w="288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503</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3,858</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Commercial Mortgage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404</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503</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4,262</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r>
      <w:tr>
        <w:trPr>
          <w:trHeight w:val="231"/>
        </w:trPr>
        <w:tc>
          <w:tcPr>
            <w:tcW w:w="28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Consumer</w:t>
            </w:r>
          </w:p>
        </w:tc>
        <w:tc>
          <w:tcPr>
            <w:tcW w:w="9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98</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Automobile</w:t>
            </w:r>
          </w:p>
        </w:tc>
        <w:tc>
          <w:tcPr>
            <w:tcW w:w="960" w:type="dxa"/>
            <w:vAlign w:val="bottom"/>
          </w:tcPr>
          <w:p>
            <w:pPr>
              <w:jc w:val="right"/>
              <w:spacing w:after="0"/>
              <w:rPr>
                <w:sz w:val="20"/>
                <w:szCs w:val="20"/>
                <w:color w:val="auto"/>
              </w:rPr>
            </w:pPr>
            <w:r>
              <w:rPr>
                <w:rFonts w:ascii="Arial" w:cs="Arial" w:eastAsia="Arial" w:hAnsi="Arial"/>
                <w:sz w:val="16"/>
                <w:szCs w:val="16"/>
                <w:color w:val="auto"/>
              </w:rPr>
              <w:t>98</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2,179</w:t>
            </w:r>
          </w:p>
        </w:tc>
        <w:tc>
          <w:tcPr>
            <w:tcW w:w="32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2,303</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52</w:t>
            </w: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8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547</w:t>
            </w: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643</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r>
      <w:tr>
        <w:trPr>
          <w:trHeight w:val="231"/>
        </w:trPr>
        <w:tc>
          <w:tcPr>
            <w:tcW w:w="288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960" w:type="dxa"/>
            <w:vAlign w:val="bottom"/>
          </w:tcPr>
          <w:p>
            <w:pPr>
              <w:jc w:val="right"/>
              <w:spacing w:after="0"/>
              <w:rPr>
                <w:sz w:val="20"/>
                <w:szCs w:val="20"/>
                <w:color w:val="auto"/>
              </w:rPr>
            </w:pPr>
            <w:r>
              <w:rPr>
                <w:rFonts w:ascii="Arial" w:cs="Arial" w:eastAsia="Arial" w:hAnsi="Arial"/>
                <w:sz w:val="16"/>
                <w:szCs w:val="16"/>
                <w:color w:val="auto"/>
              </w:rPr>
              <w:t>179</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2,838</w:t>
            </w:r>
          </w:p>
        </w:tc>
        <w:tc>
          <w:tcPr>
            <w:tcW w:w="32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204</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3,044</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70</w:t>
            </w:r>
          </w:p>
        </w:tc>
      </w:tr>
      <w:tr>
        <w:trPr>
          <w:trHeight w:val="33"/>
        </w:trPr>
        <w:tc>
          <w:tcPr>
            <w:tcW w:w="2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3,341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7,306</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w:t>
            </w:r>
          </w:p>
        </w:tc>
      </w:tr>
      <w:tr>
        <w:trPr>
          <w:trHeight w:val="20"/>
        </w:trPr>
        <w:tc>
          <w:tcPr>
            <w:tcW w:w="28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following presents by class, all loans modified in a TDR that defaulted during the three months ended March 31, 2018 and 2017, and within twelve months of their modification date. A TDR is considered to be in default once it becomes 60 days or more past due following a modification.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2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4"/>
              </w:rPr>
              <w:t>March 31, 2018</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March 31, 2017</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1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Recorded</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21"/>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340" w:type="dxa"/>
            <w:vAlign w:val="bottom"/>
          </w:tcPr>
          <w:p>
            <w:pPr>
              <w:jc w:val="right"/>
              <w:ind w:right="120"/>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23"/>
                <w:szCs w:val="23"/>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Investment</w:t>
            </w:r>
          </w:p>
        </w:tc>
        <w:tc>
          <w:tcPr>
            <w:tcW w:w="1320" w:type="dxa"/>
            <w:vAlign w:val="bottom"/>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60" w:type="dxa"/>
            <w:vAlign w:val="bottom"/>
          </w:tcPr>
          <w:p>
            <w:pPr>
              <w:jc w:val="right"/>
              <w:ind w:right="21"/>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(as of period end)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and Industrial</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Commercial Mortgage</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341</w:t>
            </w:r>
          </w:p>
        </w:tc>
        <w:tc>
          <w:tcPr>
            <w:tcW w:w="220" w:type="dxa"/>
            <w:vAlign w:val="bottom"/>
          </w:tcPr>
          <w:p>
            <w:pPr>
              <w:spacing w:after="0"/>
              <w:rPr>
                <w:sz w:val="20"/>
                <w:szCs w:val="20"/>
                <w:color w:val="auto"/>
              </w:rPr>
            </w:pP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370</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64"/>
        </w:trPr>
        <w:tc>
          <w:tcPr>
            <w:tcW w:w="51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236</w:t>
            </w:r>
          </w:p>
        </w:tc>
        <w:tc>
          <w:tcPr>
            <w:tcW w:w="220" w:type="dxa"/>
            <w:vAlign w:val="bottom"/>
          </w:tcPr>
          <w:p>
            <w:pPr>
              <w:spacing w:after="0"/>
              <w:rPr>
                <w:sz w:val="20"/>
                <w:szCs w:val="20"/>
                <w:color w:val="auto"/>
              </w:rPr>
            </w:pP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25</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435</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32</w:t>
            </w:r>
          </w:p>
        </w:tc>
        <w:tc>
          <w:tcPr>
            <w:tcW w:w="3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215</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27</w:t>
            </w:r>
          </w:p>
        </w:tc>
        <w:tc>
          <w:tcPr>
            <w:tcW w:w="3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58</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886</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38</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31"/>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60</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1,256</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41</w:t>
            </w: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0"/>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Commercial and consumer 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Consumer mortgage loans collateralized by residential real estate property that are in the process of foreclosure totaled $3.9 million as of March 31,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Mortgage Servicing Rights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The Company’s portfolio of residential mortgage loans serviced for third parties was $2.9 billion as of March 31, 2018 and December 31, 2017. Substantially all of these loans were originated by the Company and sold to third parties on a non-recourse basis with servicing rights retained. These retained servicing rights are recorded as a servicing asset and are initially recorded at fair value (see Note 14 </w:t>
      </w:r>
      <w:r>
        <w:rPr>
          <w:rFonts w:ascii="Arial" w:cs="Arial" w:eastAsia="Arial" w:hAnsi="Arial"/>
          <w:sz w:val="16"/>
          <w:szCs w:val="16"/>
          <w:i w:val="1"/>
          <w:iCs w:val="1"/>
          <w:color w:val="auto"/>
        </w:rPr>
        <w:t>Fair Value of Assets and Liabilities</w:t>
      </w:r>
      <w:r>
        <w:rPr>
          <w:rFonts w:ascii="Arial" w:cs="Arial" w:eastAsia="Arial" w:hAnsi="Arial"/>
          <w:sz w:val="16"/>
          <w:szCs w:val="16"/>
          <w:color w:val="auto"/>
        </w:rPr>
        <w:t xml:space="preserve"> for more information). Changes to the balance of mortgage servicing rights are recorded in mortgage banking income in the Company’s consolidated statements of income.</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$1.8 million and $1.7 million for the three months ended March 31, 2018 and 2017, respectively. Servicing income is recorded in mortgage banking income in the Company’s consolidated statements of income. The Company’s residential mortgage investor loan servicing portfolio is primarily comprised of fixed rate loans concentrated in Hawaii.</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three months ended March 31, 2018 and 2017, the change in the carrying value of the Company’s mortgage servicing rights accounted for under the fair value measurement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7"/>
                <w:szCs w:val="17"/>
                <w:color w:val="auto"/>
              </w:rPr>
            </w:pPr>
          </w:p>
        </w:tc>
      </w:tr>
      <w:tr>
        <w:trPr>
          <w:trHeight w:val="210"/>
        </w:trPr>
        <w:tc>
          <w:tcPr>
            <w:tcW w:w="8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March 31,</w:t>
            </w:r>
          </w:p>
        </w:tc>
        <w:tc>
          <w:tcPr>
            <w:tcW w:w="600" w:type="dxa"/>
            <w:vAlign w:val="bottom"/>
          </w:tcPr>
          <w:p>
            <w:pPr>
              <w:spacing w:after="0"/>
              <w:rPr>
                <w:sz w:val="18"/>
                <w:szCs w:val="18"/>
                <w:color w:val="auto"/>
              </w:rPr>
            </w:pPr>
          </w:p>
        </w:tc>
      </w:tr>
      <w:tr>
        <w:trPr>
          <w:trHeight w:val="33"/>
        </w:trPr>
        <w:tc>
          <w:tcPr>
            <w:tcW w:w="8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8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1,454</w:t>
            </w:r>
          </w:p>
        </w:tc>
        <w:tc>
          <w:tcPr>
            <w:tcW w:w="88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1,655</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Change in Fair Value:</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0"/>
        </w:trPr>
        <w:tc>
          <w:tcPr>
            <w:tcW w:w="8460" w:type="dxa"/>
            <w:vAlign w:val="bottom"/>
          </w:tcPr>
          <w:p>
            <w:pPr>
              <w:ind w:left="280"/>
              <w:spacing w:after="0"/>
              <w:rPr>
                <w:sz w:val="20"/>
                <w:szCs w:val="20"/>
                <w:color w:val="auto"/>
              </w:rPr>
            </w:pPr>
            <w:r>
              <w:rPr>
                <w:rFonts w:ascii="Arial" w:cs="Arial" w:eastAsia="Arial" w:hAnsi="Arial"/>
                <w:sz w:val="16"/>
                <w:szCs w:val="16"/>
                <w:color w:val="auto"/>
              </w:rPr>
              <w:t>Due to Payoffs</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8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33"/>
        </w:trPr>
        <w:tc>
          <w:tcPr>
            <w:tcW w:w="8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Changes in Fair Value of Mortgage Servicing Rights</w:t>
            </w: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31"/>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1,404</w:t>
            </w:r>
          </w:p>
        </w:tc>
        <w:tc>
          <w:tcPr>
            <w:tcW w:w="88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1,586</w:t>
            </w:r>
          </w:p>
        </w:tc>
      </w:tr>
      <w:tr>
        <w:trPr>
          <w:trHeight w:val="33"/>
        </w:trPr>
        <w:tc>
          <w:tcPr>
            <w:tcW w:w="8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0"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three months ended March 31, 2018 and 2017, the change in the carrying value of the Company’s mortgage servicing rights accounted for under the amortization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7"/>
                <w:szCs w:val="17"/>
                <w:color w:val="auto"/>
              </w:rPr>
            </w:pPr>
          </w:p>
        </w:tc>
      </w:tr>
      <w:tr>
        <w:trPr>
          <w:trHeight w:val="210"/>
        </w:trPr>
        <w:tc>
          <w:tcPr>
            <w:tcW w:w="8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18"/>
                <w:szCs w:val="18"/>
                <w:color w:val="auto"/>
              </w:rPr>
            </w:pPr>
          </w:p>
        </w:tc>
      </w:tr>
      <w:tr>
        <w:trPr>
          <w:trHeight w:val="33"/>
        </w:trPr>
        <w:tc>
          <w:tcPr>
            <w:tcW w:w="8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8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23,168</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22,008</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Servicing Rights that Resulted From Asset Transfers</w:t>
            </w:r>
          </w:p>
        </w:tc>
        <w:tc>
          <w:tcPr>
            <w:tcW w:w="4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621</w:t>
            </w:r>
          </w:p>
        </w:tc>
        <w:tc>
          <w:tcPr>
            <w:tcW w:w="8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1,315</w:t>
            </w:r>
          </w:p>
        </w:tc>
      </w:tr>
      <w:tr>
        <w:trPr>
          <w:trHeight w:val="33"/>
        </w:trPr>
        <w:tc>
          <w:tcPr>
            <w:tcW w:w="8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(700)</w:t>
            </w:r>
          </w:p>
        </w:tc>
        <w:tc>
          <w:tcPr>
            <w:tcW w:w="8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w:t>
            </w:r>
          </w:p>
        </w:tc>
      </w:tr>
      <w:tr>
        <w:trPr>
          <w:trHeight w:val="21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23,089</w:t>
            </w:r>
          </w:p>
        </w:tc>
        <w:tc>
          <w:tcPr>
            <w:tcW w:w="84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22,705</w:t>
            </w:r>
          </w:p>
        </w:tc>
      </w:tr>
      <w:tr>
        <w:trPr>
          <w:trHeight w:val="73"/>
        </w:trPr>
        <w:tc>
          <w:tcPr>
            <w:tcW w:w="84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197"/>
        </w:trPr>
        <w:tc>
          <w:tcPr>
            <w:tcW w:w="8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Fair Value of Mortgage Servicing Rights Accounted for</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0"/>
        </w:trPr>
        <w:tc>
          <w:tcPr>
            <w:tcW w:w="8460" w:type="dxa"/>
            <w:vAlign w:val="bottom"/>
          </w:tcPr>
          <w:p>
            <w:pPr>
              <w:ind w:left="320"/>
              <w:spacing w:after="0"/>
              <w:rPr>
                <w:sz w:val="20"/>
                <w:szCs w:val="20"/>
                <w:color w:val="auto"/>
              </w:rPr>
            </w:pPr>
            <w:r>
              <w:rPr>
                <w:rFonts w:ascii="Arial" w:cs="Arial" w:eastAsia="Arial" w:hAnsi="Arial"/>
                <w:sz w:val="16"/>
                <w:szCs w:val="16"/>
                <w:b w:val="1"/>
                <w:bCs w:val="1"/>
                <w:color w:val="auto"/>
              </w:rPr>
              <w:t>Under the Amortization Method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
        </w:trPr>
        <w:tc>
          <w:tcPr>
            <w:tcW w:w="8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26,716</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25,148</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End of Period</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28,600</w:t>
            </w:r>
          </w:p>
        </w:tc>
        <w:tc>
          <w:tcPr>
            <w:tcW w:w="84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25,946</w:t>
            </w:r>
          </w:p>
        </w:tc>
      </w:tr>
    </w:tbl>
    <w:p>
      <w:pPr>
        <w:spacing w:after="0" w:line="23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key data and assumptions used in estimating the fair value of the Company’s mortgage servicing rights as of March 31, 2018 and December 31, 2017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406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980" w:type="dxa"/>
            <w:vAlign w:val="bottom"/>
          </w:tcPr>
          <w:p>
            <w:pPr>
              <w:spacing w:after="0"/>
              <w:rPr>
                <w:sz w:val="18"/>
                <w:szCs w:val="18"/>
                <w:color w:val="auto"/>
              </w:rPr>
            </w:pPr>
          </w:p>
        </w:tc>
        <w:tc>
          <w:tcPr>
            <w:tcW w:w="40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33"/>
        </w:trPr>
        <w:tc>
          <w:tcPr>
            <w:tcW w:w="59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Weighted-Average Constant Prepayment Rate </w:t>
            </w:r>
            <w:r>
              <w:rPr>
                <w:rFonts w:ascii="Arial" w:cs="Arial" w:eastAsia="Arial" w:hAnsi="Arial"/>
                <w:sz w:val="21"/>
                <w:szCs w:val="21"/>
                <w:color w:val="auto"/>
                <w:vertAlign w:val="superscript"/>
              </w:rPr>
              <w:t>1</w:t>
            </w:r>
          </w:p>
        </w:tc>
        <w:tc>
          <w:tcPr>
            <w:tcW w:w="40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7.07%</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Weighted-Average Life (in years)</w:t>
            </w:r>
          </w:p>
        </w:tc>
        <w:tc>
          <w:tcPr>
            <w:tcW w:w="4060" w:type="dxa"/>
            <w:vAlign w:val="bottom"/>
          </w:tcPr>
          <w:p>
            <w:pPr>
              <w:jc w:val="right"/>
              <w:ind w:right="319"/>
              <w:spacing w:after="0"/>
              <w:rPr>
                <w:sz w:val="20"/>
                <w:szCs w:val="20"/>
                <w:color w:val="auto"/>
              </w:rPr>
            </w:pPr>
            <w:r>
              <w:rPr>
                <w:rFonts w:ascii="Arial" w:cs="Arial" w:eastAsia="Arial" w:hAnsi="Arial"/>
                <w:sz w:val="16"/>
                <w:szCs w:val="16"/>
                <w:color w:val="auto"/>
              </w:rPr>
              <w:t>7.78</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7.09</w:t>
            </w:r>
          </w:p>
        </w:tc>
      </w:tr>
      <w:tr>
        <w:trPr>
          <w:trHeight w:val="33"/>
        </w:trPr>
        <w:tc>
          <w:tcPr>
            <w:tcW w:w="59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Note Rate</w:t>
            </w:r>
          </w:p>
        </w:tc>
        <w:tc>
          <w:tcPr>
            <w:tcW w:w="40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311"/>
        </w:trPr>
        <w:tc>
          <w:tcPr>
            <w:tcW w:w="5980" w:type="dxa"/>
            <w:vAlign w:val="bottom"/>
          </w:tcPr>
          <w:p>
            <w:pPr>
              <w:spacing w:after="0"/>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2</w:t>
            </w:r>
          </w:p>
        </w:tc>
        <w:tc>
          <w:tcPr>
            <w:tcW w:w="4060" w:type="dxa"/>
            <w:vAlign w:val="bottom"/>
          </w:tcPr>
          <w:p>
            <w:pPr>
              <w:jc w:val="right"/>
              <w:ind w:right="179"/>
              <w:spacing w:after="0"/>
              <w:rPr>
                <w:sz w:val="20"/>
                <w:szCs w:val="20"/>
                <w:color w:val="auto"/>
              </w:rPr>
            </w:pPr>
            <w:r>
              <w:rPr>
                <w:rFonts w:ascii="Arial" w:cs="Arial" w:eastAsia="Arial" w:hAnsi="Arial"/>
                <w:sz w:val="16"/>
                <w:szCs w:val="16"/>
                <w:color w:val="auto"/>
              </w:rPr>
              <w:t>9.77%</w:t>
            </w:r>
          </w:p>
        </w:tc>
        <w:tc>
          <w:tcPr>
            <w:tcW w:w="1380" w:type="dxa"/>
            <w:vAlign w:val="bottom"/>
          </w:tcPr>
          <w:p>
            <w:pPr>
              <w:jc w:val="right"/>
              <w:spacing w:after="0"/>
              <w:rPr>
                <w:sz w:val="20"/>
                <w:szCs w:val="20"/>
                <w:color w:val="auto"/>
              </w:rPr>
            </w:pPr>
            <w:r>
              <w:rPr>
                <w:rFonts w:ascii="Arial" w:cs="Arial" w:eastAsia="Arial" w:hAnsi="Arial"/>
                <w:sz w:val="16"/>
                <w:szCs w:val="16"/>
                <w:color w:val="auto"/>
              </w:rPr>
              <w:t>8.87%</w:t>
            </w:r>
          </w:p>
        </w:tc>
      </w:tr>
    </w:tbl>
    <w:p>
      <w:pPr>
        <w:spacing w:after="0" w:line="156" w:lineRule="exact"/>
        <w:rPr>
          <w:sz w:val="20"/>
          <w:szCs w:val="20"/>
          <w:color w:val="auto"/>
        </w:rPr>
      </w:pP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annualized loan prepayment rate assumption.</w:t>
      </w:r>
    </w:p>
    <w:p>
      <w:pPr>
        <w:spacing w:after="0" w:line="13" w:lineRule="exact"/>
        <w:rPr>
          <w:sz w:val="20"/>
          <w:szCs w:val="20"/>
          <w:color w:val="auto"/>
        </w:rPr>
      </w:pPr>
    </w:p>
    <w:p>
      <w:pPr>
        <w:ind w:left="80" w:hanging="72"/>
        <w:spacing w:after="0"/>
        <w:tabs>
          <w:tab w:leader="none" w:pos="80" w:val="left"/>
        </w:tabs>
        <w:numPr>
          <w:ilvl w:val="0"/>
          <w:numId w:val="12"/>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sensitivity analysis of the Company’s fair value of mortgage servicing rights to changes in certain key assumptions as of March 31, 2018 and December 31, 2017 is presented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Constant Prepayment Rate</w:t>
            </w:r>
          </w:p>
        </w:tc>
        <w:tc>
          <w:tcPr>
            <w:tcW w:w="2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440" w:type="dxa"/>
            <w:vAlign w:val="bottom"/>
          </w:tcPr>
          <w:p>
            <w:pPr>
              <w:ind w:left="180"/>
              <w:spacing w:after="0"/>
              <w:rPr>
                <w:sz w:val="20"/>
                <w:szCs w:val="20"/>
                <w:color w:val="auto"/>
              </w:rPr>
            </w:pPr>
            <w:r>
              <w:rPr>
                <w:rFonts w:ascii="Arial" w:cs="Arial" w:eastAsia="Arial" w:hAnsi="Arial"/>
                <w:sz w:val="16"/>
                <w:szCs w:val="16"/>
                <w:color w:val="auto"/>
              </w:rPr>
              <w:t>Decrease in fair value from 25 basis points (“bps”) adverse change</w:t>
            </w:r>
          </w:p>
        </w:tc>
        <w:tc>
          <w:tcPr>
            <w:tcW w:w="22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(360)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33"/>
        </w:trPr>
        <w:tc>
          <w:tcPr>
            <w:tcW w:w="64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(717)</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2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4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25 bps adverse change</w:t>
            </w:r>
          </w:p>
        </w:tc>
        <w:tc>
          <w:tcPr>
            <w:tcW w:w="2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(314)</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37"/>
        </w:trPr>
        <w:tc>
          <w:tcPr>
            <w:tcW w:w="6440" w:type="dxa"/>
            <w:vAlign w:val="bottom"/>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2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(621)</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(572)</w:t>
            </w:r>
          </w:p>
        </w:tc>
      </w:tr>
    </w:tbl>
    <w:p>
      <w:pPr>
        <w:spacing w:after="0" w:line="23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Affordable Housing Projects Tax Credit Partnerships</w:t>
      </w:r>
    </w:p>
    <w:p>
      <w:pPr>
        <w:spacing w:after="0" w:line="243"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The Company makes equity investments in various limited partnerships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 limited partnerships include the identification, development, and operation of multi-family housing that is leased to qualifying residential tenants. Generally, these types of investments are funded through a combination of debt and equity.</w:t>
      </w:r>
    </w:p>
    <w:p>
      <w:pPr>
        <w:spacing w:after="0" w:line="17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is a limited partner in each LIHTC limited partnership. Each limited partnership is managed by an unrelated third party general partner who exercises significant control over the affairs of the limited partnership. The general partner has all the rights, powers and authority granted or permitted to be granted to a general partner of a limited partnership. Duties entrusted to the general partner of each limited partnership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w:t>
      </w:r>
    </w:p>
    <w:p>
      <w:pPr>
        <w:sectPr>
          <w:pgSz w:w="11900" w:h="16838" w:orient="portrait"/>
          <w:cols w:equalWidth="0" w:num="1">
            <w:col w:w="11420"/>
          </w:cols>
          <w:pgMar w:left="240" w:top="130"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tax elections, bank accounts, insurance, litigation, cash reserve, and use of working capital reserve funds. Except for limited rights granted to the limited partner(s) relating to the approval of certain transactions, the limited partner(s) may not participate in the operation, management, or control of the limited partnership’s business, transact any business in the limited partnership’s name or have any power to sign documents for or otherwise bind the limited partnership. In addition, the general partner may only be removed by the limited partner(s) in the event the general partner fails to comply with the terms of the agreement or is negligent in performing its duties.</w:t>
      </w:r>
    </w:p>
    <w:p>
      <w:pPr>
        <w:spacing w:after="0" w:line="188"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general partner of each limited partnership has both the power to direct the activities which most significantly affect the performance of each partnership and the obligation to absorb losses or the right to receive benefits that could be significant to the entities. Therefore, the Company has determined that it is not the primary beneficiary of any LIHTC partnership. The Company uses the effective yield method to account for its pre-2015 investments in these entities.</w:t>
      </w:r>
    </w:p>
    <w:p>
      <w:pPr>
        <w:ind w:right="80"/>
        <w:spacing w:after="0" w:line="302" w:lineRule="auto"/>
        <w:rPr>
          <w:sz w:val="20"/>
          <w:szCs w:val="20"/>
          <w:color w:val="auto"/>
        </w:rPr>
      </w:pPr>
      <w:r>
        <w:rPr>
          <w:rFonts w:ascii="Arial" w:cs="Arial" w:eastAsia="Arial" w:hAnsi="Arial"/>
          <w:sz w:val="16"/>
          <w:szCs w:val="16"/>
          <w:color w:val="auto"/>
        </w:rPr>
        <w:t>Beginning January 1, 2015, any new investments that meet the requirements of the proportional amortization method are recognized using the proportional amortization method. The Company’s net affordable housing tax credit investments and related unfunded commitments were $71.3 million and $71.7 million as of March 31, 2018 and December 31, 2017, respectively, and are included in other assets in the consolidated statements of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 expected payments for unfunded affordable housing commitments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3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11,147</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2019</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2,893</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2021</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802</w:t>
            </w:r>
          </w:p>
        </w:tc>
      </w:tr>
      <w:tr>
        <w:trPr>
          <w:trHeight w:val="33"/>
        </w:trPr>
        <w:tc>
          <w:tcPr>
            <w:tcW w:w="61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Unfunded Commitments</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14,953</w:t>
            </w:r>
          </w:p>
        </w:tc>
      </w:tr>
      <w:tr>
        <w:trPr>
          <w:trHeight w:val="20"/>
        </w:trPr>
        <w:tc>
          <w:tcPr>
            <w:tcW w:w="612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tax credits and other tax benefits recognized and amortization expense related to affordable housing for the three months ended March 31, 2018 and 2017.</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Effective Yield Method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Tax credits and other tax benefits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Amortization Expense in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33020</wp:posOffset>
            </wp:positionV>
            <wp:extent cx="1586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r>
      <w:tr>
        <w:trPr>
          <w:trHeight w:val="554"/>
        </w:trPr>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3,432</w:t>
            </w:r>
          </w:p>
        </w:tc>
        <w:tc>
          <w:tcPr>
            <w:tcW w:w="5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3,430</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2,078</w:t>
            </w:r>
          </w:p>
        </w:tc>
        <w:tc>
          <w:tcPr>
            <w:tcW w:w="5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2,161</w:t>
            </w:r>
          </w:p>
        </w:tc>
      </w:tr>
    </w:tbl>
    <w:p>
      <w:pPr>
        <w:spacing w:after="0" w:line="200" w:lineRule="exact"/>
        <w:rPr>
          <w:sz w:val="20"/>
          <w:szCs w:val="20"/>
          <w:color w:val="auto"/>
        </w:rPr>
      </w:pPr>
    </w:p>
    <w:p>
      <w:pPr>
        <w:sectPr>
          <w:pgSz w:w="11900" w:h="16838" w:orient="portrait"/>
          <w:cols w:equalWidth="0" w:num="2">
            <w:col w:w="8220" w:space="720"/>
            <w:col w:w="2480"/>
          </w:cols>
          <w:pgMar w:left="240" w:top="130" w:right="239" w:bottom="1440" w:gutter="0" w:footer="0" w:header="0"/>
          <w:type w:val="continuous"/>
        </w:sectPr>
      </w:pP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Proportional Amortization Method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4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3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410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320</w:t>
            </w:r>
          </w:p>
        </w:tc>
      </w:tr>
      <w:tr>
        <w:trPr>
          <w:trHeight w:val="33"/>
        </w:trPr>
        <w:tc>
          <w:tcPr>
            <w:tcW w:w="63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6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30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333</w:t>
            </w:r>
          </w:p>
        </w:tc>
        <w:tc>
          <w:tcPr>
            <w:tcW w:w="6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r>
      <w:tr>
        <w:trPr>
          <w:trHeight w:val="33"/>
        </w:trPr>
        <w:tc>
          <w:tcPr>
            <w:tcW w:w="63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There were no impairment losses related to LIHTC investments during the three months ended March 31, 2018 and 2017. During the first quarter 2018 the Company recorded a $2.0 million adjustment to increase its LIHTC investments. This adjustment resulted in a decrease to provision for income tax.</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Offsetting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 (“Swap Agreements”)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enters into swap agreements to facilitate the risk management strategies of a small number of commercial banking customers. The Company mitigates the risk of entering into these agreements by entering into equal and offsetting swap agreements with highly-rated third 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or</w:t>
      </w:r>
    </w:p>
    <w:p>
      <w:pPr>
        <w:sectPr>
          <w:pgSz w:w="11900" w:h="16838" w:orient="portrait"/>
          <w:cols w:equalWidth="0" w:num="1">
            <w:col w:w="11420"/>
          </w:cols>
          <w:pgMar w:left="240" w:top="130" w:right="23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marketable securities, is posted by the party (i.e., the Company or the financial institution counterparty) with net liability positions in accordance with contract thresholds. The Company had net liability positions with its financial institution counterparties totaling $0.7 million and $3.2 million as of March 31, 2018 and December 31, 2017, respectively. See Note 12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Parties to a centrally cleared over-the-counter derivative exchange daily payments that reflect the daily change in value of the derivative. Effective 2017, these payments, commonly referred to as variation margin, are recorded as settlements of the derivatives’ mark-to-market exposure rather than collateral against the exposures. This rule change effectively results in any centrally cleared derivative having a fair value that approximates zero on a daily basis, and therefore, these swap agreements were not included in the offsetting table at the end of this section. See Note 12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 (“Repurchase Agreements”)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 party financial institution in the counterparty’s custodial account. The counterparty has the right to sell or repledge the investment securities. For government entity repurchase agreements, the collateral is held by the Company 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the remaining contractual maturities of the Company’s repurchase agreements as of March 31, 2018 and December 31, 2017, disaggregated by the class of collateral pledged.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gridSpan w:val="8"/>
          </w:tcPr>
          <w:p>
            <w:pPr>
              <w:jc w:val="right"/>
              <w:spacing w:after="0"/>
              <w:rPr>
                <w:sz w:val="20"/>
                <w:szCs w:val="20"/>
                <w:color w:val="auto"/>
              </w:rPr>
            </w:pPr>
            <w:r>
              <w:rPr>
                <w:rFonts w:ascii="Arial" w:cs="Arial" w:eastAsia="Arial" w:hAnsi="Arial"/>
                <w:sz w:val="16"/>
                <w:szCs w:val="16"/>
                <w:b w:val="1"/>
                <w:bCs w:val="1"/>
                <w:color w:val="auto"/>
              </w:rPr>
              <w:t>Remaining Contractual Maturity of Repurchase Agreements</w:t>
            </w:r>
          </w:p>
        </w:tc>
        <w:tc>
          <w:tcPr>
            <w:tcW w:w="62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b w:val="1"/>
                <w:bCs w:val="1"/>
                <w:color w:val="auto"/>
              </w:rPr>
              <w:t>Up to</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b w:val="1"/>
                <w:bCs w:val="1"/>
                <w:color w:val="auto"/>
              </w:rPr>
              <w:t>After</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7"/>
        </w:trPr>
        <w:tc>
          <w:tcPr>
            <w:tcW w:w="58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90 days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w w:val="88"/>
              </w:rPr>
              <w:t>91-365 days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1-3 Years</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 Years</w:t>
            </w: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Total</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March 31, 2018</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118,227</w:t>
            </w:r>
          </w:p>
        </w:tc>
        <w:tc>
          <w:tcPr>
            <w:tcW w:w="3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193,803</w:t>
            </w:r>
          </w:p>
        </w:tc>
        <w:tc>
          <w:tcPr>
            <w:tcW w:w="4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2"/>
              </w:rPr>
              <w:t>312,030</w:t>
            </w: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1,803</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2,690</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4,493</w:t>
            </w: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5840" w:type="dxa"/>
            <w:vAlign w:val="bottom"/>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800</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55,046</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44,868</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2"/>
              </w:rPr>
              <w:t>100,714</w:t>
            </w:r>
          </w:p>
        </w:tc>
      </w:tr>
      <w:tr>
        <w:trPr>
          <w:trHeight w:val="270"/>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51,727</w:t>
            </w: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36,329</w:t>
            </w:r>
          </w:p>
        </w:tc>
        <w:tc>
          <w:tcPr>
            <w:tcW w:w="4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88,056</w:t>
            </w:r>
          </w:p>
        </w:tc>
      </w:tr>
      <w:tr>
        <w:trPr>
          <w:trHeight w:val="304"/>
        </w:trPr>
        <w:tc>
          <w:tcPr>
            <w:tcW w:w="58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1,803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3,490</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225,000</w:t>
            </w:r>
          </w:p>
        </w:tc>
        <w:tc>
          <w:tcPr>
            <w:tcW w:w="3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275,000</w:t>
            </w:r>
          </w:p>
        </w:tc>
        <w:tc>
          <w:tcPr>
            <w:tcW w:w="4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2"/>
              </w:rPr>
              <w:t>505,293</w:t>
            </w:r>
          </w:p>
        </w:tc>
      </w:tr>
      <w:tr>
        <w:trPr>
          <w:trHeight w:val="160"/>
        </w:trPr>
        <w:tc>
          <w:tcPr>
            <w:tcW w:w="5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110,392</w:t>
            </w:r>
          </w:p>
        </w:tc>
        <w:tc>
          <w:tcPr>
            <w:tcW w:w="3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202,484</w:t>
            </w:r>
          </w:p>
        </w:tc>
        <w:tc>
          <w:tcPr>
            <w:tcW w:w="48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2"/>
              </w:rPr>
              <w:t>312,876</w:t>
            </w: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1,200</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2,590</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3,790</w:t>
            </w: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1,503</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18,793</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80,960</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2"/>
              </w:rPr>
              <w:t>101,256</w:t>
            </w:r>
          </w:p>
        </w:tc>
      </w:tr>
      <w:tr>
        <w:trPr>
          <w:trHeight w:val="266"/>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20,815</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66,556</w:t>
            </w:r>
          </w:p>
        </w:tc>
        <w:tc>
          <w:tcPr>
            <w:tcW w:w="4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87,371</w:t>
            </w:r>
          </w:p>
        </w:tc>
      </w:tr>
      <w:tr>
        <w:trPr>
          <w:trHeight w:val="264"/>
        </w:trPr>
        <w:tc>
          <w:tcPr>
            <w:tcW w:w="5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rPr>
              <w:t>2,703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2,590</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150,000</w:t>
            </w: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350,000</w:t>
            </w:r>
          </w:p>
        </w:tc>
        <w:tc>
          <w:tcPr>
            <w:tcW w:w="4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2"/>
              </w:rPr>
              <w:t>505,293</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the assets and liabilities subject to an enforceable master netting arrangement, or repurchase agreements, as of March 31, 2018 and December 31, 2017. The swap agreements we have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(ii)</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(iii) = (i)-(ii)</w:t>
            </w:r>
          </w:p>
        </w:tc>
        <w:tc>
          <w:tcPr>
            <w:tcW w:w="180" w:type="dxa"/>
            <w:vAlign w:val="bottom"/>
          </w:tcPr>
          <w:p>
            <w:pPr>
              <w:spacing w:after="0"/>
              <w:rPr>
                <w:sz w:val="18"/>
                <w:szCs w:val="18"/>
                <w:color w:val="auto"/>
              </w:rPr>
            </w:pPr>
          </w:p>
        </w:tc>
        <w:tc>
          <w:tcPr>
            <w:tcW w:w="1400" w:type="dxa"/>
            <w:vAlign w:val="bottom"/>
          </w:tcPr>
          <w:p>
            <w:pPr>
              <w:jc w:val="center"/>
              <w:ind w:left="999"/>
              <w:spacing w:after="0"/>
              <w:rPr>
                <w:sz w:val="20"/>
                <w:szCs w:val="20"/>
                <w:color w:val="auto"/>
              </w:rPr>
            </w:pPr>
            <w:r>
              <w:rPr>
                <w:rFonts w:ascii="Arial" w:cs="Arial" w:eastAsia="Arial" w:hAnsi="Arial"/>
                <w:sz w:val="16"/>
                <w:szCs w:val="16"/>
                <w:b w:val="1"/>
                <w:bCs w:val="1"/>
                <w:color w:val="auto"/>
                <w:w w:val="99"/>
              </w:rPr>
              <w:t>(iv)</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(v) = (iii)-(iv)</w:t>
            </w:r>
          </w:p>
        </w:tc>
      </w:tr>
      <w:tr>
        <w:trPr>
          <w:trHeight w:val="33"/>
        </w:trPr>
        <w:tc>
          <w:tcPr>
            <w:tcW w:w="2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9"/>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Gross Amounts Not Offset in the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w w:val="90"/>
              </w:rPr>
              <w:t>Statements of Condition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9"/>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Netting</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Gross Amounts</w:t>
            </w: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4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Net Amounts</w:t>
            </w:r>
          </w:p>
        </w:tc>
        <w:tc>
          <w:tcPr>
            <w:tcW w:w="18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Recognized in the</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Offset in the</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Presented in the</w:t>
            </w:r>
          </w:p>
        </w:tc>
        <w:tc>
          <w:tcPr>
            <w:tcW w:w="18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3"/>
              </w:rPr>
              <w:t>per Master</w:t>
            </w: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Fair Value of</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Statements</w:t>
            </w:r>
          </w:p>
        </w:tc>
        <w:tc>
          <w:tcPr>
            <w:tcW w:w="18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Netting</w:t>
            </w: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Collateral</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4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1"/>
              </w:rPr>
              <w:t>of Condition</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of Condition</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3"/>
              </w:rPr>
              <w:t>of Condition</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2"/>
              </w:rPr>
              <w:t>Arrangements</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8"/>
              </w:rPr>
              <w:t xml:space="preserve">Pledged </w:t>
            </w:r>
            <w:r>
              <w:rPr>
                <w:rFonts w:ascii="Arial" w:cs="Arial" w:eastAsia="Arial" w:hAnsi="Arial"/>
                <w:sz w:val="21"/>
                <w:szCs w:val="21"/>
                <w:b w:val="1"/>
                <w:bCs w:val="1"/>
                <w:color w:val="auto"/>
                <w:w w:val="88"/>
                <w:vertAlign w:val="superscript"/>
              </w:rPr>
              <w:t>1</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Net Amount</w:t>
            </w: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10,440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10,440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1,898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770</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7,772</w:t>
            </w: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1,898</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5,293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5,293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505,293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505,293</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8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5,453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5,453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4,017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1,436</w:t>
            </w: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4,017</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5,293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5,293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505,293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505,293</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2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89" w:lineRule="exact"/>
        <w:rPr>
          <w:sz w:val="20"/>
          <w:szCs w:val="20"/>
          <w:color w:val="auto"/>
        </w:rPr>
      </w:pPr>
    </w:p>
    <w:p>
      <w:pPr>
        <w:ind w:left="80" w:right="40" w:hanging="72"/>
        <w:spacing w:after="0" w:line="252" w:lineRule="auto"/>
        <w:tabs>
          <w:tab w:leader="none" w:pos="66"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application of collateral cannot reduce the net amount below zero. Therefore, excess collateral is not reflected in this table. For swap agreements with institutional counterparties, the fair value of investment securities pledged to the institutional counterparties was $0.4 million and $3.5 million as of March 31, 2018 and December 31, 2017, respectively. For repurchase agreements with private institutions, the fair value of investment securities pledged was $546.9 million and $563.3 million as of March 31, 2018 and December 31, 2017, respectively. For repurchase agreements with government entities, the fair value of investment securities pledged was $6.9 million as of March 31, 2018 and December 31, 2017.</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30"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other comprehensive income (loss) for the three months ended March 31, 2018 and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w w:val="98"/>
              </w:rPr>
              <w:t>Before Tax</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Tax Effect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Net of Tax</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2018</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(13,057)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(9,605)</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659</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175</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484</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18"/>
              <w:spacing w:after="0"/>
              <w:rPr>
                <w:sz w:val="20"/>
                <w:szCs w:val="20"/>
                <w:color w:val="auto"/>
              </w:rPr>
            </w:pPr>
            <w:r>
              <w:rPr>
                <w:rFonts w:ascii="Arial" w:cs="Arial" w:eastAsia="Arial" w:hAnsi="Arial"/>
                <w:sz w:val="16"/>
                <w:szCs w:val="16"/>
                <w:color w:val="auto"/>
              </w:rPr>
              <w:t>(12,398)</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(3,277)</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(9,121)</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8"/>
              <w:spacing w:after="0"/>
              <w:rPr>
                <w:sz w:val="20"/>
                <w:szCs w:val="20"/>
                <w:color w:val="auto"/>
              </w:rPr>
            </w:pPr>
            <w:r>
              <w:rPr>
                <w:rFonts w:ascii="Arial" w:cs="Arial" w:eastAsia="Arial" w:hAnsi="Arial"/>
                <w:sz w:val="16"/>
                <w:szCs w:val="16"/>
                <w:color w:val="auto"/>
              </w:rPr>
              <w:t>436</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116</w:t>
            </w:r>
          </w:p>
        </w:tc>
        <w:tc>
          <w:tcPr>
            <w:tcW w:w="30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320</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(142)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rPr>
              <w:t>294</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78</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216</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(12,104)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(3,199)</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(8,905)</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2017</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7,580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2,991</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4,589</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504</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199</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305</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78"/>
              <w:spacing w:after="0"/>
              <w:rPr>
                <w:sz w:val="20"/>
                <w:szCs w:val="20"/>
                <w:color w:val="auto"/>
              </w:rPr>
            </w:pPr>
            <w:r>
              <w:rPr>
                <w:rFonts w:ascii="Arial" w:cs="Arial" w:eastAsia="Arial" w:hAnsi="Arial"/>
                <w:sz w:val="16"/>
                <w:szCs w:val="16"/>
                <w:color w:val="auto"/>
              </w:rPr>
              <w:t>8,084</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3,190</w:t>
            </w:r>
          </w:p>
        </w:tc>
        <w:tc>
          <w:tcPr>
            <w:tcW w:w="30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4,894</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8"/>
              <w:spacing w:after="0"/>
              <w:rPr>
                <w:sz w:val="20"/>
                <w:szCs w:val="20"/>
                <w:color w:val="auto"/>
              </w:rPr>
            </w:pPr>
            <w:r>
              <w:rPr>
                <w:rFonts w:ascii="Arial" w:cs="Arial" w:eastAsia="Arial" w:hAnsi="Arial"/>
                <w:sz w:val="16"/>
                <w:szCs w:val="16"/>
                <w:color w:val="auto"/>
              </w:rPr>
              <w:t>323</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128</w:t>
            </w:r>
          </w:p>
        </w:tc>
        <w:tc>
          <w:tcPr>
            <w:tcW w:w="30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195</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(81)</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rPr>
              <w:t>242</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96</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146</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8,326</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3,286</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5,040</w:t>
            </w:r>
          </w:p>
        </w:tc>
      </w:tr>
      <w:tr>
        <w:trPr>
          <w:trHeight w:val="20"/>
        </w:trPr>
        <w:tc>
          <w:tcPr>
            <w:tcW w:w="7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80" w:right="400" w:hanging="72"/>
        <w:spacing w:after="0" w:line="273" w:lineRule="auto"/>
        <w:tabs>
          <w:tab w:leader="none" w:pos="80" w:val="left"/>
        </w:tabs>
        <w:numPr>
          <w:ilvl w:val="0"/>
          <w:numId w:val="14"/>
        </w:numPr>
        <w:rPr>
          <w:rFonts w:ascii="Arial" w:cs="Arial" w:eastAsia="Arial" w:hAnsi="Arial"/>
          <w:sz w:val="9"/>
          <w:szCs w:val="9"/>
          <w:color w:val="auto"/>
        </w:rPr>
      </w:pPr>
      <w:r>
        <w:rPr>
          <w:rFonts w:ascii="Arial" w:cs="Arial" w:eastAsia="Arial" w:hAnsi="Arial"/>
          <w:sz w:val="14"/>
          <w:szCs w:val="14"/>
          <w:color w:val="auto"/>
        </w:rPr>
        <w:t>The amount relates to the amortization/accretion of unrealized net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changes in each component of accumulated other comprehensive income (loss), net of tax,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Accumulated</w:t>
            </w:r>
          </w:p>
        </w:tc>
      </w:t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16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Securities-Held-to-</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Defined Benefit</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Comprehensive</w:t>
            </w:r>
          </w:p>
        </w:tc>
      </w:tr>
      <w:tr>
        <w:trPr>
          <w:trHeight w:val="237"/>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96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Available-for-Sale</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Maturity</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Plans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Income (Loss)</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2018</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Pr>
          <w:p>
            <w:pPr>
              <w:ind w:left="5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(1,915)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(27,715)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(34,715)</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(9,605)</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(9,605)</w:t>
            </w:r>
          </w:p>
        </w:tc>
      </w:tr>
      <w:tr>
        <w:trPr>
          <w:trHeight w:val="220"/>
        </w:trPr>
        <w:tc>
          <w:tcPr>
            <w:tcW w:w="486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6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484</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216</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700</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(9,605)</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(8,905)</w:t>
            </w:r>
          </w:p>
        </w:tc>
      </w:tr>
      <w:tr>
        <w:trPr>
          <w:trHeight w:val="220"/>
        </w:trPr>
        <w:tc>
          <w:tcPr>
            <w:tcW w:w="4860" w:type="dxa"/>
            <w:vAlign w:val="bottom"/>
          </w:tcPr>
          <w:p>
            <w:pPr>
              <w:ind w:left="40"/>
              <w:spacing w:after="0"/>
              <w:rPr>
                <w:sz w:val="20"/>
                <w:szCs w:val="20"/>
                <w:color w:val="auto"/>
              </w:rPr>
            </w:pPr>
            <w:r>
              <w:rPr>
                <w:rFonts w:ascii="Arial" w:cs="Arial" w:eastAsia="Arial" w:hAnsi="Arial"/>
                <w:sz w:val="16"/>
                <w:szCs w:val="16"/>
                <w:color w:val="auto"/>
              </w:rPr>
              <w:t>Reclassification of the Income Tax Effects of the</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60" w:type="dxa"/>
            <w:vAlign w:val="bottom"/>
          </w:tcPr>
          <w:p>
            <w:pPr>
              <w:ind w:left="40"/>
              <w:spacing w:after="0"/>
              <w:rPr>
                <w:sz w:val="20"/>
                <w:szCs w:val="20"/>
                <w:color w:val="auto"/>
              </w:rPr>
            </w:pPr>
            <w:r>
              <w:rPr>
                <w:rFonts w:ascii="Arial" w:cs="Arial" w:eastAsia="Arial" w:hAnsi="Arial"/>
                <w:sz w:val="16"/>
                <w:szCs w:val="16"/>
                <w:color w:val="auto"/>
              </w:rPr>
              <w:t>Tax Cuts and Jobs Act from AOCI</w:t>
            </w:r>
          </w:p>
        </w:tc>
        <w:tc>
          <w:tcPr>
            <w:tcW w:w="8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(412)</w:t>
            </w:r>
          </w:p>
        </w:tc>
        <w:tc>
          <w:tcPr>
            <w:tcW w:w="4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(1,096)</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(5,969)</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(7,477)</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(11,932)</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(33,468)</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(51,097)</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2017</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Pr>
          <w:p>
            <w:pPr>
              <w:ind w:left="5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1,270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(6,284)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(28,892)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(33,906)</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4,589</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4,589</w:t>
            </w:r>
          </w:p>
        </w:tc>
      </w:tr>
      <w:tr>
        <w:trPr>
          <w:trHeight w:val="220"/>
        </w:trPr>
        <w:tc>
          <w:tcPr>
            <w:tcW w:w="486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6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305</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146</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451</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4,589</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305</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5,040</w:t>
            </w:r>
          </w:p>
        </w:tc>
      </w:tr>
      <w:tr>
        <w:trPr>
          <w:trHeight w:val="23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5,859</w:t>
            </w:r>
          </w:p>
        </w:tc>
        <w:tc>
          <w:tcPr>
            <w:tcW w:w="4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(5,979)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(28,746)</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(28,866)</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622"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0" w:right="239" w:bottom="622"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amounts reclassified out of each component of accumulated other comprehensive income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r>
      <w:tr>
        <w:trPr>
          <w:trHeight w:val="20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Details about Accumulated Other</w:t>
            </w:r>
          </w:p>
        </w:tc>
        <w:tc>
          <w:tcPr>
            <w:tcW w:w="140" w:type="dxa"/>
            <w:vAlign w:val="bottom"/>
          </w:tcPr>
          <w:p>
            <w:pPr>
              <w:spacing w:after="0"/>
              <w:rPr>
                <w:sz w:val="17"/>
                <w:szCs w:val="17"/>
                <w:color w:val="auto"/>
              </w:rPr>
            </w:pPr>
          </w:p>
        </w:tc>
        <w:tc>
          <w:tcPr>
            <w:tcW w:w="33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2"/>
              </w:rPr>
              <w:t>Amount Reclassified from Accumulated Other</w:t>
            </w:r>
          </w:p>
        </w:tc>
        <w:tc>
          <w:tcPr>
            <w:tcW w:w="2280" w:type="dxa"/>
            <w:vAlign w:val="bottom"/>
          </w:tcPr>
          <w:p>
            <w:pPr>
              <w:ind w:left="40"/>
              <w:spacing w:after="0"/>
              <w:rPr>
                <w:sz w:val="20"/>
                <w:szCs w:val="20"/>
                <w:color w:val="auto"/>
              </w:rPr>
            </w:pPr>
            <w:r>
              <w:rPr>
                <w:rFonts w:ascii="Arial" w:cs="Arial" w:eastAsia="Arial" w:hAnsi="Arial"/>
                <w:sz w:val="16"/>
                <w:szCs w:val="16"/>
                <w:b w:val="1"/>
                <w:bCs w:val="1"/>
                <w:color w:val="auto"/>
                <w:w w:val="92"/>
              </w:rPr>
              <w:t>Statement Where Net Income Is</w:t>
            </w:r>
          </w:p>
        </w:tc>
      </w:tr>
      <w:tr>
        <w:trPr>
          <w:trHeight w:val="24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 Components</w:t>
            </w: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7"/>
                <w:szCs w:val="17"/>
                <w:b w:val="1"/>
                <w:bCs w:val="1"/>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Presented</w:t>
            </w:r>
          </w:p>
        </w:tc>
      </w:tr>
      <w:tr>
        <w:trPr>
          <w:trHeight w:val="232"/>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4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80" w:type="dxa"/>
            <w:vAlign w:val="bottom"/>
            <w:tcBorders>
              <w:bottom w:val="single" w:sz="8" w:color="CCEEFF"/>
            </w:tcBorders>
          </w:tcPr>
          <w:p>
            <w:pPr>
              <w:spacing w:after="0"/>
              <w:rPr>
                <w:sz w:val="21"/>
                <w:szCs w:val="21"/>
                <w:color w:val="auto"/>
              </w:rPr>
            </w:pPr>
          </w:p>
        </w:tc>
      </w:tr>
      <w:tr>
        <w:trPr>
          <w:trHeight w:val="219"/>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Unrealized Holding Gains (Losses) on</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1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2280" w:type="dxa"/>
            <w:vAlign w:val="bottom"/>
          </w:tcPr>
          <w:p>
            <w:pPr>
              <w:ind w:left="20"/>
              <w:spacing w:after="0"/>
              <w:rPr>
                <w:sz w:val="20"/>
                <w:szCs w:val="20"/>
                <w:color w:val="auto"/>
              </w:rPr>
            </w:pPr>
            <w:r>
              <w:rPr>
                <w:rFonts w:ascii="Arial" w:cs="Arial" w:eastAsia="Arial" w:hAnsi="Arial"/>
                <w:sz w:val="16"/>
                <w:szCs w:val="16"/>
                <w:color w:val="auto"/>
              </w:rPr>
              <w:t>Provision for Income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Defined Benefit Plan Items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69"/>
        </w:trPr>
        <w:tc>
          <w:tcPr>
            <w:tcW w:w="5620" w:type="dxa"/>
            <w:vAlign w:val="bottom"/>
          </w:tcPr>
          <w:p>
            <w:pPr>
              <w:ind w:left="28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16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2280" w:type="dxa"/>
            <w:vAlign w:val="bottom"/>
          </w:tcPr>
          <w:p>
            <w:pPr>
              <w:spacing w:after="0"/>
              <w:rPr>
                <w:sz w:val="23"/>
                <w:szCs w:val="23"/>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17"/>
                <w:szCs w:val="17"/>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2280" w:type="dxa"/>
            <w:vAlign w:val="bottom"/>
            <w:shd w:val="clear" w:color="auto" w:fill="CCEEFF"/>
          </w:tcPr>
          <w:p>
            <w:pPr>
              <w:spacing w:after="0"/>
              <w:rPr>
                <w:sz w:val="23"/>
                <w:szCs w:val="23"/>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(294)</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(242)</w:t>
            </w:r>
          </w:p>
        </w:tc>
        <w:tc>
          <w:tcPr>
            <w:tcW w:w="2280" w:type="dxa"/>
            <w:vAlign w:val="bottom"/>
          </w:tcPr>
          <w:p>
            <w:pPr>
              <w:ind w:left="20"/>
              <w:spacing w:after="0"/>
              <w:rPr>
                <w:sz w:val="20"/>
                <w:szCs w:val="20"/>
                <w:color w:val="auto"/>
              </w:rPr>
            </w:pPr>
            <w:r>
              <w:rPr>
                <w:rFonts w:ascii="Arial" w:cs="Arial" w:eastAsia="Arial" w:hAnsi="Arial"/>
                <w:sz w:val="16"/>
                <w:szCs w:val="16"/>
                <w:color w:val="auto"/>
              </w:rPr>
              <w:t>Total Before Tax</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64"/>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9"/>
          <w:szCs w:val="9"/>
          <w:color w:val="auto"/>
        </w:rPr>
      </w:pPr>
      <w:r>
        <w:rPr>
          <w:rFonts w:ascii="Arial" w:cs="Arial" w:eastAsia="Arial" w:hAnsi="Arial"/>
          <w:sz w:val="14"/>
          <w:szCs w:val="14"/>
          <w:color w:val="auto"/>
        </w:rPr>
        <w:t>Amounts in parentheses indicate reductions to net income.</w:t>
      </w:r>
    </w:p>
    <w:p>
      <w:pPr>
        <w:spacing w:after="0" w:line="13" w:lineRule="exact"/>
        <w:rPr>
          <w:sz w:val="20"/>
          <w:szCs w:val="20"/>
          <w:color w:val="auto"/>
        </w:rPr>
      </w:pPr>
    </w:p>
    <w:p>
      <w:pPr>
        <w:ind w:left="180" w:right="40" w:hanging="172"/>
        <w:spacing w:after="0" w:line="255" w:lineRule="auto"/>
        <w:tabs>
          <w:tab w:leader="none" w:pos="180" w:val="left"/>
        </w:tabs>
        <w:numPr>
          <w:ilvl w:val="0"/>
          <w:numId w:val="16"/>
        </w:numPr>
        <w:rPr>
          <w:rFonts w:ascii="Arial" w:cs="Arial" w:eastAsia="Arial" w:hAnsi="Arial"/>
          <w:sz w:val="9"/>
          <w:szCs w:val="9"/>
          <w:color w:val="auto"/>
        </w:rPr>
      </w:pPr>
      <w:r>
        <w:rPr>
          <w:rFonts w:ascii="Arial" w:cs="Arial" w:eastAsia="Arial" w:hAnsi="Arial"/>
          <w:sz w:val="14"/>
          <w:szCs w:val="14"/>
          <w:color w:val="auto"/>
        </w:rPr>
        <w:t xml:space="preserve">These accumulated other comprehensive income (loss) components are included in the computation of net periodic benefit cost and are included in Other Noninterest Expense on the consolidated statements of income (see Note 11 </w:t>
      </w:r>
      <w:r>
        <w:rPr>
          <w:rFonts w:ascii="Arial" w:cs="Arial" w:eastAsia="Arial" w:hAnsi="Arial"/>
          <w:sz w:val="14"/>
          <w:szCs w:val="14"/>
          <w:i w:val="1"/>
          <w:iCs w:val="1"/>
          <w:color w:val="auto"/>
        </w:rPr>
        <w:t>Pension Plans and Postretirement Benefit Plan</w:t>
      </w:r>
      <w:r>
        <w:rPr>
          <w:rFonts w:ascii="Arial" w:cs="Arial" w:eastAsia="Arial" w:hAnsi="Arial"/>
          <w:sz w:val="14"/>
          <w:szCs w:val="14"/>
          <w:color w:val="auto"/>
        </w:rPr>
        <w:t xml:space="preserve"> for additional details).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adjustments to net income, the numerator, for purposes of computing earnings per share. The following is a reconciliation of the weighted average number of common shares outstanding for computing diluted earnings per share and antidilutive stock options and restricted stock outstanding for the three months ended March 31, 2018 and 2017:</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296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460" w:type="dxa"/>
            <w:vAlign w:val="bottom"/>
          </w:tcPr>
          <w:p>
            <w:pPr>
              <w:spacing w:after="0"/>
              <w:rPr>
                <w:sz w:val="18"/>
                <w:szCs w:val="18"/>
                <w:color w:val="auto"/>
              </w:rPr>
            </w:pPr>
          </w:p>
        </w:tc>
        <w:tc>
          <w:tcPr>
            <w:tcW w:w="198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980" w:type="dxa"/>
            <w:vAlign w:val="bottom"/>
          </w:tcPr>
          <w:p>
            <w:pPr>
              <w:spacing w:after="0"/>
              <w:rPr>
                <w:sz w:val="18"/>
                <w:szCs w:val="18"/>
                <w:color w:val="auto"/>
              </w:rPr>
            </w:pPr>
          </w:p>
        </w:tc>
      </w:tr>
      <w:tr>
        <w:trPr>
          <w:trHeight w:val="33"/>
        </w:trPr>
        <w:tc>
          <w:tcPr>
            <w:tcW w:w="846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460" w:type="dxa"/>
            <w:vAlign w:val="bottom"/>
          </w:tcPr>
          <w:p>
            <w:pPr>
              <w:spacing w:after="0"/>
              <w:rPr>
                <w:sz w:val="20"/>
                <w:szCs w:val="20"/>
                <w:color w:val="auto"/>
              </w:rPr>
            </w:pPr>
          </w:p>
        </w:tc>
        <w:tc>
          <w:tcPr>
            <w:tcW w:w="1980" w:type="dxa"/>
            <w:vAlign w:val="bottom"/>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33"/>
        </w:trPr>
        <w:tc>
          <w:tcPr>
            <w:tcW w:w="84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Basic Earnings Per Share</w:t>
            </w:r>
          </w:p>
        </w:tc>
        <w:tc>
          <w:tcPr>
            <w:tcW w:w="19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42,038,573</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42,406,006</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Dilutive Effect of Equity Based Awards</w:t>
            </w:r>
          </w:p>
        </w:tc>
        <w:tc>
          <w:tcPr>
            <w:tcW w:w="1980" w:type="dxa"/>
            <w:vAlign w:val="bottom"/>
          </w:tcPr>
          <w:p>
            <w:pPr>
              <w:jc w:val="right"/>
              <w:ind w:right="639"/>
              <w:spacing w:after="0"/>
              <w:rPr>
                <w:sz w:val="20"/>
                <w:szCs w:val="20"/>
                <w:color w:val="auto"/>
              </w:rPr>
            </w:pPr>
            <w:r>
              <w:rPr>
                <w:rFonts w:ascii="Arial" w:cs="Arial" w:eastAsia="Arial" w:hAnsi="Arial"/>
                <w:sz w:val="16"/>
                <w:szCs w:val="16"/>
                <w:color w:val="auto"/>
              </w:rPr>
              <w:t>319,852</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343,860</w:t>
            </w:r>
          </w:p>
        </w:tc>
      </w:tr>
      <w:tr>
        <w:trPr>
          <w:trHeight w:val="33"/>
        </w:trPr>
        <w:tc>
          <w:tcPr>
            <w:tcW w:w="84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Denominator for Diluted Earnings Per Share</w:t>
            </w:r>
          </w:p>
        </w:tc>
        <w:tc>
          <w:tcPr>
            <w:tcW w:w="19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42,358,425</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42,749,866</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Antidilutive Stock Options and Restricted Stock Outstanding</w:t>
            </w:r>
          </w:p>
        </w:tc>
        <w:tc>
          <w:tcPr>
            <w:tcW w:w="19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137</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Company’s business segments are defined as Retail Banking, Commercial Banking, Investment Services and Private Banking,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6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w:t>
      </w:r>
    </w:p>
    <w:p>
      <w:pPr>
        <w:sectPr>
          <w:pgSz w:w="11900" w:h="16838" w:orient="portrait"/>
          <w:cols w:equalWidth="0" w:num="1">
            <w:col w:w="11420"/>
          </w:cols>
          <w:pgMar w:left="240" w:top="130"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0" w:right="23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other business segments have some latitude to retain certain interest rate exposures related to customer pricing decisions within guidelines.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provision for credit losses reflects the actual net charge-offs of the business segments. The amount of the consolidated provision for loan and lease losses is based on the methodology that we use to estimate our consolidated Allowance. The residual provision for credit losses to arrive at the consolidated provision for credit losses is included in Treasury and Other.</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provision for income taxes is allocated to business segments using a 26% effective income tax rate. However, the provision for income taxes for our Leasing business unit (included in the Commercial Banking segment) and Auto Leasing portfolio and Pacific Century Life Insurance business unit (both included in the Retail Banking segment) are assigned their actual effective income tax rates due to the unique relationship that income taxes have with their products. The residual income tax expense or benefit to arrive at the consolidated effective income tax rate is included in Treasury and Other.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Retail Banking offers a broad range of financial products and services to consumers and small businesses. Loan and lease products include residential mortgage loans, home equity lines of credit, automobile loans and leases, personal lines of credit, installment loans, small business loans and leases, and credit cards. Deposit products include checking, savings, and time deposit accounts. Retail Banking also offers some types of consumer insurance products. Products and services from Retail Banking are delivered to customers through 69 branch locations and 377 ATMs throughout Hawaii and the Pacific Islands, e-Bankoh (on-line banking service), a 24-hour customer service center, and a mobile banking service.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 and Private Banking</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Investment Services and Private Banking includes private banking and international client banking services, trust services, investment management, and institutional investment advisory services. A significant portion of this segment’s income is derived from fees, which are generally based on the market values of assets under management. The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Institutional client services offer investment advice to corporations, government entities, and foundations. This segment also provides a full service brokerage offering equities, mutual funds, life insurance, and annuity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130" w:right="29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Selected business segment financial information as of and for the three months ended March 31, 2018 and 2017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1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Services and</w:t>
            </w:r>
          </w:p>
        </w:tc>
        <w:tc>
          <w:tcPr>
            <w:tcW w:w="38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Treasury</w:t>
            </w:r>
          </w:p>
        </w:tc>
        <w:tc>
          <w:tcPr>
            <w:tcW w:w="28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Consolidated</w:t>
            </w:r>
          </w:p>
        </w:tc>
      </w:tr>
      <w:tr>
        <w:trPr>
          <w:trHeight w:val="237"/>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Retail Banking</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Banking</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Private Banking</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Other</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Three Months Ended March 31, 2018</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64,397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42,898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9,887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1,774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118,956</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3,743</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593</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4,125</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60,654</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43,049</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9,947</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1,181</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114,831</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19,253</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5,642</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13,670</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5,470</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44,035</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(54,599)</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(20,332)</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(16,207)</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(3,246)</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(94,384)</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25,308</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28,359</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7,410</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3,405</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64,482</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(6,291)</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(6,824)</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(1,954)</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4,627</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(10,442)</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19,017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21,535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5,456</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8,032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54,040</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Total Assets as of March 31, 2018</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6,041,271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3,771,678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332,454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6,990,627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17,136,030</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3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2017</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65,158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41,931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6,650</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(3,867)</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109,872</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3,801</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(188)</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792</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4,400</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61,357</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42,119</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6,655</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(4,659)</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105,472</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20,925</w:t>
            </w:r>
          </w:p>
        </w:tc>
        <w:tc>
          <w:tcPr>
            <w:tcW w:w="3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5,438</w:t>
            </w:r>
          </w:p>
        </w:tc>
        <w:tc>
          <w:tcPr>
            <w:tcW w:w="18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14,549</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15,004</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55,916</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(52,260)</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(18,355)</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(15,471)</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(2,482)</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(88,568)</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30,022</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29,202</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5,733</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7,863</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72,820</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(10,673)</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(10,256)</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(2,121)</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1,406</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(21,644)</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19,349</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18,946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3,612</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9,269</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51,176</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Total Assets as of March 31, 2017</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5,438,421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3,577,524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288,178</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7,360,092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16,664,215</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Plans and Postretirement Benefit Plan</w:t>
      </w:r>
    </w:p>
    <w:p>
      <w:pPr>
        <w:spacing w:after="0" w:line="14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Components of net periodic benefit cost for the Company’s pension plans and the postretirement benefit plan are presented in the following table for the three months ended March 31, 2018 and 2017.</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Pension Benefits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Postretirement Benefits</w:t>
            </w:r>
          </w:p>
        </w:tc>
        <w:tc>
          <w:tcPr>
            <w:tcW w:w="54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2018</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115</w:t>
            </w:r>
          </w:p>
        </w:tc>
        <w:tc>
          <w:tcPr>
            <w:tcW w:w="94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123</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1,041</w:t>
            </w: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1,161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235</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272</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480" w:type="dxa"/>
            <w:vAlign w:val="bottom"/>
          </w:tcPr>
          <w:p>
            <w:pPr>
              <w:spacing w:after="0"/>
              <w:rPr>
                <w:sz w:val="20"/>
                <w:szCs w:val="20"/>
                <w:color w:val="auto"/>
              </w:rPr>
            </w:pPr>
          </w:p>
        </w:tc>
        <w:tc>
          <w:tcPr>
            <w:tcW w:w="1000" w:type="dxa"/>
            <w:vAlign w:val="bottom"/>
          </w:tcPr>
          <w:p>
            <w:pPr>
              <w:jc w:val="right"/>
              <w:ind w:right="78"/>
              <w:spacing w:after="0"/>
              <w:rPr>
                <w:sz w:val="20"/>
                <w:szCs w:val="20"/>
                <w:color w:val="auto"/>
              </w:rPr>
            </w:pPr>
            <w:r>
              <w:rPr>
                <w:rFonts w:ascii="Arial" w:cs="Arial" w:eastAsia="Arial" w:hAnsi="Arial"/>
                <w:sz w:val="16"/>
                <w:szCs w:val="16"/>
                <w:color w:val="auto"/>
              </w:rPr>
              <w:t>(1,282)</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Prior Service Credit</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Arial" w:cs="Arial" w:eastAsia="Arial" w:hAnsi="Arial"/>
                <w:sz w:val="16"/>
                <w:szCs w:val="16"/>
                <w:color w:val="auto"/>
              </w:rPr>
              <w:t>(142)</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Actuarial Losses (Gains)</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498</w:t>
            </w:r>
          </w:p>
        </w:tc>
        <w:tc>
          <w:tcPr>
            <w:tcW w:w="8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433</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(62)</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257</w:t>
            </w:r>
          </w:p>
        </w:tc>
        <w:tc>
          <w:tcPr>
            <w:tcW w:w="8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356</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146</w:t>
            </w:r>
          </w:p>
        </w:tc>
        <w:tc>
          <w:tcPr>
            <w:tcW w:w="94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204</w:t>
            </w:r>
          </w:p>
        </w:tc>
      </w:tr>
      <w:tr>
        <w:trPr>
          <w:trHeight w:val="33"/>
        </w:trPr>
        <w:tc>
          <w:tcPr>
            <w:tcW w:w="5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The service cost component of net periodic benefit cost are included in salaries and benefits and all other components of net periodic benefit cost are included in other noninterest expense in the consolidated statements of income for the Company’s pension plans and postretirement benefit plan. For the three months ended March 31, 2018, the Company contributed $0.1 million to the pension plans and $0.3 million to the postretirement benefit plan. The Company expects to contribute a total of $0.5 million to the pension plans and $0.9 million to the postretirement benefit plan for the year ending December 31, 2018.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notional amount and fair value of the Company’s derivative financial instruments as of March 31, 2018 and December 31, 2017 were as follows: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auto"/>
              </w:rPr>
              <w:t>March 31, 2018</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2017</w:t>
            </w:r>
          </w:p>
        </w:tc>
        <w:tc>
          <w:tcPr>
            <w:tcW w:w="880" w:type="dxa"/>
            <w:vAlign w:val="bottom"/>
          </w:tcPr>
          <w:p>
            <w:pPr>
              <w:spacing w:after="0"/>
              <w:rPr>
                <w:sz w:val="18"/>
                <w:szCs w:val="18"/>
                <w:color w:val="auto"/>
              </w:rPr>
            </w:pPr>
          </w:p>
        </w:tc>
      </w:tr>
      <w:tr>
        <w:trPr>
          <w:trHeight w:val="33"/>
        </w:trPr>
        <w:tc>
          <w:tcPr>
            <w:tcW w:w="454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(dollars in thousands)</w:t>
            </w:r>
          </w:p>
        </w:tc>
        <w:tc>
          <w:tcPr>
            <w:tcW w:w="17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Notional Amount</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Notional Amount</w:t>
            </w:r>
          </w:p>
        </w:tc>
        <w:tc>
          <w:tcPr>
            <w:tcW w:w="6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6"/>
              </w:rPr>
              <w:t>Fair Value</w:t>
            </w: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Lock Commitments</w:t>
            </w:r>
          </w:p>
        </w:tc>
        <w:tc>
          <w:tcPr>
            <w:tcW w:w="7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42,643</w:t>
            </w:r>
          </w:p>
        </w:tc>
        <w:tc>
          <w:tcPr>
            <w:tcW w:w="7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35,422</w:t>
            </w:r>
          </w:p>
        </w:tc>
        <w:tc>
          <w:tcPr>
            <w:tcW w:w="6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Forward Commitments</w:t>
            </w:r>
          </w:p>
        </w:tc>
        <w:tc>
          <w:tcPr>
            <w:tcW w:w="7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56,181</w:t>
            </w:r>
          </w:p>
        </w:tc>
        <w:tc>
          <w:tcPr>
            <w:tcW w:w="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45,143</w:t>
            </w:r>
          </w:p>
        </w:tc>
        <w:tc>
          <w:tcPr>
            <w:tcW w:w="6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4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540" w:type="dxa"/>
            <w:vAlign w:val="bottom"/>
          </w:tcPr>
          <w:p>
            <w:pPr>
              <w:ind w:left="260"/>
              <w:spacing w:after="0"/>
              <w:rPr>
                <w:sz w:val="20"/>
                <w:szCs w:val="20"/>
                <w:color w:val="auto"/>
              </w:rPr>
            </w:pPr>
            <w:r>
              <w:rPr>
                <w:rFonts w:ascii="Arial" w:cs="Arial" w:eastAsia="Arial" w:hAnsi="Arial"/>
                <w:sz w:val="16"/>
                <w:szCs w:val="16"/>
                <w:color w:val="auto"/>
              </w:rPr>
              <w:t>Receive Fixed/Pay Variable Swaps</w:t>
            </w:r>
          </w:p>
        </w:tc>
        <w:tc>
          <w:tcPr>
            <w:tcW w:w="7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378,442</w:t>
            </w:r>
          </w:p>
        </w:tc>
        <w:tc>
          <w:tcPr>
            <w:tcW w:w="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374,670</w:t>
            </w:r>
          </w:p>
        </w:tc>
        <w:tc>
          <w:tcPr>
            <w:tcW w:w="6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(1,331)</w:t>
            </w:r>
          </w:p>
        </w:tc>
      </w:tr>
      <w:tr>
        <w:trPr>
          <w:trHeight w:val="33"/>
        </w:trPr>
        <w:tc>
          <w:tcPr>
            <w:tcW w:w="4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 Fixed/Receive Variable Swaps</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378,442</w:t>
            </w: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374,670</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1,436</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7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57,877</w:t>
            </w:r>
          </w:p>
        </w:tc>
        <w:tc>
          <w:tcPr>
            <w:tcW w:w="7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54,332</w:t>
            </w:r>
          </w:p>
        </w:tc>
        <w:tc>
          <w:tcPr>
            <w:tcW w:w="6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their fair values, and their location in the consolidated statements of condition as of March 31, 2018 and December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240" w:type="dxa"/>
            <w:vAlign w:val="bottom"/>
          </w:tcPr>
          <w:p>
            <w:pPr>
              <w:spacing w:after="0"/>
              <w:rPr>
                <w:sz w:val="18"/>
                <w:szCs w:val="18"/>
                <w:color w:val="auto"/>
              </w:rPr>
            </w:pPr>
          </w:p>
        </w:tc>
        <w:tc>
          <w:tcPr>
            <w:tcW w:w="2760" w:type="dxa"/>
            <w:vAlign w:val="bottom"/>
            <w:gridSpan w:val="4"/>
          </w:tcPr>
          <w:p>
            <w:pPr>
              <w:ind w:left="620"/>
              <w:spacing w:after="0"/>
              <w:rPr>
                <w:sz w:val="20"/>
                <w:szCs w:val="20"/>
                <w:color w:val="auto"/>
              </w:rPr>
            </w:pPr>
            <w:r>
              <w:rPr>
                <w:rFonts w:ascii="Arial" w:cs="Arial" w:eastAsia="Arial" w:hAnsi="Arial"/>
                <w:sz w:val="16"/>
                <w:szCs w:val="16"/>
                <w:b w:val="1"/>
                <w:bCs w:val="1"/>
                <w:color w:val="auto"/>
              </w:rPr>
              <w:t>March 31, 2018</w:t>
            </w:r>
          </w:p>
        </w:tc>
        <w:tc>
          <w:tcPr>
            <w:tcW w:w="220" w:type="dxa"/>
            <w:vAlign w:val="bottom"/>
          </w:tcPr>
          <w:p>
            <w:pPr>
              <w:spacing w:after="0"/>
              <w:rPr>
                <w:sz w:val="18"/>
                <w:szCs w:val="18"/>
                <w:color w:val="auto"/>
              </w:rPr>
            </w:pPr>
          </w:p>
        </w:tc>
        <w:tc>
          <w:tcPr>
            <w:tcW w:w="24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0"/>
        </w:trPr>
        <w:tc>
          <w:tcPr>
            <w:tcW w:w="5720" w:type="dxa"/>
            <w:vAlign w:val="bottom"/>
          </w:tcPr>
          <w:p>
            <w:pPr>
              <w:ind w:left="200"/>
              <w:spacing w:after="0"/>
              <w:rPr>
                <w:sz w:val="20"/>
                <w:szCs w:val="20"/>
                <w:color w:val="auto"/>
              </w:rPr>
            </w:pPr>
            <w:r>
              <w:rPr>
                <w:rFonts w:ascii="Arial" w:cs="Arial" w:eastAsia="Arial" w:hAnsi="Arial"/>
                <w:sz w:val="16"/>
                <w:szCs w:val="16"/>
                <w:b w:val="1"/>
                <w:bCs w:val="1"/>
                <w:color w:val="auto"/>
              </w:rPr>
              <w:t xml:space="preserve">Not Designated as Hedging Instruments </w:t>
            </w:r>
            <w:r>
              <w:rPr>
                <w:rFonts w:ascii="Arial" w:cs="Arial" w:eastAsia="Arial" w:hAnsi="Arial"/>
                <w:sz w:val="21"/>
                <w:szCs w:val="21"/>
                <w:b w:val="1"/>
                <w:bCs w:val="1"/>
                <w:color w:val="auto"/>
                <w:vertAlign w:val="superscript"/>
              </w:rPr>
              <w:t>1</w:t>
            </w:r>
          </w:p>
        </w:tc>
        <w:tc>
          <w:tcPr>
            <w:tcW w:w="24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Asset</w:t>
            </w:r>
          </w:p>
        </w:tc>
        <w:tc>
          <w:tcPr>
            <w:tcW w:w="4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Liability</w:t>
            </w:r>
          </w:p>
        </w:tc>
        <w:tc>
          <w:tcPr>
            <w:tcW w:w="22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Asset</w:t>
            </w:r>
          </w:p>
        </w:tc>
        <w:tc>
          <w:tcPr>
            <w:tcW w:w="38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Liability</w:t>
            </w:r>
          </w:p>
        </w:tc>
      </w:tr>
      <w:tr>
        <w:trPr>
          <w:trHeight w:val="237"/>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Derivatives</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Derivatives</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Derivatives</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939</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789</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4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13,068</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9,583</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9,478</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135</w:t>
            </w:r>
          </w:p>
        </w:tc>
        <w:tc>
          <w:tcPr>
            <w:tcW w:w="4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132</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5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14,164</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13,742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10,518</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9,693</w:t>
            </w:r>
          </w:p>
        </w:tc>
      </w:tr>
      <w:tr>
        <w:trPr>
          <w:trHeight w:val="20"/>
        </w:trPr>
        <w:tc>
          <w:tcPr>
            <w:tcW w:w="5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7"/>
        </w:numPr>
        <w:rPr>
          <w:rFonts w:ascii="Arial" w:cs="Arial" w:eastAsia="Arial" w:hAnsi="Arial"/>
          <w:sz w:val="9"/>
          <w:szCs w:val="9"/>
          <w:color w:val="auto"/>
        </w:rPr>
      </w:pPr>
      <w:r>
        <w:rPr>
          <w:rFonts w:ascii="Arial" w:cs="Arial" w:eastAsia="Arial" w:hAnsi="Arial"/>
          <w:sz w:val="14"/>
          <w:szCs w:val="14"/>
          <w:color w:val="auto"/>
        </w:rPr>
        <w:t>Asset derivatives are included in other assets and liability derivatives are included in other liabilities in the consolidated statements of condition.</w:t>
      </w:r>
    </w:p>
    <w:p>
      <w:pPr>
        <w:spacing w:after="0" w:line="16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and the amount and location of the net gains or losses recognized in the consolidated statements of income for the three months ended March 31, 2018 and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4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Location of</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70"/>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4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Net Gains (Losses)</w:t>
            </w: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23"/>
                <w:szCs w:val="23"/>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16"/>
                <w:szCs w:val="16"/>
                <w:b w:val="1"/>
                <w:bCs w:val="1"/>
                <w:color w:val="auto"/>
              </w:rPr>
              <w:t>Not Designated as Hedging Instruments</w:t>
            </w:r>
          </w:p>
        </w:tc>
        <w:tc>
          <w:tcPr>
            <w:tcW w:w="4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Recognized in the</w:t>
            </w:r>
          </w:p>
        </w:tc>
        <w:tc>
          <w:tcPr>
            <w:tcW w:w="170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March 31,</w:t>
            </w:r>
          </w:p>
        </w:tc>
        <w:tc>
          <w:tcPr>
            <w:tcW w:w="480" w:type="dxa"/>
            <w:vAlign w:val="bottom"/>
          </w:tcPr>
          <w:p>
            <w:pPr>
              <w:spacing w:after="0"/>
              <w:rPr>
                <w:sz w:val="23"/>
                <w:szCs w:val="23"/>
                <w:color w:val="auto"/>
              </w:rPr>
            </w:pPr>
          </w:p>
        </w:tc>
      </w:tr>
      <w:tr>
        <w:trPr>
          <w:trHeight w:val="33"/>
        </w:trPr>
        <w:tc>
          <w:tcPr>
            <w:tcW w:w="50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8"/>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Statements of Income</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4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Mortgage Banking  $</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530</w:t>
            </w:r>
          </w:p>
        </w:tc>
        <w:tc>
          <w:tcPr>
            <w:tcW w:w="78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1,267</w:t>
            </w: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4220" w:type="dxa"/>
            <w:vAlign w:val="bottom"/>
            <w:gridSpan w:val="2"/>
          </w:tcPr>
          <w:p>
            <w:pPr>
              <w:jc w:val="right"/>
              <w:ind w:right="460"/>
              <w:spacing w:after="0"/>
              <w:rPr>
                <w:sz w:val="20"/>
                <w:szCs w:val="20"/>
                <w:color w:val="auto"/>
              </w:rPr>
            </w:pPr>
            <w:r>
              <w:rPr>
                <w:rFonts w:ascii="Arial" w:cs="Arial" w:eastAsia="Arial" w:hAnsi="Arial"/>
                <w:sz w:val="16"/>
                <w:szCs w:val="16"/>
                <w:color w:val="auto"/>
              </w:rPr>
              <w:t>Mortgage Banking</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684</w:t>
            </w:r>
          </w:p>
        </w:tc>
        <w:tc>
          <w:tcPr>
            <w:tcW w:w="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33"/>
        </w:trPr>
        <w:tc>
          <w:tcPr>
            <w:tcW w:w="50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42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Other Noninterest Income</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118</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4220" w:type="dxa"/>
            <w:vAlign w:val="bottom"/>
            <w:gridSpan w:val="2"/>
          </w:tcPr>
          <w:p>
            <w:pPr>
              <w:jc w:val="right"/>
              <w:ind w:right="460"/>
              <w:spacing w:after="0"/>
              <w:rPr>
                <w:sz w:val="20"/>
                <w:szCs w:val="20"/>
                <w:color w:val="auto"/>
              </w:rPr>
            </w:pPr>
            <w:r>
              <w:rPr>
                <w:rFonts w:ascii="Arial" w:cs="Arial" w:eastAsia="Arial" w:hAnsi="Arial"/>
                <w:sz w:val="16"/>
                <w:szCs w:val="16"/>
                <w:color w:val="auto"/>
              </w:rPr>
              <w:t>Other Noninterest Income</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964</w:t>
            </w:r>
          </w:p>
        </w:tc>
        <w:tc>
          <w:tcPr>
            <w:tcW w:w="7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1,050</w:t>
            </w:r>
          </w:p>
        </w:tc>
      </w:tr>
      <w:tr>
        <w:trPr>
          <w:trHeight w:val="33"/>
        </w:trPr>
        <w:tc>
          <w:tcPr>
            <w:tcW w:w="50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2,296</w:t>
            </w:r>
          </w:p>
        </w:tc>
        <w:tc>
          <w:tcPr>
            <w:tcW w:w="78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2,049</w:t>
            </w: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3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March 31, 2018 and December 31, 2017, the Company did not designate any derivative financial instruments as formal hedging relationships. The Company’s free-standing derivative financial instruments are required to be carried at their fair value on the Company’s consolidated statements of condition. These financial instruments have been limited to interest rate lock commitments (“IRLCs”), forward commitments, interest rate swap agreements, foreign exchange contracts, and conversion rate swap agreements.</w:t>
      </w:r>
    </w:p>
    <w:p>
      <w:pPr>
        <w:sectPr>
          <w:pgSz w:w="11900" w:h="16838" w:orient="portrait"/>
          <w:cols w:equalWidth="0" w:num="1">
            <w:col w:w="11420"/>
          </w:cols>
          <w:pgMar w:left="240" w:top="13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0" w:right="23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enters into interest rate swap agreements to facilitate the risk management strategies of a small number of commercial banking customers. The Company mitigates the interest rate risk of entering into these agreements by entering into equal and offsetting interest rate swap agreements with highly rated third 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7 </w:t>
      </w:r>
      <w:r>
        <w:rPr>
          <w:rFonts w:ascii="Arial" w:cs="Arial" w:eastAsia="Arial" w:hAnsi="Arial"/>
          <w:sz w:val="16"/>
          <w:szCs w:val="16"/>
          <w:i w:val="1"/>
          <w:iCs w:val="1"/>
          <w:color w:val="auto"/>
        </w:rPr>
        <w:t>Balance Sheet Offsetting</w:t>
      </w:r>
      <w:r>
        <w:rPr>
          <w:rFonts w:ascii="Arial" w:cs="Arial" w:eastAsia="Arial" w:hAnsi="Arial"/>
          <w:sz w:val="16"/>
          <w:szCs w:val="16"/>
          <w:color w:val="auto"/>
        </w:rPr>
        <w:t xml:space="preserve"> for more information.</w:t>
      </w:r>
    </w:p>
    <w:p>
      <w:pPr>
        <w:spacing w:after="0" w:line="16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or if the Company no longer obtains the specified rating, the counterparty may require the Company to pledge collateral on an immediate and ongoing basis (subject to the requirement that such swaps are in a net liability position beyond the level specified in the contract), or require immediate settlement of the swap agreement. Other credit-risk-related contingent features may also allow the counterparty to require immediate settlement of the swap agreement if the Company fails to maintain a specified minimum level of capitalization.</w:t>
      </w:r>
    </w:p>
    <w:p>
      <w:pPr>
        <w:spacing w:after="0" w:line="17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With regard to derivative contracts not centrally cleared through a clearinghouse, new regulations require collateral to be posted by the party with a net liability position (i.e., the threshold for posting collateral was reduced to zero, subject to certain minimum transfer amounts). The requirements generally apply to new derivative contracts entered into after the applicable compliance date of the regulation (March 1, 2017 for the Company), although certain counterparties may elect to apply lower thresholds to existing contracts.</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causes any derivative cleared through one of the clearinghouses to have a fair value that approximates zero on a daily basis. During the second quarter of 2017, the Company executed its first swap agreements cleared through one of the clearinghouses. Going forward, the Company expects most of the swap agreements executed with third party financial institutions will be required to be cleared through one of the clearinghouses. The uncleared swap agreements executed with third 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8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As each sale of Visa Class B restricted shares was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As of March 31, 2018, the conversion rate swap agreement was valued at zero (i.e., no contingent liability recorded) as further reductions to the conversion ratio were deemed neither probable nor reasonably estimable by management. See Note 3 </w:t>
      </w:r>
      <w:r>
        <w:rPr>
          <w:rFonts w:ascii="Arial" w:cs="Arial" w:eastAsia="Arial" w:hAnsi="Arial"/>
          <w:sz w:val="18"/>
          <w:szCs w:val="18"/>
          <w:i w:val="1"/>
          <w:iCs w:val="1"/>
          <w:color w:val="auto"/>
        </w:rPr>
        <w:t>Investment Securities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Contingencies, and Guarantees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commitments as of March 31, 2018 and December 31, 2017 were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Unfunded Commitments to Extend Credit</w:t>
            </w:r>
          </w:p>
        </w:tc>
        <w:tc>
          <w:tcPr>
            <w:tcW w:w="310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2,834,633</w:t>
            </w:r>
          </w:p>
        </w:tc>
        <w:tc>
          <w:tcPr>
            <w:tcW w:w="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2,780,724</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Standby Letters of Credit</w:t>
            </w:r>
          </w:p>
        </w:tc>
        <w:tc>
          <w:tcPr>
            <w:tcW w:w="310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61,041</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60,519</w:t>
            </w:r>
          </w:p>
        </w:tc>
      </w:tr>
      <w:tr>
        <w:trPr>
          <w:trHeight w:val="33"/>
        </w:trPr>
        <w:tc>
          <w:tcPr>
            <w:tcW w:w="55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Commercial Letters of Credit</w:t>
            </w:r>
          </w:p>
        </w:tc>
        <w:tc>
          <w:tcPr>
            <w:tcW w:w="310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16,516</w:t>
            </w:r>
          </w:p>
        </w:tc>
        <w:tc>
          <w:tcPr>
            <w:tcW w:w="40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18,036</w:t>
            </w:r>
          </w:p>
        </w:tc>
      </w:tr>
      <w:tr>
        <w:trPr>
          <w:trHeight w:val="231"/>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Credit Commitments</w:t>
            </w:r>
          </w:p>
        </w:tc>
        <w:tc>
          <w:tcPr>
            <w:tcW w:w="31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2,912,190</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2,859,279</w:t>
            </w:r>
          </w:p>
        </w:tc>
      </w:tr>
      <w:tr>
        <w:trPr>
          <w:trHeight w:val="33"/>
        </w:trPr>
        <w:tc>
          <w:tcPr>
            <w:tcW w:w="55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to Extend Credit</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and Commercial Letters of Credit</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 party. Standby letters of credit generally become payable upon the failure of the customer to perform according to the terms of the underlying contract with the third 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 party under a standby letter of credit, and generally holds cash or deposits as collateral on those standby letters of credit for which collateral is deemed necessary.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is subject to various pending and threatened legal proceedings arising within the normal course of business or operations. On at least a quarterly basis, the Company assesses its liabilities and contingencies in connection with outstanding legal proceedings utilizing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Representation and Warranty Provisions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Company sells residential mortgage loans in the secondary market primarily to the Federal National Mortgage Association (“Fannie Mae”). The Company also pools Federal Housing Administration (“FHA”) insured and U.S. Department of Veterans Affairs (“VA”) guaranteed residential mortgage loans for sale to the Government National Mortgage Corporation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March 31, 2018, the unpaid principal balance of residential mortgage loans sold by the Company was $2.6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potentially not met. Some agreements may require the Company to repurchase delinquent loans. Upon receipt of a repurchase request, the Company works with investors or insurers to arrive at a mutually agreeable resolution. Repurchase demands are typically reviewed on an individual loan-by-loan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During the three months ended March 31, 2018, there were four residential mortgage loans repurchased with an aggregate unpaid principal balance of $1.0 million as a result of the representation and warranty provisions contained in these contracts. Three of the loans were delinquent in payment of principal and interest at the time of repurchase, however no material losses were incurred related to these repurchases. As of March 31, 2018, there were no pending repurchase requests related to representation and warranty provisions.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Residential Mortgage Loan Servicing Activities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 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three months ended March 31, 2018, there were no loans repurchased related to loan servicing activities. As of March 31, 2018, there were no pending repurchase requests related to loan servicing activities.</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March 31, 2018, management believes that this exposure is not material due to the historical level of repurchase requests and loss trends and thus has not established a liability for losses related to mortgage loan repurchases. As of March 31, 2018,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30" w:right="2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pacing w:after="0" w:line="127" w:lineRule="exact"/>
        <w:rPr>
          <w:sz w:val="20"/>
          <w:szCs w:val="20"/>
          <w:color w:val="auto"/>
        </w:rPr>
      </w:pPr>
    </w:p>
    <w:p>
      <w:pPr>
        <w:jc w:val="both"/>
        <w:ind w:left="1500" w:right="720" w:hanging="1052"/>
        <w:spacing w:after="0" w:line="286" w:lineRule="auto"/>
        <w:tabs>
          <w:tab w:leader="none" w:pos="1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200" w:lineRule="exact"/>
        <w:rPr>
          <w:sz w:val="20"/>
          <w:szCs w:val="20"/>
          <w:color w:val="auto"/>
        </w:rPr>
      </w:pPr>
    </w:p>
    <w:p>
      <w:pPr>
        <w:spacing w:after="0" w:line="222" w:lineRule="exact"/>
        <w:rPr>
          <w:sz w:val="20"/>
          <w:szCs w:val="20"/>
          <w:color w:val="auto"/>
        </w:rPr>
      </w:pPr>
    </w:p>
    <w:p>
      <w:pPr>
        <w:ind w:left="1500" w:right="580" w:hanging="1052"/>
        <w:spacing w:after="0" w:line="259" w:lineRule="auto"/>
        <w:tabs>
          <w:tab w:leader="none" w:pos="1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200" w:lineRule="exact"/>
        <w:rPr>
          <w:sz w:val="20"/>
          <w:szCs w:val="20"/>
          <w:color w:val="auto"/>
        </w:rPr>
      </w:pPr>
    </w:p>
    <w:p>
      <w:pPr>
        <w:spacing w:after="0" w:line="244" w:lineRule="exact"/>
        <w:rPr>
          <w:sz w:val="20"/>
          <w:szCs w:val="20"/>
          <w:color w:val="auto"/>
        </w:rPr>
      </w:pPr>
    </w:p>
    <w:p>
      <w:pPr>
        <w:ind w:left="1500" w:right="620" w:hanging="1052"/>
        <w:spacing w:after="0" w:line="259" w:lineRule="auto"/>
        <w:tabs>
          <w:tab w:leader="none" w:pos="14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 significant management judgment or estimation, some of which may be internally developed.</w:t>
      </w:r>
    </w:p>
    <w:p>
      <w:pPr>
        <w:spacing w:after="0" w:line="26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Management maximizes the use of observable inputs and minimizes the use of unobservable inputs when determining fair value measurements. Management reviews and updates the fair value hierarchy classifications of the Company’s assets and liabilities on a quarterly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18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a quarterly basis, management reviews the pricing information received from the Company’s third-party pricing service. This review process includes a comparison to non-binding third-party broker quotes, as well as a review of market-related conditions impacting the information provided by the Company’s third-party pricing service. Management primarily identifies investment securities which may have traded in illiquid or inactive markets by identifying instances of a significant decrease in the volume or frequency of trades, relative to historical levels, as well as instances of a significant widening of the bid-ask spread in the brokered markets. Investment securities that are deemed to have been trading in illiquid or inactive markets may require the use of significant unobservable inputs to determine fair value. As of March 31, 2018 and December 31, 2017, management did not make adjustments to prices provided by the third-party pricing service as a result of illiquid or inactive markets. On a quarterly basis, management also reviews a sample of securities priced by the Company’s third-party pricing service to review the significant assumptions and valuation methodologies used by the service. Based on this review, management determines whether the current placement of the security in the fair value hierarchy is appropriate or whether transfers may be warranted. The Company’s third-party pricing service has also established processes for us to submit inquiries regarding quoted prices. Periodically, we will challenge the quoted prices provided by our third-party pricing service. The Company’s third-party pricing service will review the inputs to the evaluation in light of the new market data presented by us.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30" w:right="2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third-party pricing service may then affirm the original quoted price or may update the evaluation on a going-forward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we believe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 xml:space="preserve">Derivative financial instruments recorded at fair value on a recurring basis are comprised of interest rate lock commitments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March 31, 2018 and December 31, 2017, the conversion rate swap agreements were valued at zero as reductions to the conversion ratio were neither probable nor reasonably estimable by management. See Note 12 </w:t>
      </w:r>
      <w:r>
        <w:rPr>
          <w:rFonts w:ascii="Arial" w:cs="Arial" w:eastAsia="Arial" w:hAnsi="Arial"/>
          <w:sz w:val="17"/>
          <w:szCs w:val="17"/>
          <w:i w:val="1"/>
          <w:iCs w:val="1"/>
          <w:color w:val="auto"/>
        </w:rPr>
        <w:t>Derivative Financial Instruments</w:t>
      </w:r>
      <w:r>
        <w:rPr>
          <w:rFonts w:ascii="Arial" w:cs="Arial" w:eastAsia="Arial" w:hAnsi="Arial"/>
          <w:sz w:val="17"/>
          <w:szCs w:val="17"/>
          <w:color w:val="auto"/>
        </w:rPr>
        <w:t xml:space="preserve"> for more information.</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30" w:right="2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balances of assets and liabilities measured at fair value on a recurring basis as of March 31, 2018 and December 31,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Quoted Prices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in Active</w:t>
            </w:r>
          </w:p>
        </w:tc>
        <w:tc>
          <w:tcPr>
            <w:tcW w:w="4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Significant</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Markets for</w:t>
            </w:r>
          </w:p>
        </w:tc>
        <w:tc>
          <w:tcPr>
            <w:tcW w:w="4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Significant</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Identical Assets</w:t>
            </w:r>
          </w:p>
        </w:tc>
        <w:tc>
          <w:tcPr>
            <w:tcW w:w="4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Observable</w:t>
            </w:r>
          </w:p>
        </w:tc>
        <w:tc>
          <w:tcPr>
            <w:tcW w:w="3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w w:val="98"/>
              </w:rPr>
              <w:t>Unobservable</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4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or Liabilities</w:t>
            </w:r>
          </w:p>
        </w:tc>
        <w:tc>
          <w:tcPr>
            <w:tcW w:w="42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Inputs</w:t>
            </w:r>
          </w:p>
        </w:tc>
        <w:tc>
          <w:tcPr>
            <w:tcW w:w="34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Inputs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74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22"/>
                <w:szCs w:val="22"/>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(Level 3)</w:t>
            </w:r>
          </w:p>
        </w:tc>
        <w:tc>
          <w:tcPr>
            <w:tcW w:w="4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47"/>
        </w:trPr>
        <w:tc>
          <w:tcPr>
            <w:tcW w:w="4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2018</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Available-for-Sale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0"/>
        </w:trPr>
        <w:tc>
          <w:tcPr>
            <w:tcW w:w="4840" w:type="dxa"/>
            <w:vAlign w:val="bottom"/>
          </w:tcPr>
          <w:p>
            <w:pPr>
              <w:ind w:left="280"/>
              <w:spacing w:after="0"/>
              <w:rPr>
                <w:sz w:val="20"/>
                <w:szCs w:val="20"/>
                <w:color w:val="auto"/>
              </w:rPr>
            </w:pPr>
            <w:r>
              <w:rPr>
                <w:rFonts w:ascii="Arial" w:cs="Arial" w:eastAsia="Arial" w:hAnsi="Arial"/>
                <w:sz w:val="16"/>
                <w:szCs w:val="16"/>
                <w:color w:val="auto"/>
              </w:rPr>
              <w:t>Debt Securities Issued by the U.S. Treasury</w:t>
            </w: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4840" w:type="dxa"/>
            <w:vAlign w:val="bottom"/>
          </w:tcPr>
          <w:p>
            <w:pPr>
              <w:ind w:left="520"/>
              <w:spacing w:after="0"/>
              <w:rPr>
                <w:sz w:val="20"/>
                <w:szCs w:val="20"/>
                <w:color w:val="auto"/>
              </w:rPr>
            </w:pPr>
            <w:r>
              <w:rPr>
                <w:rFonts w:ascii="Arial" w:cs="Arial" w:eastAsia="Arial" w:hAnsi="Arial"/>
                <w:sz w:val="16"/>
                <w:szCs w:val="16"/>
                <w:color w:val="auto"/>
              </w:rPr>
              <w:t>and Government Agencies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535</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437,875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438,410</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Debt Securities Issued by States and Political Subdivisions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612,004</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612,004</w:t>
            </w:r>
          </w:p>
        </w:tc>
      </w:tr>
      <w:tr>
        <w:trPr>
          <w:trHeight w:val="237"/>
        </w:trPr>
        <w:tc>
          <w:tcPr>
            <w:tcW w:w="4840" w:type="dxa"/>
            <w:vAlign w:val="bottom"/>
          </w:tcPr>
          <w:p>
            <w:pPr>
              <w:ind w:left="460"/>
              <w:spacing w:after="0"/>
              <w:rPr>
                <w:sz w:val="20"/>
                <w:szCs w:val="20"/>
                <w:color w:val="auto"/>
              </w:rPr>
            </w:pPr>
            <w:r>
              <w:rPr>
                <w:rFonts w:ascii="Arial" w:cs="Arial" w:eastAsia="Arial" w:hAnsi="Arial"/>
                <w:sz w:val="16"/>
                <w:szCs w:val="16"/>
                <w:color w:val="auto"/>
              </w:rPr>
              <w:t>Debt Securities Issued by Corporations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251,066</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251,066</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Mortgage-Backed Securities: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580"/>
              <w:spacing w:after="0"/>
              <w:rPr>
                <w:sz w:val="20"/>
                <w:szCs w:val="20"/>
                <w:color w:val="auto"/>
              </w:rPr>
            </w:pPr>
            <w:r>
              <w:rPr>
                <w:rFonts w:ascii="Arial" w:cs="Arial" w:eastAsia="Arial" w:hAnsi="Arial"/>
                <w:sz w:val="16"/>
                <w:szCs w:val="16"/>
                <w:color w:val="auto"/>
              </w:rPr>
              <w:t>Residential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222,541</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222,541</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Residential - U.S. Government-Sponsored Enterprises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594,095</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594,095</w:t>
            </w:r>
          </w:p>
        </w:tc>
      </w:tr>
      <w:tr>
        <w:trPr>
          <w:trHeight w:val="237"/>
        </w:trPr>
        <w:tc>
          <w:tcPr>
            <w:tcW w:w="4840" w:type="dxa"/>
            <w:vAlign w:val="bottom"/>
          </w:tcPr>
          <w:p>
            <w:pPr>
              <w:ind w:left="540"/>
              <w:spacing w:after="0"/>
              <w:rPr>
                <w:sz w:val="20"/>
                <w:szCs w:val="20"/>
                <w:color w:val="auto"/>
              </w:rPr>
            </w:pPr>
            <w:r>
              <w:rPr>
                <w:rFonts w:ascii="Arial" w:cs="Arial" w:eastAsia="Arial" w:hAnsi="Arial"/>
                <w:sz w:val="16"/>
                <w:szCs w:val="16"/>
                <w:color w:val="auto"/>
              </w:rPr>
              <w:t>Commercial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66,071</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66,071</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Mortgage-Backed Securities</w:t>
            </w:r>
          </w:p>
        </w:tc>
        <w:tc>
          <w:tcPr>
            <w:tcW w:w="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882,707</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882,707</w:t>
            </w:r>
          </w:p>
        </w:tc>
      </w:tr>
      <w:tr>
        <w:trPr>
          <w:trHeight w:val="231"/>
        </w:trPr>
        <w:tc>
          <w:tcPr>
            <w:tcW w:w="4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 Available-for-Sale</w:t>
            </w:r>
          </w:p>
        </w:tc>
        <w:tc>
          <w:tcPr>
            <w:tcW w:w="7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535</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2,183,652</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2,184,187</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23,548</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23,548</w:t>
            </w: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color w:val="auto"/>
              </w:rPr>
              <w:t>Mortgage Servicing Rights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1,404</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1,404</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31,106</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31,106</w:t>
            </w:r>
          </w:p>
        </w:tc>
      </w:tr>
      <w:tr>
        <w:trPr>
          <w:trHeight w:val="264"/>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7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157</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14,007</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14,164</w:t>
            </w:r>
          </w:p>
        </w:tc>
      </w:tr>
      <w:tr>
        <w:trPr>
          <w:trHeight w:val="216"/>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Recurring Basis as of March 31, 2018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31,641</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2,207,357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15,411</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2,254,409</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69"/>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13,460</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13,742</w:t>
            </w:r>
          </w:p>
        </w:tc>
      </w:tr>
      <w:tr>
        <w:trPr>
          <w:trHeight w:val="21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Recurring Basis as of March 31, 2018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13,460</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13,742</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Available-for-Sale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0"/>
        </w:trPr>
        <w:tc>
          <w:tcPr>
            <w:tcW w:w="4840" w:type="dxa"/>
            <w:vAlign w:val="bottom"/>
          </w:tcPr>
          <w:p>
            <w:pPr>
              <w:ind w:left="280"/>
              <w:spacing w:after="0"/>
              <w:rPr>
                <w:sz w:val="20"/>
                <w:szCs w:val="20"/>
                <w:color w:val="auto"/>
              </w:rPr>
            </w:pPr>
            <w:r>
              <w:rPr>
                <w:rFonts w:ascii="Arial" w:cs="Arial" w:eastAsia="Arial" w:hAnsi="Arial"/>
                <w:sz w:val="16"/>
                <w:szCs w:val="16"/>
                <w:color w:val="auto"/>
              </w:rPr>
              <w:t>Debt Securities Issued by the U.S. Treasury</w:t>
            </w: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4840" w:type="dxa"/>
            <w:vAlign w:val="bottom"/>
          </w:tcPr>
          <w:p>
            <w:pPr>
              <w:ind w:left="520"/>
              <w:spacing w:after="0"/>
              <w:rPr>
                <w:sz w:val="20"/>
                <w:szCs w:val="20"/>
                <w:color w:val="auto"/>
              </w:rPr>
            </w:pPr>
            <w:r>
              <w:rPr>
                <w:rFonts w:ascii="Arial" w:cs="Arial" w:eastAsia="Arial" w:hAnsi="Arial"/>
                <w:sz w:val="16"/>
                <w:szCs w:val="16"/>
                <w:color w:val="auto"/>
              </w:rPr>
              <w:t>and Government Agencies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538</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425,392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425,930</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Debt Securities Issued by States and Political Subdivisions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627,019</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627,019</w:t>
            </w:r>
          </w:p>
        </w:tc>
      </w:tr>
      <w:tr>
        <w:trPr>
          <w:trHeight w:val="237"/>
        </w:trPr>
        <w:tc>
          <w:tcPr>
            <w:tcW w:w="4840" w:type="dxa"/>
            <w:vAlign w:val="bottom"/>
          </w:tcPr>
          <w:p>
            <w:pPr>
              <w:ind w:left="460"/>
              <w:spacing w:after="0"/>
              <w:rPr>
                <w:sz w:val="20"/>
                <w:szCs w:val="20"/>
                <w:color w:val="auto"/>
              </w:rPr>
            </w:pPr>
            <w:r>
              <w:rPr>
                <w:rFonts w:ascii="Arial" w:cs="Arial" w:eastAsia="Arial" w:hAnsi="Arial"/>
                <w:sz w:val="16"/>
                <w:szCs w:val="16"/>
                <w:color w:val="auto"/>
              </w:rPr>
              <w:t>Debt Securities Issued by Corporations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266,111</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266,111</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Mortgage-Backed Securities: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580"/>
              <w:spacing w:after="0"/>
              <w:rPr>
                <w:sz w:val="20"/>
                <w:szCs w:val="20"/>
                <w:color w:val="auto"/>
              </w:rPr>
            </w:pPr>
            <w:r>
              <w:rPr>
                <w:rFonts w:ascii="Arial" w:cs="Arial" w:eastAsia="Arial" w:hAnsi="Arial"/>
                <w:sz w:val="16"/>
                <w:szCs w:val="16"/>
                <w:color w:val="auto"/>
              </w:rPr>
              <w:t>Residential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235,360</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235,360</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Residential - U.S. Government-Sponsored Enterprises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609,812</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609,812</w:t>
            </w:r>
          </w:p>
        </w:tc>
      </w:tr>
      <w:tr>
        <w:trPr>
          <w:trHeight w:val="237"/>
        </w:trPr>
        <w:tc>
          <w:tcPr>
            <w:tcW w:w="4840" w:type="dxa"/>
            <w:vAlign w:val="bottom"/>
          </w:tcPr>
          <w:p>
            <w:pPr>
              <w:ind w:left="540"/>
              <w:spacing w:after="0"/>
              <w:rPr>
                <w:sz w:val="20"/>
                <w:szCs w:val="20"/>
                <w:color w:val="auto"/>
              </w:rPr>
            </w:pPr>
            <w:r>
              <w:rPr>
                <w:rFonts w:ascii="Arial" w:cs="Arial" w:eastAsia="Arial" w:hAnsi="Arial"/>
                <w:sz w:val="16"/>
                <w:szCs w:val="16"/>
                <w:color w:val="auto"/>
              </w:rPr>
              <w:t>Commercial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68,747</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68,747</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Mortgage-Backed Securities</w:t>
            </w:r>
          </w:p>
        </w:tc>
        <w:tc>
          <w:tcPr>
            <w:tcW w:w="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913,919</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913,919</w:t>
            </w:r>
          </w:p>
        </w:tc>
      </w:tr>
      <w:tr>
        <w:trPr>
          <w:trHeight w:val="231"/>
        </w:trPr>
        <w:tc>
          <w:tcPr>
            <w:tcW w:w="4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 Available-for-Sale</w:t>
            </w:r>
          </w:p>
        </w:tc>
        <w:tc>
          <w:tcPr>
            <w:tcW w:w="7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538</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2,232,441</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2,232,979</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19,231</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19,231</w:t>
            </w: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color w:val="auto"/>
              </w:rPr>
              <w:t>Mortgage Servicing Rights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1,454</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1,454</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29,230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29,230</w:t>
            </w:r>
          </w:p>
        </w:tc>
      </w:tr>
      <w:tr>
        <w:trPr>
          <w:trHeight w:val="264"/>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7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146</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10,372</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10,518</w:t>
            </w:r>
          </w:p>
        </w:tc>
      </w:tr>
      <w:tr>
        <w:trPr>
          <w:trHeight w:val="216"/>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Recurring Basis as of December 31, 2017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29,768</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2,251,818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11,826</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2,293,412</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69"/>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9,478</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9,693</w:t>
            </w:r>
          </w:p>
        </w:tc>
      </w:tr>
      <w:tr>
        <w:trPr>
          <w:trHeight w:val="21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Recurring Basis as of December 31, 2017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9,478</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9,693</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8"/>
        </w:numPr>
        <w:rPr>
          <w:rFonts w:ascii="Arial" w:cs="Arial" w:eastAsia="Arial" w:hAnsi="Arial"/>
          <w:sz w:val="9"/>
          <w:szCs w:val="9"/>
          <w:color w:val="auto"/>
        </w:rPr>
      </w:pPr>
      <w:r>
        <w:rPr>
          <w:rFonts w:ascii="Arial" w:cs="Arial" w:eastAsia="Arial" w:hAnsi="Arial"/>
          <w:sz w:val="14"/>
          <w:szCs w:val="14"/>
          <w:color w:val="auto"/>
        </w:rPr>
        <w:t xml:space="preserve">The fair value of each class of derivatives is shown in Note 12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w:t>
      </w:r>
    </w:p>
    <w:p>
      <w:pPr>
        <w:sectPr>
          <w:pgSz w:w="11900" w:h="16838" w:orient="portrait"/>
          <w:cols w:equalWidth="0" w:num="1">
            <w:col w:w="11420"/>
          </w:cols>
          <w:pgMar w:left="240" w:top="130" w:right="239" w:bottom="15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30" w:right="239" w:bottom="15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2018 and 2017, the changes in Level 3 assets and liabilities measured at fair value on a recurring basis were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Net Derivative</w:t>
            </w: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Assets and</w:t>
            </w:r>
          </w:p>
        </w:tc>
        <w:tc>
          <w:tcPr>
            <w:tcW w:w="0" w:type="dxa"/>
            <w:vAlign w:val="bottom"/>
          </w:tcPr>
          <w:p>
            <w:pPr>
              <w:spacing w:after="0"/>
              <w:rPr>
                <w:sz w:val="1"/>
                <w:szCs w:val="1"/>
                <w:color w:val="auto"/>
              </w:rPr>
            </w:pPr>
          </w:p>
        </w:tc>
      </w:tr>
      <w:tr>
        <w:trPr>
          <w:trHeight w:val="251"/>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 xml:space="preserve">Servicing Rights </w:t>
            </w:r>
            <w:r>
              <w:rPr>
                <w:rFonts w:ascii="Arial" w:cs="Arial" w:eastAsia="Arial" w:hAnsi="Arial"/>
                <w:sz w:val="17"/>
                <w:szCs w:val="17"/>
                <w:b w:val="1"/>
                <w:bCs w:val="1"/>
                <w:color w:val="auto"/>
                <w:w w:val="99"/>
                <w:vertAlign w:val="superscript"/>
              </w:rPr>
              <w:t>1</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xml:space="preserve">Liabilities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4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Three Months Ended March 31, 2018</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Balance as of January 1, 2018</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1,454</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March 31, 2018</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1,404</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March 31, 2018</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2017</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January 1,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1,655</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March 31,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1,586</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March 31, 2017</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9"/>
        </w:numPr>
        <w:rPr>
          <w:rFonts w:ascii="Arial" w:cs="Arial" w:eastAsia="Arial" w:hAnsi="Arial"/>
          <w:sz w:val="8"/>
          <w:szCs w:val="8"/>
          <w:color w:val="auto"/>
        </w:rPr>
      </w:pPr>
      <w:r>
        <w:rPr>
          <w:rFonts w:ascii="Arial" w:cs="Arial" w:eastAsia="Arial" w:hAnsi="Arial"/>
          <w:sz w:val="13"/>
          <w:szCs w:val="13"/>
          <w:color w:val="auto"/>
        </w:rPr>
        <w:t>Realized and unrealized gains and losses related to mortgage servicing rights are reported as a component of mortgage banking income in the Company’s consolidated statements of income.</w:t>
      </w:r>
    </w:p>
    <w:p>
      <w:pPr>
        <w:spacing w:after="0" w:line="25" w:lineRule="exact"/>
        <w:rPr>
          <w:sz w:val="20"/>
          <w:szCs w:val="20"/>
          <w:color w:val="auto"/>
        </w:rPr>
      </w:pPr>
    </w:p>
    <w:p>
      <w:pPr>
        <w:ind w:left="80" w:right="140" w:hanging="72"/>
        <w:spacing w:after="0" w:line="338" w:lineRule="auto"/>
        <w:tabs>
          <w:tab w:leader="none" w:pos="80" w:val="left"/>
        </w:tabs>
        <w:numPr>
          <w:ilvl w:val="0"/>
          <w:numId w:val="20"/>
        </w:numPr>
        <w:rPr>
          <w:rFonts w:ascii="Arial" w:cs="Arial" w:eastAsia="Arial" w:hAnsi="Arial"/>
          <w:sz w:val="8"/>
          <w:szCs w:val="8"/>
          <w:color w:val="auto"/>
        </w:rPr>
      </w:pPr>
      <w:r>
        <w:rPr>
          <w:rFonts w:ascii="Arial" w:cs="Arial" w:eastAsia="Arial" w:hAnsi="Arial"/>
          <w:sz w:val="12"/>
          <w:szCs w:val="12"/>
          <w:color w:val="auto"/>
        </w:rPr>
        <w:t>Realized and unrealized gains and losses related to interest rate lock commitments are reported as a component of mortgage banking income in the Company’s consolidated statements of income. Realized and unrealized gains and losses related to interest rate swap agreements are reported as a component of other noninterest income in the Company’s consolidated statements of income.</w:t>
      </w:r>
    </w:p>
    <w:p>
      <w:pPr>
        <w:spacing w:after="0" w:line="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or nonrecurring basis as of March 31, 2018 and December 31, 2017, the significant unobservable inputs used in the fair value measurements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580" w:type="dxa"/>
            <w:vAlign w:val="bottom"/>
            <w:gridSpan w:val="2"/>
          </w:tcPr>
          <w:p>
            <w:pPr>
              <w:jc w:val="right"/>
              <w:ind w:right="145"/>
              <w:spacing w:after="0"/>
              <w:rPr>
                <w:sz w:val="20"/>
                <w:szCs w:val="20"/>
                <w:color w:val="auto"/>
              </w:rPr>
            </w:pPr>
            <w:r>
              <w:rPr>
                <w:rFonts w:ascii="Arial" w:cs="Arial" w:eastAsia="Arial" w:hAnsi="Arial"/>
                <w:sz w:val="16"/>
                <w:szCs w:val="16"/>
                <w:b w:val="1"/>
                <w:bCs w:val="1"/>
                <w:color w:val="auto"/>
              </w:rPr>
              <w:t>Significant Unobservable Inputs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2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580" w:type="dxa"/>
            <w:vAlign w:val="bottom"/>
            <w:gridSpan w:val="2"/>
          </w:tcPr>
          <w:p>
            <w:pPr>
              <w:jc w:val="right"/>
              <w:ind w:right="605"/>
              <w:spacing w:after="0"/>
              <w:rPr>
                <w:sz w:val="20"/>
                <w:szCs w:val="20"/>
                <w:color w:val="auto"/>
              </w:rPr>
            </w:pPr>
            <w:r>
              <w:rPr>
                <w:rFonts w:ascii="Arial" w:cs="Arial" w:eastAsia="Arial" w:hAnsi="Arial"/>
                <w:sz w:val="16"/>
                <w:szCs w:val="16"/>
                <w:b w:val="1"/>
                <w:bCs w:val="1"/>
                <w:color w:val="auto"/>
              </w:rPr>
              <w:t>(weighted-average)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right"/>
              <w:ind w:right="544"/>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2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2780" w:type="dxa"/>
            <w:vAlign w:val="bottom"/>
          </w:tcPr>
          <w:p>
            <w:pPr>
              <w:spacing w:after="0"/>
              <w:rPr>
                <w:sz w:val="18"/>
                <w:szCs w:val="18"/>
                <w:color w:val="auto"/>
              </w:rPr>
            </w:pPr>
          </w:p>
        </w:tc>
        <w:tc>
          <w:tcPr>
            <w:tcW w:w="2040" w:type="dxa"/>
            <w:vAlign w:val="bottom"/>
          </w:tcPr>
          <w:p>
            <w:pPr>
              <w:jc w:val="right"/>
              <w:ind w:right="64"/>
              <w:spacing w:after="0"/>
              <w:rPr>
                <w:sz w:val="20"/>
                <w:szCs w:val="20"/>
                <w:color w:val="auto"/>
              </w:rPr>
            </w:pPr>
            <w:r>
              <w:rPr>
                <w:rFonts w:ascii="Arial" w:cs="Arial" w:eastAsia="Arial" w:hAnsi="Arial"/>
                <w:sz w:val="16"/>
                <w:szCs w:val="16"/>
                <w:b w:val="1"/>
                <w:bCs w:val="1"/>
                <w:color w:val="auto"/>
              </w:rPr>
              <w:t>Valuation</w:t>
            </w:r>
          </w:p>
        </w:tc>
        <w:tc>
          <w:tcPr>
            <w:tcW w:w="2360" w:type="dxa"/>
            <w:vAlign w:val="bottom"/>
          </w:tcPr>
          <w:p>
            <w:pPr>
              <w:spacing w:after="0"/>
              <w:rPr>
                <w:sz w:val="18"/>
                <w:szCs w:val="18"/>
                <w:color w:val="auto"/>
              </w:rPr>
            </w:pPr>
          </w:p>
        </w:tc>
        <w:tc>
          <w:tcPr>
            <w:tcW w:w="1220" w:type="dxa"/>
            <w:vAlign w:val="bottom"/>
          </w:tcPr>
          <w:p>
            <w:pPr>
              <w:jc w:val="right"/>
              <w:ind w:right="345"/>
              <w:spacing w:after="0"/>
              <w:rPr>
                <w:sz w:val="20"/>
                <w:szCs w:val="20"/>
                <w:color w:val="auto"/>
              </w:rPr>
            </w:pPr>
            <w:r>
              <w:rPr>
                <w:rFonts w:ascii="Arial" w:cs="Arial" w:eastAsia="Arial" w:hAnsi="Arial"/>
                <w:sz w:val="16"/>
                <w:szCs w:val="16"/>
                <w:b w:val="1"/>
                <w:bCs w:val="1"/>
                <w:color w:val="auto"/>
              </w:rPr>
              <w:t>Mar. 31,</w:t>
            </w:r>
          </w:p>
        </w:tc>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 31,</w:t>
            </w:r>
          </w:p>
        </w:tc>
        <w:tc>
          <w:tcPr>
            <w:tcW w:w="22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6"/>
                <w:szCs w:val="16"/>
                <w:b w:val="1"/>
                <w:bCs w:val="1"/>
                <w:color w:val="auto"/>
              </w:rPr>
              <w:t>Mar. 31,</w:t>
            </w:r>
          </w:p>
        </w:tc>
        <w:tc>
          <w:tcPr>
            <w:tcW w:w="24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6"/>
                <w:szCs w:val="16"/>
                <w:b w:val="1"/>
                <w:bCs w:val="1"/>
                <w:color w:val="auto"/>
                <w:w w:val="99"/>
              </w:rPr>
              <w:t>Dec. 31,</w:t>
            </w:r>
          </w:p>
        </w:tc>
      </w:tr>
      <w:tr>
        <w:trPr>
          <w:trHeight w:val="237"/>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0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Technique</w:t>
            </w:r>
          </w:p>
        </w:tc>
        <w:tc>
          <w:tcPr>
            <w:tcW w:w="236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Description</w:t>
            </w:r>
          </w:p>
        </w:tc>
        <w:tc>
          <w:tcPr>
            <w:tcW w:w="122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2018</w:t>
            </w: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2017</w:t>
            </w:r>
          </w:p>
        </w:tc>
      </w:tr>
      <w:tr>
        <w:trPr>
          <w:trHeight w:val="270"/>
        </w:trPr>
        <w:tc>
          <w:tcPr>
            <w:tcW w:w="2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Servicing Rights</w:t>
            </w:r>
          </w:p>
        </w:tc>
        <w:tc>
          <w:tcPr>
            <w:tcW w:w="20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Discounted Cash Flow</w:t>
            </w:r>
          </w:p>
        </w:tc>
        <w:tc>
          <w:tcPr>
            <w:tcW w:w="2360" w:type="dxa"/>
            <w:vAlign w:val="bottom"/>
            <w:shd w:val="clear" w:color="auto" w:fill="CCEEFF"/>
          </w:tcPr>
          <w:p>
            <w:pPr>
              <w:jc w:val="right"/>
              <w:ind w:right="164"/>
              <w:spacing w:after="0"/>
              <w:rPr>
                <w:sz w:val="20"/>
                <w:szCs w:val="20"/>
                <w:color w:val="auto"/>
              </w:rPr>
            </w:pPr>
            <w:r>
              <w:rPr>
                <w:rFonts w:ascii="Arial" w:cs="Arial" w:eastAsia="Arial" w:hAnsi="Arial"/>
                <w:sz w:val="14"/>
                <w:szCs w:val="14"/>
                <w:color w:val="auto"/>
              </w:rPr>
              <w:t xml:space="preserve">Constant Prepayment Rate </w:t>
            </w:r>
            <w:r>
              <w:rPr>
                <w:rFonts w:ascii="Arial" w:cs="Arial" w:eastAsia="Arial" w:hAnsi="Arial"/>
                <w:sz w:val="8"/>
                <w:szCs w:val="8"/>
                <w:color w:val="auto"/>
              </w:rPr>
              <w:t>1</w:t>
            </w:r>
          </w:p>
        </w:tc>
        <w:tc>
          <w:tcPr>
            <w:tcW w:w="1220" w:type="dxa"/>
            <w:vAlign w:val="bottom"/>
            <w:shd w:val="clear" w:color="auto" w:fill="CCEEFF"/>
          </w:tcPr>
          <w:p>
            <w:pPr>
              <w:jc w:val="right"/>
              <w:ind w:right="225"/>
              <w:spacing w:after="0"/>
              <w:rPr>
                <w:sz w:val="20"/>
                <w:szCs w:val="20"/>
                <w:color w:val="auto"/>
              </w:rPr>
            </w:pPr>
            <w:r>
              <w:rPr>
                <w:rFonts w:ascii="Arial" w:cs="Arial" w:eastAsia="Arial" w:hAnsi="Arial"/>
                <w:sz w:val="14"/>
                <w:szCs w:val="14"/>
                <w:color w:val="auto"/>
              </w:rPr>
              <w:t>7.07%</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4"/>
                <w:szCs w:val="14"/>
                <w:color w:val="auto"/>
              </w:rPr>
              <w:t>30,004</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28,170</w:t>
            </w:r>
          </w:p>
        </w:tc>
      </w:tr>
      <w:tr>
        <w:trPr>
          <w:trHeight w:val="264"/>
        </w:trPr>
        <w:tc>
          <w:tcPr>
            <w:tcW w:w="27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360" w:type="dxa"/>
            <w:vAlign w:val="bottom"/>
          </w:tcPr>
          <w:p>
            <w:pPr>
              <w:jc w:val="right"/>
              <w:ind w:right="164"/>
              <w:spacing w:after="0"/>
              <w:rPr>
                <w:sz w:val="20"/>
                <w:szCs w:val="20"/>
                <w:color w:val="auto"/>
              </w:rPr>
            </w:pPr>
            <w:r>
              <w:rPr>
                <w:rFonts w:ascii="Arial" w:cs="Arial" w:eastAsia="Arial" w:hAnsi="Arial"/>
                <w:sz w:val="14"/>
                <w:szCs w:val="14"/>
                <w:color w:val="auto"/>
              </w:rPr>
              <w:t xml:space="preserve">Discount Rate </w:t>
            </w:r>
            <w:r>
              <w:rPr>
                <w:rFonts w:ascii="Arial" w:cs="Arial" w:eastAsia="Arial" w:hAnsi="Arial"/>
                <w:sz w:val="8"/>
                <w:szCs w:val="8"/>
                <w:color w:val="auto"/>
              </w:rPr>
              <w:t>2</w:t>
            </w:r>
          </w:p>
        </w:tc>
        <w:tc>
          <w:tcPr>
            <w:tcW w:w="1220" w:type="dxa"/>
            <w:vAlign w:val="bottom"/>
          </w:tcPr>
          <w:p>
            <w:pPr>
              <w:jc w:val="right"/>
              <w:ind w:right="225"/>
              <w:spacing w:after="0"/>
              <w:rPr>
                <w:sz w:val="20"/>
                <w:szCs w:val="20"/>
                <w:color w:val="auto"/>
              </w:rPr>
            </w:pPr>
            <w:r>
              <w:rPr>
                <w:rFonts w:ascii="Arial" w:cs="Arial" w:eastAsia="Arial" w:hAnsi="Arial"/>
                <w:sz w:val="14"/>
                <w:szCs w:val="14"/>
                <w:color w:val="auto"/>
              </w:rPr>
              <w:t>9.77%</w:t>
            </w:r>
          </w:p>
        </w:tc>
        <w:tc>
          <w:tcPr>
            <w:tcW w:w="900" w:type="dxa"/>
            <w:vAlign w:val="bottom"/>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2780" w:type="dxa"/>
            <w:vAlign w:val="bottom"/>
          </w:tcPr>
          <w:p>
            <w:pPr>
              <w:ind w:left="40"/>
              <w:spacing w:after="0"/>
              <w:rPr>
                <w:sz w:val="20"/>
                <w:szCs w:val="20"/>
                <w:color w:val="auto"/>
              </w:rPr>
            </w:pPr>
            <w:r>
              <w:rPr>
                <w:rFonts w:ascii="Arial" w:cs="Arial" w:eastAsia="Arial" w:hAnsi="Arial"/>
                <w:sz w:val="14"/>
                <w:szCs w:val="14"/>
                <w:color w:val="auto"/>
              </w:rPr>
              <w:t>Net Derivative Assets and Liabilities:</w:t>
            </w:r>
          </w:p>
        </w:tc>
        <w:tc>
          <w:tcPr>
            <w:tcW w:w="20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Lock Commitments</w:t>
            </w:r>
          </w:p>
        </w:tc>
        <w:tc>
          <w:tcPr>
            <w:tcW w:w="20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Pricing Model</w:t>
            </w:r>
          </w:p>
        </w:tc>
        <w:tc>
          <w:tcPr>
            <w:tcW w:w="2360" w:type="dxa"/>
            <w:vAlign w:val="bottom"/>
            <w:shd w:val="clear" w:color="auto" w:fill="CCEEFF"/>
          </w:tcPr>
          <w:p>
            <w:pPr>
              <w:jc w:val="right"/>
              <w:ind w:right="164"/>
              <w:spacing w:after="0"/>
              <w:rPr>
                <w:sz w:val="20"/>
                <w:szCs w:val="20"/>
                <w:color w:val="auto"/>
              </w:rPr>
            </w:pPr>
            <w:r>
              <w:rPr>
                <w:rFonts w:ascii="Arial" w:cs="Arial" w:eastAsia="Arial" w:hAnsi="Arial"/>
                <w:sz w:val="14"/>
                <w:szCs w:val="14"/>
                <w:color w:val="auto"/>
              </w:rPr>
              <w:t>Closing Ratio</w:t>
            </w:r>
          </w:p>
        </w:tc>
        <w:tc>
          <w:tcPr>
            <w:tcW w:w="1220" w:type="dxa"/>
            <w:vAlign w:val="bottom"/>
            <w:shd w:val="clear" w:color="auto" w:fill="CCEEFF"/>
          </w:tcPr>
          <w:p>
            <w:pPr>
              <w:jc w:val="right"/>
              <w:ind w:right="225"/>
              <w:spacing w:after="0"/>
              <w:rPr>
                <w:sz w:val="20"/>
                <w:szCs w:val="20"/>
                <w:color w:val="auto"/>
              </w:rPr>
            </w:pPr>
            <w:r>
              <w:rPr>
                <w:rFonts w:ascii="Arial" w:cs="Arial" w:eastAsia="Arial" w:hAnsi="Arial"/>
                <w:sz w:val="14"/>
                <w:szCs w:val="14"/>
                <w:color w:val="auto"/>
              </w:rPr>
              <w:t>92.81%</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4"/>
                <w:szCs w:val="14"/>
                <w:color w:val="auto"/>
              </w:rPr>
              <w:t>937</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789</w:t>
            </w:r>
          </w:p>
        </w:tc>
      </w:tr>
      <w:tr>
        <w:trPr>
          <w:trHeight w:val="258"/>
        </w:trPr>
        <w:tc>
          <w:tcPr>
            <w:tcW w:w="2780" w:type="dxa"/>
            <w:vAlign w:val="bottom"/>
          </w:tcPr>
          <w:p>
            <w:pPr>
              <w:ind w:left="180"/>
              <w:spacing w:after="0"/>
              <w:rPr>
                <w:sz w:val="20"/>
                <w:szCs w:val="20"/>
                <w:color w:val="auto"/>
              </w:rPr>
            </w:pPr>
            <w:r>
              <w:rPr>
                <w:rFonts w:ascii="Arial" w:cs="Arial" w:eastAsia="Arial" w:hAnsi="Arial"/>
                <w:sz w:val="14"/>
                <w:szCs w:val="14"/>
                <w:color w:val="auto"/>
              </w:rPr>
              <w:t>Interest Rate Swap Agreements</w:t>
            </w:r>
          </w:p>
        </w:tc>
        <w:tc>
          <w:tcPr>
            <w:tcW w:w="2040" w:type="dxa"/>
            <w:vAlign w:val="bottom"/>
          </w:tcPr>
          <w:p>
            <w:pPr>
              <w:jc w:val="right"/>
              <w:ind w:right="64"/>
              <w:spacing w:after="0"/>
              <w:rPr>
                <w:sz w:val="20"/>
                <w:szCs w:val="20"/>
                <w:color w:val="auto"/>
              </w:rPr>
            </w:pPr>
            <w:r>
              <w:rPr>
                <w:rFonts w:ascii="Arial" w:cs="Arial" w:eastAsia="Arial" w:hAnsi="Arial"/>
                <w:sz w:val="14"/>
                <w:szCs w:val="14"/>
                <w:color w:val="auto"/>
              </w:rPr>
              <w:t>Discounted Cash Flow</w:t>
            </w:r>
          </w:p>
        </w:tc>
        <w:tc>
          <w:tcPr>
            <w:tcW w:w="2360" w:type="dxa"/>
            <w:vAlign w:val="bottom"/>
          </w:tcPr>
          <w:p>
            <w:pPr>
              <w:jc w:val="right"/>
              <w:ind w:right="164"/>
              <w:spacing w:after="0"/>
              <w:rPr>
                <w:sz w:val="20"/>
                <w:szCs w:val="20"/>
                <w:color w:val="auto"/>
              </w:rPr>
            </w:pPr>
            <w:r>
              <w:rPr>
                <w:rFonts w:ascii="Arial" w:cs="Arial" w:eastAsia="Arial" w:hAnsi="Arial"/>
                <w:sz w:val="14"/>
                <w:szCs w:val="14"/>
                <w:color w:val="auto"/>
              </w:rPr>
              <w:t>Credit Factor</w:t>
            </w:r>
          </w:p>
        </w:tc>
        <w:tc>
          <w:tcPr>
            <w:tcW w:w="1220" w:type="dxa"/>
            <w:vAlign w:val="bottom"/>
          </w:tcPr>
          <w:p>
            <w:pPr>
              <w:jc w:val="right"/>
              <w:ind w:right="225"/>
              <w:spacing w:after="0"/>
              <w:rPr>
                <w:sz w:val="20"/>
                <w:szCs w:val="20"/>
                <w:color w:val="auto"/>
              </w:rPr>
            </w:pPr>
            <w:r>
              <w:rPr>
                <w:rFonts w:ascii="Arial" w:cs="Arial" w:eastAsia="Arial" w:hAnsi="Arial"/>
                <w:sz w:val="14"/>
                <w:szCs w:val="14"/>
                <w:color w:val="auto"/>
              </w:rPr>
              <w:t>0.02%</w:t>
            </w:r>
          </w:p>
        </w:tc>
        <w:tc>
          <w:tcPr>
            <w:tcW w:w="900" w:type="dxa"/>
            <w:vAlign w:val="bottom"/>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3"/>
              <w:spacing w:after="0"/>
              <w:rPr>
                <w:sz w:val="20"/>
                <w:szCs w:val="20"/>
                <w:color w:val="auto"/>
              </w:rPr>
            </w:pPr>
            <w:r>
              <w:rPr>
                <w:rFonts w:ascii="Arial" w:cs="Arial" w:eastAsia="Arial" w:hAnsi="Arial"/>
                <w:sz w:val="14"/>
                <w:szCs w:val="14"/>
                <w:color w:val="auto"/>
              </w:rPr>
              <w:t>(390)</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105</w:t>
            </w:r>
          </w:p>
        </w:tc>
      </w:tr>
    </w:tbl>
    <w:p>
      <w:pPr>
        <w:spacing w:after="0" w:line="101" w:lineRule="exact"/>
        <w:rPr>
          <w:sz w:val="20"/>
          <w:szCs w:val="20"/>
          <w:color w:val="auto"/>
        </w:rPr>
      </w:pPr>
    </w:p>
    <w:p>
      <w:pPr>
        <w:ind w:left="80" w:hanging="72"/>
        <w:spacing w:after="0"/>
        <w:tabs>
          <w:tab w:leader="none" w:pos="80" w:val="left"/>
        </w:tabs>
        <w:numPr>
          <w:ilvl w:val="0"/>
          <w:numId w:val="21"/>
        </w:numPr>
        <w:rPr>
          <w:rFonts w:ascii="Arial" w:cs="Arial" w:eastAsia="Arial" w:hAnsi="Arial"/>
          <w:sz w:val="9"/>
          <w:szCs w:val="9"/>
          <w:color w:val="auto"/>
        </w:rPr>
      </w:pPr>
      <w:r>
        <w:rPr>
          <w:rFonts w:ascii="Arial" w:cs="Arial" w:eastAsia="Arial" w:hAnsi="Arial"/>
          <w:sz w:val="14"/>
          <w:szCs w:val="14"/>
          <w:color w:val="auto"/>
        </w:rPr>
        <w:t>Represents annualized loan repayment rate assumption.</w:t>
      </w:r>
    </w:p>
    <w:p>
      <w:pPr>
        <w:spacing w:after="0" w:line="13" w:lineRule="exact"/>
        <w:rPr>
          <w:sz w:val="20"/>
          <w:szCs w:val="20"/>
          <w:color w:val="auto"/>
        </w:rPr>
      </w:pPr>
    </w:p>
    <w:p>
      <w:pPr>
        <w:ind w:left="80" w:hanging="72"/>
        <w:spacing w:after="0"/>
        <w:tabs>
          <w:tab w:leader="none" w:pos="80" w:val="left"/>
        </w:tabs>
        <w:numPr>
          <w:ilvl w:val="0"/>
          <w:numId w:val="22"/>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comparing the model’s results to historical prepayment data. The fair value and constant prepayment rate are also compared to forward-looking estimates to assess reasonableness. The Treasury Division also compares the fair value of the Company’s mortgage servicing rights to a value calculated by an independent third party. Discussions are held with members from the Treasury, Mortgage Banking, and Controllers Divisions, along with the independent third party to discuss and reconcile the fair value estimates and key assumptions used by the respective parties in arriving at those estimates. A subcommittee of the Company’s Asset/Liability Management Committee is responsible for providing oversight over the valuation methodology and key assumptions.</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our secondary marketing system using historical data and the ratio is periodically reviewed by the Company.</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unobservable input used in the fair value measurement of the Company’s interest rate swap agreements is the credit factor. This factor represents the risk that a counterparty is either unable or unwilling to settle a transaction in accordance with the underlying contractual terms. A significant increase (decrease) in the credit factor could result in a significantly lower (higher) fair value measurement. The credit factor is determined by the Treasury Division based on the risk rating assigned to each counterparty in which the Company holds a net asset position. The Company’s Credit Policy Committee periodically reviews and approves the Expected Default Frequency of the Economic Capital Model for Credit Risk. The Expected Default Frequency is used as the credit factor for interest rate swap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For the three months ended March 31, 2018 and December 31, 2017, there were no material adjustments to fair value for the Company’s assets and liabilities measured at fair value on a nonrecurring basis in accordance with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unpaid principal balance of the Company’s residential mortgage loans held for sale as of March 31, 2018 and December 31,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Aggregate Fair Value</w:t>
            </w:r>
          </w:p>
        </w:tc>
      </w:tr>
      <w:tr>
        <w:trPr>
          <w:trHeight w:val="203"/>
        </w:trPr>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00" w:type="dxa"/>
            <w:vAlign w:val="bottom"/>
          </w:tcPr>
          <w:p>
            <w:pPr>
              <w:jc w:val="right"/>
              <w:ind w:right="279"/>
              <w:spacing w:after="0"/>
              <w:rPr>
                <w:sz w:val="20"/>
                <w:szCs w:val="20"/>
                <w:color w:val="auto"/>
              </w:rPr>
            </w:pPr>
            <w:r>
              <w:rPr>
                <w:rFonts w:ascii="Arial" w:cs="Arial" w:eastAsia="Arial" w:hAnsi="Arial"/>
                <w:sz w:val="16"/>
                <w:szCs w:val="16"/>
                <w:b w:val="1"/>
                <w:bCs w:val="1"/>
                <w:color w:val="auto"/>
              </w:rPr>
              <w:t>Aggregate</w:t>
            </w:r>
          </w:p>
        </w:tc>
        <w:tc>
          <w:tcPr>
            <w:tcW w:w="680" w:type="dxa"/>
            <w:vAlign w:val="bottom"/>
          </w:tcPr>
          <w:p>
            <w:pPr>
              <w:spacing w:after="0"/>
              <w:rPr>
                <w:sz w:val="17"/>
                <w:szCs w:val="17"/>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Aggregate</w:t>
            </w:r>
          </w:p>
        </w:tc>
        <w:tc>
          <w:tcPr>
            <w:tcW w:w="7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Less Aggregate</w:t>
            </w:r>
          </w:p>
        </w:tc>
      </w:tr>
      <w:tr>
        <w:trPr>
          <w:trHeight w:val="237"/>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200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Unpaid Principal</w:t>
            </w:r>
          </w:p>
        </w:tc>
        <w:tc>
          <w:tcPr>
            <w:tcW w:w="19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Unpaid Principal</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March 31, 2018</w:t>
            </w:r>
          </w:p>
        </w:tc>
        <w:tc>
          <w:tcPr>
            <w:tcW w:w="2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380"/>
              <w:spacing w:after="0"/>
              <w:rPr>
                <w:sz w:val="20"/>
                <w:szCs w:val="20"/>
                <w:color w:val="auto"/>
              </w:rPr>
            </w:pPr>
            <w:r>
              <w:rPr>
                <w:rFonts w:ascii="Arial" w:cs="Arial" w:eastAsia="Arial" w:hAnsi="Arial"/>
                <w:sz w:val="16"/>
                <w:szCs w:val="16"/>
                <w:color w:val="auto"/>
              </w:rPr>
              <w:t>Loans Held for Sale</w:t>
            </w:r>
          </w:p>
        </w:tc>
        <w:tc>
          <w:tcPr>
            <w:tcW w:w="2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23,548</w:t>
            </w: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99"/>
              <w:spacing w:after="0"/>
              <w:rPr>
                <w:sz w:val="20"/>
                <w:szCs w:val="20"/>
                <w:color w:val="auto"/>
              </w:rPr>
            </w:pPr>
            <w:r>
              <w:rPr>
                <w:rFonts w:ascii="Arial" w:cs="Arial" w:eastAsia="Arial" w:hAnsi="Arial"/>
                <w:sz w:val="16"/>
                <w:szCs w:val="16"/>
                <w:color w:val="auto"/>
              </w:rPr>
              <w:t>23,307</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241</w:t>
            </w:r>
          </w:p>
        </w:tc>
      </w:tr>
      <w:tr>
        <w:trPr>
          <w:trHeight w:val="33"/>
        </w:trPr>
        <w:tc>
          <w:tcPr>
            <w:tcW w:w="3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8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2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3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Loans Held for Sale</w:t>
            </w:r>
          </w:p>
        </w:tc>
        <w:tc>
          <w:tcPr>
            <w:tcW w:w="2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19,231</w:t>
            </w:r>
          </w:p>
        </w:tc>
        <w:tc>
          <w:tcPr>
            <w:tcW w:w="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18,854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r>
      <w:tr>
        <w:trPr>
          <w:trHeight w:val="33"/>
        </w:trPr>
        <w:tc>
          <w:tcPr>
            <w:tcW w:w="37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Changes in the estimated fair value of residential mortgage loans held for sale are reported as a component of mortgage banking income in the Company’s consolidated statements of income. For the three months ended March 31, 2018 and 2017, the net gains or losses from the change in fair value of the Company’s residential mortgage loans held for sale were not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presents the carrying amount, fair value, and placement in the fair value hierarchy of the Company’s financial instruments not recorded at fair value on a recurring basis as of March 31, 2018 and December 31, 2017.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 Measurements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5"/>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5" w:lineRule="exact"/>
              <w:rPr>
                <w:sz w:val="20"/>
                <w:szCs w:val="20"/>
                <w:color w:val="auto"/>
              </w:rPr>
            </w:pPr>
            <w:r>
              <w:rPr>
                <w:rFonts w:ascii="Arial" w:cs="Arial" w:eastAsia="Arial" w:hAnsi="Arial"/>
                <w:sz w:val="15"/>
                <w:szCs w:val="15"/>
                <w:b w:val="1"/>
                <w:bCs w:val="1"/>
                <w:color w:val="auto"/>
              </w:rPr>
              <w:t>Quoted Prices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in Active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Markets for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Significant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Identical</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Other</w:t>
            </w:r>
          </w:p>
        </w:tc>
        <w:tc>
          <w:tcPr>
            <w:tcW w:w="180" w:type="dxa"/>
            <w:vAlign w:val="bottom"/>
          </w:tcPr>
          <w:p>
            <w:pPr>
              <w:spacing w:after="0"/>
              <w:rPr>
                <w:sz w:val="14"/>
                <w:szCs w:val="14"/>
                <w:color w:val="auto"/>
              </w:rPr>
            </w:pPr>
          </w:p>
        </w:tc>
        <w:tc>
          <w:tcPr>
            <w:tcW w:w="108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rPr>
              <w:t>Significant</w:t>
            </w: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Assets 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Observable</w:t>
            </w:r>
          </w:p>
        </w:tc>
        <w:tc>
          <w:tcPr>
            <w:tcW w:w="180" w:type="dxa"/>
            <w:vAlign w:val="bottom"/>
          </w:tcPr>
          <w:p>
            <w:pPr>
              <w:spacing w:after="0"/>
              <w:rPr>
                <w:sz w:val="14"/>
                <w:szCs w:val="14"/>
                <w:color w:val="auto"/>
              </w:rPr>
            </w:pPr>
          </w:p>
        </w:tc>
        <w:tc>
          <w:tcPr>
            <w:tcW w:w="108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w w:val="96"/>
              </w:rPr>
              <w:t>Unobservable</w:t>
            </w:r>
          </w:p>
        </w:tc>
      </w:tr>
      <w:tr>
        <w:trPr>
          <w:trHeight w:val="198"/>
        </w:trPr>
        <w:tc>
          <w:tcPr>
            <w:tcW w:w="3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ind w:right="120"/>
              <w:spacing w:after="0"/>
              <w:rPr>
                <w:sz w:val="20"/>
                <w:szCs w:val="20"/>
                <w:color w:val="auto"/>
              </w:rPr>
            </w:pPr>
            <w:r>
              <w:rPr>
                <w:rFonts w:ascii="Arial" w:cs="Arial" w:eastAsia="Arial" w:hAnsi="Arial"/>
                <w:sz w:val="15"/>
                <w:szCs w:val="15"/>
                <w:b w:val="1"/>
                <w:bCs w:val="1"/>
                <w:color w:val="auto"/>
              </w:rPr>
              <w:t>Carrying</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01"/>
              <w:spacing w:after="0"/>
              <w:rPr>
                <w:sz w:val="20"/>
                <w:szCs w:val="20"/>
                <w:color w:val="auto"/>
              </w:rPr>
            </w:pPr>
            <w:r>
              <w:rPr>
                <w:rFonts w:ascii="Arial" w:cs="Arial" w:eastAsia="Arial" w:hAnsi="Arial"/>
                <w:sz w:val="15"/>
                <w:szCs w:val="15"/>
                <w:b w:val="1"/>
                <w:bCs w:val="1"/>
                <w:color w:val="auto"/>
              </w:rPr>
              <w:t>Liabilities</w:t>
            </w:r>
          </w:p>
        </w:tc>
        <w:tc>
          <w:tcPr>
            <w:tcW w:w="380" w:type="dxa"/>
            <w:vAlign w:val="bottom"/>
          </w:tcPr>
          <w:p>
            <w:pPr>
              <w:spacing w:after="0"/>
              <w:rPr>
                <w:sz w:val="17"/>
                <w:szCs w:val="17"/>
                <w:color w:val="auto"/>
              </w:rPr>
            </w:pPr>
          </w:p>
        </w:tc>
        <w:tc>
          <w:tcPr>
            <w:tcW w:w="1200" w:type="dxa"/>
            <w:vAlign w:val="bottom"/>
          </w:tcPr>
          <w:p>
            <w:pPr>
              <w:jc w:val="right"/>
              <w:ind w:right="220"/>
              <w:spacing w:after="0"/>
              <w:rPr>
                <w:sz w:val="20"/>
                <w:szCs w:val="20"/>
                <w:color w:val="auto"/>
              </w:rPr>
            </w:pPr>
            <w:r>
              <w:rPr>
                <w:rFonts w:ascii="Arial" w:cs="Arial" w:eastAsia="Arial" w:hAnsi="Arial"/>
                <w:sz w:val="15"/>
                <w:szCs w:val="15"/>
                <w:b w:val="1"/>
                <w:bCs w:val="1"/>
                <w:color w:val="auto"/>
              </w:rPr>
              <w:t>Inputs</w:t>
            </w:r>
          </w:p>
        </w:tc>
        <w:tc>
          <w:tcPr>
            <w:tcW w:w="18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5"/>
                <w:szCs w:val="15"/>
                <w:b w:val="1"/>
                <w:bCs w:val="1"/>
                <w:color w:val="auto"/>
              </w:rPr>
              <w:t>Inputs</w:t>
            </w:r>
          </w:p>
        </w:tc>
      </w:tr>
      <w:tr>
        <w:trPr>
          <w:trHeight w:val="216"/>
        </w:trPr>
        <w:tc>
          <w:tcPr>
            <w:tcW w:w="382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56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5"/>
                <w:szCs w:val="15"/>
                <w:b w:val="1"/>
                <w:bCs w:val="1"/>
                <w:color w:val="auto"/>
              </w:rPr>
              <w:t>Amount</w:t>
            </w:r>
          </w:p>
        </w:tc>
        <w:tc>
          <w:tcPr>
            <w:tcW w:w="46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Arial" w:cs="Arial" w:eastAsia="Arial" w:hAnsi="Arial"/>
                <w:sz w:val="15"/>
                <w:szCs w:val="15"/>
                <w:b w:val="1"/>
                <w:bCs w:val="1"/>
                <w:color w:val="auto"/>
              </w:rPr>
              <w:t>Fair Value</w:t>
            </w:r>
          </w:p>
        </w:tc>
        <w:tc>
          <w:tcPr>
            <w:tcW w:w="260" w:type="dxa"/>
            <w:vAlign w:val="bottom"/>
          </w:tcPr>
          <w:p>
            <w:pPr>
              <w:spacing w:after="0"/>
              <w:rPr>
                <w:sz w:val="18"/>
                <w:szCs w:val="18"/>
                <w:color w:val="auto"/>
              </w:rPr>
            </w:pPr>
          </w:p>
        </w:tc>
        <w:tc>
          <w:tcPr>
            <w:tcW w:w="1280" w:type="dxa"/>
            <w:vAlign w:val="bottom"/>
          </w:tcPr>
          <w:p>
            <w:pPr>
              <w:jc w:val="right"/>
              <w:ind w:right="101"/>
              <w:spacing w:after="0"/>
              <w:rPr>
                <w:sz w:val="20"/>
                <w:szCs w:val="20"/>
                <w:color w:val="auto"/>
              </w:rPr>
            </w:pPr>
            <w:r>
              <w:rPr>
                <w:rFonts w:ascii="Arial" w:cs="Arial" w:eastAsia="Arial" w:hAnsi="Arial"/>
                <w:sz w:val="15"/>
                <w:szCs w:val="15"/>
                <w:b w:val="1"/>
                <w:bCs w:val="1"/>
                <w:color w:val="auto"/>
              </w:rPr>
              <w:t>(Level 1)</w:t>
            </w:r>
          </w:p>
        </w:tc>
        <w:tc>
          <w:tcPr>
            <w:tcW w:w="380" w:type="dxa"/>
            <w:vAlign w:val="bottom"/>
          </w:tcPr>
          <w:p>
            <w:pPr>
              <w:spacing w:after="0"/>
              <w:rPr>
                <w:sz w:val="18"/>
                <w:szCs w:val="18"/>
                <w:color w:val="auto"/>
              </w:rPr>
            </w:pPr>
          </w:p>
        </w:tc>
        <w:tc>
          <w:tcPr>
            <w:tcW w:w="1200" w:type="dxa"/>
            <w:vAlign w:val="bottom"/>
          </w:tcPr>
          <w:p>
            <w:pPr>
              <w:jc w:val="right"/>
              <w:ind w:right="220"/>
              <w:spacing w:after="0"/>
              <w:rPr>
                <w:sz w:val="20"/>
                <w:szCs w:val="20"/>
                <w:color w:val="auto"/>
              </w:rPr>
            </w:pPr>
            <w:r>
              <w:rPr>
                <w:rFonts w:ascii="Arial" w:cs="Arial" w:eastAsia="Arial" w:hAnsi="Arial"/>
                <w:sz w:val="15"/>
                <w:szCs w:val="15"/>
                <w:b w:val="1"/>
                <w:bCs w:val="1"/>
                <w:color w:val="auto"/>
              </w:rPr>
              <w:t>(Level 2)</w:t>
            </w:r>
          </w:p>
        </w:tc>
        <w:tc>
          <w:tcPr>
            <w:tcW w:w="18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Arial" w:cs="Arial" w:eastAsia="Arial" w:hAnsi="Arial"/>
                <w:sz w:val="15"/>
                <w:szCs w:val="15"/>
                <w:b w:val="1"/>
                <w:bCs w:val="1"/>
                <w:color w:val="auto"/>
              </w:rPr>
              <w:t>(Level 3)</w:t>
            </w:r>
          </w:p>
        </w:tc>
      </w:tr>
      <w:tr>
        <w:trPr>
          <w:trHeight w:val="62"/>
        </w:trPr>
        <w:tc>
          <w:tcPr>
            <w:tcW w:w="38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March 31, 2018</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3,789,092</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3,711,149</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392,798</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3,318,351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9"/>
        </w:trPr>
        <w:tc>
          <w:tcPr>
            <w:tcW w:w="382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560" w:type="dxa"/>
            <w:vAlign w:val="bottom"/>
          </w:tcPr>
          <w:p>
            <w:pPr>
              <w:spacing w:after="0"/>
              <w:rPr>
                <w:sz w:val="23"/>
                <w:szCs w:val="23"/>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9,553,491</w:t>
            </w:r>
          </w:p>
        </w:tc>
        <w:tc>
          <w:tcPr>
            <w:tcW w:w="460" w:type="dxa"/>
            <w:vAlign w:val="bottom"/>
          </w:tcPr>
          <w:p>
            <w:pPr>
              <w:spacing w:after="0"/>
              <w:rPr>
                <w:sz w:val="23"/>
                <w:szCs w:val="23"/>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9,485,997</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9,485,997</w:t>
            </w:r>
          </w:p>
        </w:tc>
      </w:tr>
      <w:tr>
        <w:trPr>
          <w:trHeight w:val="271"/>
        </w:trPr>
        <w:tc>
          <w:tcPr>
            <w:tcW w:w="38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1,771,692</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1,758,779</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1,758,779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w w:val="99"/>
              </w:rPr>
              <w:t>Securities Sold Under Agreements to Repurchase</w:t>
            </w:r>
          </w:p>
        </w:tc>
        <w:tc>
          <w:tcPr>
            <w:tcW w:w="560" w:type="dxa"/>
            <w:vAlign w:val="bottom"/>
          </w:tcPr>
          <w:p>
            <w:pPr>
              <w:spacing w:after="0"/>
              <w:rPr>
                <w:sz w:val="20"/>
                <w:szCs w:val="20"/>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505,293</w:t>
            </w:r>
          </w:p>
        </w:tc>
        <w:tc>
          <w:tcPr>
            <w:tcW w:w="46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505,271</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505,271</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225,000</w:t>
            </w:r>
          </w:p>
        </w:tc>
        <w:tc>
          <w:tcPr>
            <w:tcW w:w="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223,027</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223,027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December 31, 2017</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3,928,170</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3,894,121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373,640</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3,520,481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9"/>
        </w:trPr>
        <w:tc>
          <w:tcPr>
            <w:tcW w:w="382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560" w:type="dxa"/>
            <w:vAlign w:val="bottom"/>
          </w:tcPr>
          <w:p>
            <w:pPr>
              <w:spacing w:after="0"/>
              <w:rPr>
                <w:sz w:val="23"/>
                <w:szCs w:val="23"/>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9,436,506</w:t>
            </w:r>
          </w:p>
        </w:tc>
        <w:tc>
          <w:tcPr>
            <w:tcW w:w="460" w:type="dxa"/>
            <w:vAlign w:val="bottom"/>
          </w:tcPr>
          <w:p>
            <w:pPr>
              <w:spacing w:after="0"/>
              <w:rPr>
                <w:sz w:val="23"/>
                <w:szCs w:val="23"/>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9,519,369</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9,519,369</w:t>
            </w:r>
          </w:p>
        </w:tc>
      </w:tr>
      <w:tr>
        <w:trPr>
          <w:trHeight w:val="271"/>
        </w:trPr>
        <w:tc>
          <w:tcPr>
            <w:tcW w:w="38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1,688,092</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1,679,684</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1,679,684</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w w:val="99"/>
              </w:rPr>
              <w:t>Securities Sold Under Agreements to Repurchase</w:t>
            </w:r>
          </w:p>
        </w:tc>
        <w:tc>
          <w:tcPr>
            <w:tcW w:w="560" w:type="dxa"/>
            <w:vAlign w:val="bottom"/>
          </w:tcPr>
          <w:p>
            <w:pPr>
              <w:spacing w:after="0"/>
              <w:rPr>
                <w:sz w:val="20"/>
                <w:szCs w:val="20"/>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505,293</w:t>
            </w:r>
          </w:p>
        </w:tc>
        <w:tc>
          <w:tcPr>
            <w:tcW w:w="46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505,278</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505,278</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250,000</w:t>
            </w: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248,520</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248,520</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180" w:right="340" w:hanging="172"/>
        <w:spacing w:after="0" w:line="250" w:lineRule="auto"/>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Carrying amount is net of unearned income and the Allowance. In accordance with the prospective adoption of ASU No. 2016-01, the fair value of loans as of March 31, 2018 was measured using an exit price notion. The fair value of loans as of December 31, 2017 was measured using an entry price notion.</w:t>
      </w:r>
    </w:p>
    <w:p>
      <w:pPr>
        <w:spacing w:after="0" w:line="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9"/>
          <w:szCs w:val="9"/>
          <w:color w:val="auto"/>
        </w:rPr>
      </w:pPr>
      <w:r>
        <w:rPr>
          <w:rFonts w:ascii="Arial" w:cs="Arial" w:eastAsia="Arial" w:hAnsi="Arial"/>
          <w:sz w:val="14"/>
          <w:szCs w:val="14"/>
          <w:color w:val="auto"/>
        </w:rPr>
        <w:t>Excludes capitalized lease obligations.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Revenue Recognition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On January 1, 2018, 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all subsequent ASUs that modified Topic 606. As stated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implementation of the new standard did not have a material impact on the measurement or recognition of revenue; as such, a cumulative effect adjustment to opening retained earnings was not deemed necessary. Results for reporting periods beginning after January 1, 2018 are presented under Topic 606, while prior period amounts were not adjusted and continue to be reported in accordance with our historic accounting under Topic 605.</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Topic 606 does not apply to revenue associated with financial instruments, including revenue from loans and securities. In addition, certain noninterest income streams such as fees associated with mortgage servicing rights, financial guarantees, derivatives, and certain credit card fees are also not in scope of the new guidance. Topic 606 is applicable to noninterest revenue streams such as trust and asset management income, deposit related fees, interchange fees, merchant income, and annuity and insurance commissions. However, the recognition of these revenue streams did not change significantly upon adoption of Topic 606. Substantially all of the Company’s revenue is generated from contracts with customers. Noninterest revenue streams in-scope of Topic 606 are discussed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and Asset Management</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Trust and asset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Charges on Deposit Accounts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Service charges on deposit accounts consist of account analysis fees (i.e., net fees earned on analyzed business and public checking accounts), monthly service fees, check orders, and other deposit account related fees. The Company’s performance obligation for account analysis fees and monthly service fees is generally satisfied, and the related revenue recognized, over the period in which the service is provided. Check orders and other deposit account related fees are largely transactional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Exchange, and Other Service Charges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Fees, exchange, and other service charges are primarily comprised of debit and credit card income, ATM fees, merchant services income, and other service charges. Debit and credit card income is primarily comprised of interchange fees earned whenever the Company’s debit and credit cards are processed through card payment networks such as Visa. ATM fees are primarily generated when a Company cardholder uses a non-Company ATM or a non-Company cardholder uses a Company ATM. Merchant services income mainly represents fees charged to merchants to process their debit and credit card transactions, in addition to account management fees. Other service charges include revenue from processing wire transfers, bill pay service, cashier’s checks, and other services. The Company’s performance obligation for fees, exchange, and other service charges are largely satisfied, and related revenue recognized, when the services are rendered or upon completion. Payment is typically received immediately or in the following month.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Annuity and Insurance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 products and are calculated based on a percentage of market value at period end. Revenue is not recognized until the annuity’s market value can be determined.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30"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Other noninterest income consists of other recurring revenue streams such as commissions from sales of mutual funds and other investments, investment advisor fees from the Company’s Managed Account Platform Services (MAPS) wealth management product, safety deposit box rental fees, and other miscellaneous revenue streams. Commissions from the sale of mutual funds and other investments are recognized on trade date, which is when the Company has satisfied its performance obligation. The Company also receives periodic service fees (i.e., trailers) from mutual fund companies typically based on a percentage of net asset value. Trailer revenue is recorded over time, usually monthly or quarterly, as net asset value is determined. Investment advisor fees from the MAPS wealth management product is earned over time and based on an annual percentage rate of the net asset value. The investment advisor fees are charged to the customer’s account in advance on the first month of the quarter, and the revenue is recognized over the following three-month period. Safe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w:t>
      </w:r>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presents noninterest income, segregated by revenue streams in-scope and out-of-scope of Topic 606, for the three months ended March 31, 2018 and 2017.</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7"/>
                <w:szCs w:val="17"/>
                <w:color w:val="auto"/>
              </w:rPr>
            </w:pPr>
          </w:p>
        </w:tc>
      </w:tr>
      <w:tr>
        <w:trPr>
          <w:trHeight w:val="210"/>
        </w:trPr>
        <w:tc>
          <w:tcPr>
            <w:tcW w:w="8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18"/>
                <w:szCs w:val="18"/>
                <w:color w:val="auto"/>
              </w:rPr>
            </w:pPr>
          </w:p>
        </w:tc>
      </w:tr>
      <w:tr>
        <w:trPr>
          <w:trHeight w:val="33"/>
        </w:trPr>
        <w:tc>
          <w:tcPr>
            <w:tcW w:w="8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71"/>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8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8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Noninterest Income</w:t>
            </w:r>
          </w:p>
        </w:tc>
        <w:tc>
          <w:tcPr>
            <w:tcW w:w="46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spacing w:after="0"/>
              <w:rPr>
                <w:sz w:val="21"/>
                <w:szCs w:val="21"/>
                <w:color w:val="auto"/>
              </w:rPr>
            </w:pPr>
          </w:p>
        </w:tc>
        <w:tc>
          <w:tcPr>
            <w:tcW w:w="640" w:type="dxa"/>
            <w:vAlign w:val="bottom"/>
            <w:tcBorders>
              <w:bottom w:val="single" w:sz="8" w:color="BFE4FF"/>
            </w:tcBorders>
            <w:shd w:val="clear" w:color="auto" w:fill="BFE4FF"/>
          </w:tcPr>
          <w:p>
            <w:pPr>
              <w:spacing w:after="0"/>
              <w:rPr>
                <w:sz w:val="21"/>
                <w:szCs w:val="21"/>
                <w:color w:val="auto"/>
              </w:rPr>
            </w:pPr>
          </w:p>
        </w:tc>
      </w:tr>
      <w:tr>
        <w:trPr>
          <w:trHeight w:val="237"/>
        </w:trPr>
        <w:tc>
          <w:tcPr>
            <w:tcW w:w="8000" w:type="dxa"/>
            <w:vAlign w:val="bottom"/>
          </w:tcPr>
          <w:p>
            <w:pPr>
              <w:ind w:left="260"/>
              <w:spacing w:after="0"/>
              <w:rPr>
                <w:sz w:val="20"/>
                <w:szCs w:val="20"/>
                <w:color w:val="auto"/>
              </w:rPr>
            </w:pPr>
            <w:r>
              <w:rPr>
                <w:rFonts w:ascii="Arial" w:cs="Arial" w:eastAsia="Arial" w:hAnsi="Arial"/>
                <w:sz w:val="16"/>
                <w:szCs w:val="16"/>
                <w:i w:val="1"/>
                <w:iCs w:val="1"/>
                <w:color w:val="auto"/>
              </w:rPr>
              <w:t>In-scope of Topic 606:</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0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Trust and Asset Management</w:t>
            </w:r>
          </w:p>
        </w:tc>
        <w:tc>
          <w:tcPr>
            <w:tcW w:w="900" w:type="dxa"/>
            <w:vAlign w:val="bottom"/>
            <w:tcBorders>
              <w:bottom w:val="single" w:sz="8" w:color="BFE4FF"/>
            </w:tcBorders>
            <w:gridSpan w:val="2"/>
            <w:shd w:val="clear" w:color="auto" w:fill="BFE4FF"/>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11,181</w:t>
            </w:r>
          </w:p>
        </w:tc>
        <w:tc>
          <w:tcPr>
            <w:tcW w:w="860" w:type="dxa"/>
            <w:vAlign w:val="bottom"/>
            <w:tcBorders>
              <w:bottom w:val="single" w:sz="8" w:color="BFE4FF"/>
            </w:tcBorders>
            <w:shd w:val="clear" w:color="auto" w:fill="BFE4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11,479</w:t>
            </w:r>
          </w:p>
        </w:tc>
      </w:tr>
      <w:tr>
        <w:trPr>
          <w:trHeight w:val="237"/>
        </w:trPr>
        <w:tc>
          <w:tcPr>
            <w:tcW w:w="8000" w:type="dxa"/>
            <w:vAlign w:val="bottom"/>
          </w:tcPr>
          <w:p>
            <w:pPr>
              <w:ind w:left="380"/>
              <w:spacing w:after="0"/>
              <w:rPr>
                <w:sz w:val="20"/>
                <w:szCs w:val="20"/>
                <w:color w:val="auto"/>
              </w:rPr>
            </w:pPr>
            <w:r>
              <w:rPr>
                <w:rFonts w:ascii="Arial" w:cs="Arial" w:eastAsia="Arial" w:hAnsi="Arial"/>
                <w:sz w:val="16"/>
                <w:szCs w:val="16"/>
                <w:color w:val="auto"/>
              </w:rPr>
              <w:t>Service Charges on Deposit Accounts</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3,574</w:t>
            </w:r>
          </w:p>
        </w:tc>
        <w:tc>
          <w:tcPr>
            <w:tcW w:w="8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4,033</w:t>
            </w:r>
          </w:p>
        </w:tc>
      </w:tr>
      <w:tr>
        <w:trPr>
          <w:trHeight w:val="33"/>
        </w:trPr>
        <w:tc>
          <w:tcPr>
            <w:tcW w:w="8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0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Fees, Exchange, and Other Service Charges</w:t>
            </w:r>
          </w:p>
        </w:tc>
        <w:tc>
          <w:tcPr>
            <w:tcW w:w="46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11,593</w:t>
            </w:r>
          </w:p>
        </w:tc>
        <w:tc>
          <w:tcPr>
            <w:tcW w:w="860" w:type="dxa"/>
            <w:vAlign w:val="bottom"/>
            <w:tcBorders>
              <w:bottom w:val="single" w:sz="8" w:color="BFE4FF"/>
            </w:tcBorders>
            <w:shd w:val="clear" w:color="auto" w:fill="BFE4FF"/>
          </w:tcPr>
          <w:p>
            <w:pPr>
              <w:spacing w:after="0"/>
              <w:rPr>
                <w:sz w:val="21"/>
                <w:szCs w:val="21"/>
                <w:color w:val="auto"/>
              </w:rPr>
            </w:pPr>
          </w:p>
        </w:tc>
        <w:tc>
          <w:tcPr>
            <w:tcW w:w="6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10,755</w:t>
            </w:r>
          </w:p>
        </w:tc>
      </w:tr>
      <w:tr>
        <w:trPr>
          <w:trHeight w:val="237"/>
        </w:trPr>
        <w:tc>
          <w:tcPr>
            <w:tcW w:w="8000" w:type="dxa"/>
            <w:vAlign w:val="bottom"/>
          </w:tcPr>
          <w:p>
            <w:pPr>
              <w:ind w:left="380"/>
              <w:spacing w:after="0"/>
              <w:rPr>
                <w:sz w:val="20"/>
                <w:szCs w:val="20"/>
                <w:color w:val="auto"/>
              </w:rPr>
            </w:pPr>
            <w:r>
              <w:rPr>
                <w:rFonts w:ascii="Arial" w:cs="Arial" w:eastAsia="Arial" w:hAnsi="Arial"/>
                <w:sz w:val="16"/>
                <w:szCs w:val="16"/>
                <w:color w:val="auto"/>
              </w:rPr>
              <w:t>Annuity and Insurance</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1,144</w:t>
            </w:r>
          </w:p>
        </w:tc>
        <w:tc>
          <w:tcPr>
            <w:tcW w:w="8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1,891</w:t>
            </w:r>
          </w:p>
        </w:tc>
      </w:tr>
      <w:tr>
        <w:trPr>
          <w:trHeight w:val="33"/>
        </w:trPr>
        <w:tc>
          <w:tcPr>
            <w:tcW w:w="8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80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BFE4FF"/>
            </w:tcBorders>
            <w:shd w:val="clear" w:color="auto" w:fill="BFE4FF"/>
          </w:tcPr>
          <w:p>
            <w:pPr>
              <w:spacing w:after="0"/>
              <w:rPr>
                <w:sz w:val="23"/>
                <w:szCs w:val="23"/>
                <w:color w:val="auto"/>
              </w:rPr>
            </w:pPr>
          </w:p>
        </w:tc>
        <w:tc>
          <w:tcPr>
            <w:tcW w:w="4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2,277</w:t>
            </w:r>
          </w:p>
        </w:tc>
        <w:tc>
          <w:tcPr>
            <w:tcW w:w="860" w:type="dxa"/>
            <w:vAlign w:val="bottom"/>
            <w:tcBorders>
              <w:bottom w:val="single" w:sz="8" w:color="BFE4FF"/>
            </w:tcBorders>
            <w:shd w:val="clear" w:color="auto" w:fill="BFE4FF"/>
          </w:tcPr>
          <w:p>
            <w:pPr>
              <w:spacing w:after="0"/>
              <w:rPr>
                <w:sz w:val="23"/>
                <w:szCs w:val="23"/>
                <w:color w:val="auto"/>
              </w:rPr>
            </w:pPr>
          </w:p>
        </w:tc>
        <w:tc>
          <w:tcPr>
            <w:tcW w:w="6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2,096</w:t>
            </w:r>
          </w:p>
        </w:tc>
      </w:tr>
      <w:tr>
        <w:trPr>
          <w:trHeight w:val="231"/>
        </w:trPr>
        <w:tc>
          <w:tcPr>
            <w:tcW w:w="800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Noninterest Income (in-scope of Topic 606)</w:t>
            </w:r>
          </w:p>
        </w:tc>
        <w:tc>
          <w:tcPr>
            <w:tcW w:w="4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29,769</w:t>
            </w:r>
          </w:p>
        </w:tc>
        <w:tc>
          <w:tcPr>
            <w:tcW w:w="8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30,254</w:t>
            </w:r>
          </w:p>
        </w:tc>
      </w:tr>
      <w:tr>
        <w:trPr>
          <w:trHeight w:val="33"/>
        </w:trPr>
        <w:tc>
          <w:tcPr>
            <w:tcW w:w="8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800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6"/>
                <w:szCs w:val="16"/>
                <w:color w:val="auto"/>
              </w:rPr>
              <w:t>Noninterest Income (out-of-scope of Topic 606)</w:t>
            </w:r>
          </w:p>
        </w:tc>
        <w:tc>
          <w:tcPr>
            <w:tcW w:w="460" w:type="dxa"/>
            <w:vAlign w:val="bottom"/>
            <w:tcBorders>
              <w:bottom w:val="single" w:sz="8" w:color="BFE4FF"/>
            </w:tcBorders>
            <w:shd w:val="clear" w:color="auto" w:fill="BFE4FF"/>
          </w:tcPr>
          <w:p>
            <w:pPr>
              <w:spacing w:after="0"/>
              <w:rPr>
                <w:sz w:val="23"/>
                <w:szCs w:val="23"/>
                <w:color w:val="auto"/>
              </w:rPr>
            </w:pPr>
          </w:p>
        </w:tc>
        <w:tc>
          <w:tcPr>
            <w:tcW w:w="44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14,266</w:t>
            </w:r>
          </w:p>
        </w:tc>
        <w:tc>
          <w:tcPr>
            <w:tcW w:w="860" w:type="dxa"/>
            <w:vAlign w:val="bottom"/>
            <w:tcBorders>
              <w:bottom w:val="single" w:sz="8" w:color="BFE4FF"/>
            </w:tcBorders>
            <w:shd w:val="clear" w:color="auto" w:fill="BFE4FF"/>
          </w:tcPr>
          <w:p>
            <w:pPr>
              <w:spacing w:after="0"/>
              <w:rPr>
                <w:sz w:val="23"/>
                <w:szCs w:val="23"/>
                <w:color w:val="auto"/>
              </w:rPr>
            </w:pPr>
          </w:p>
        </w:tc>
        <w:tc>
          <w:tcPr>
            <w:tcW w:w="6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25,662</w:t>
            </w:r>
          </w:p>
        </w:tc>
      </w:tr>
      <w:tr>
        <w:trPr>
          <w:trHeight w:val="231"/>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9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44,035</w:t>
            </w:r>
          </w:p>
        </w:tc>
        <w:tc>
          <w:tcPr>
            <w:tcW w:w="86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55,916</w:t>
            </w:r>
          </w:p>
        </w:tc>
      </w:tr>
      <w:tr>
        <w:trPr>
          <w:trHeight w:val="33"/>
        </w:trPr>
        <w:tc>
          <w:tcPr>
            <w:tcW w:w="8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such as asset management fees based on month-end market values.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As of March 31, 2018 and December 31, 2017, the Company did not have any significant contract balances.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unanticipated changes in the securities markets, public debt markets, and other capital markets in the U.S. and internationally; 3) competitive pressures in the markets for financial services and products; 4) the impact of legislative and regulatory initiatives, particularly the Dodd-Frank Wall Street Reform and Consumer Protection Act of 2010 (the “Dodd-Frank Act”) and the current administration’s review of potential changes to such initiatives; 5) changes in fiscal and monetary policies of the markets in which we operate; 6) the increased cost of maintaining or the Company’s ability to maintain adequate liquidity and capital, based on the requirements adopted by the Basel Committee on Banking Supervision and U.S. regulators; 7) actual or alleged conduct which could harm our reputation; 8) changes in accounting standards; 9) changes in tax laws or regulations, including Public Law 115-97, commonly known as the Tax Cuts and Jobs Act, or the interpretation of such laws and regulations;</w:t>
      </w:r>
    </w:p>
    <w:p>
      <w:pPr>
        <w:spacing w:after="0" w:line="1" w:lineRule="exact"/>
        <w:rPr>
          <w:sz w:val="20"/>
          <w:szCs w:val="20"/>
          <w:color w:val="auto"/>
        </w:rPr>
      </w:pPr>
    </w:p>
    <w:p>
      <w:pPr>
        <w:ind w:firstLine="8"/>
        <w:spacing w:after="0" w:line="281" w:lineRule="auto"/>
        <w:tabs>
          <w:tab w:leader="none" w:pos="285"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our credit quality or risk profile that may increase or decrease the required level of our reserve for credit losses; 11) changes in market interest rates that may affect credit markets and our ability to maintain our net interest margin; 12) the impact of litigation and regulatory investigations of the Company, including costs, expenses, settlements, and judgments; 13) any failure in or breach of our operational systems, information systems or infrastructure, or those of our merchants, third party vendors and other service providers; 14) any interruption or breach of security of our information systems resulting in failures or disruptions in customer account management, general ledger processing, and loan or deposit systems; 15) changes to the amount and timing of proposed common stock repurchases; and 16) natural disasters, public unrest or adverse weather, public health, and other conditions impacting us and our customers’ operations.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II of this report and Part I of our Annual Report on</w:t>
      </w:r>
    </w:p>
    <w:p>
      <w:pPr>
        <w:spacing w:after="0" w:line="6" w:lineRule="exact"/>
        <w:rPr>
          <w:rFonts w:ascii="Arial" w:cs="Arial" w:eastAsia="Arial" w:hAnsi="Arial"/>
          <w:sz w:val="16"/>
          <w:szCs w:val="16"/>
          <w:color w:val="auto"/>
        </w:rPr>
      </w:pPr>
    </w:p>
    <w:p>
      <w:pPr>
        <w:ind w:right="100"/>
        <w:spacing w:after="0" w:line="302" w:lineRule="auto"/>
        <w:rPr>
          <w:rFonts w:ascii="Arial" w:cs="Arial" w:eastAsia="Arial" w:hAnsi="Arial"/>
          <w:sz w:val="16"/>
          <w:szCs w:val="16"/>
          <w:color w:val="auto"/>
        </w:rPr>
      </w:pPr>
      <w:r>
        <w:rPr>
          <w:rFonts w:ascii="Arial" w:cs="Arial" w:eastAsia="Arial" w:hAnsi="Arial"/>
          <w:sz w:val="16"/>
          <w:szCs w:val="16"/>
          <w:color w:val="auto"/>
        </w:rPr>
        <w:t>Form 10-K for the year ended December 31, 2017, and subsequent periodic and current reports filed with the SEC.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The Parent’s principal operating subsidiary is Bank of Hawaii (the “Bank”).</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Bank, directly and through its subsidiaries, provides a broad range of financial services and products to businesses, consumers, and governments in Hawaii, Guam, and other Pacific Islands. References to “we,” “our,” “us,” or the “Company” refer to the Parent and its subsidiaries that are consolidated for financial reporting purposes.</w:t>
      </w:r>
    </w:p>
    <w:p>
      <w:pPr>
        <w:spacing w:after="0" w:line="18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business strategy is to use our unique market knowledge, prudent management discipline and brand strength to deliver exceptional value to our stakeholders.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Economy</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General economic conditions in Hawaii remained positive during the first quarter of 2018 due to a continuation of the strong tourism market, active construction industry, low unemployment, and robust real estate market. For the first two months of 2018, total visitor arrivals increased 7.7% while total visitor spending increased 8.5% compared to the same period in 2017. The Hawaii statewide seasonally-adjusted unemployment rate was 2.1% in March 2018 compared to 4.1% nationally. For the first three months of 2018, the volume of single-family home sales on Oahu decreased 0.4%, while the volume of condominium sales on Oahu increased 0.7% compared with the same period in 2017. The median price of single-family home sales and condominium sales on Oahu increased 2.0% and 9.0%, respectively, for the first three months of 2018 compared to the same period in 2017. As of March 31, 2018, months of inventory of single-family homes and condominiums on Oahu remained low at 2.1 months and 2.6 months,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Summary</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income for the first quarter of 2018 was $54.0 million, an increase of $2.9 million or 6% compared to the same period in 2017. Diluted earnings per share was $1.28 for the first quarter of 2018, an increase of $0.08 or 7% compared to the same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higher earnings for the first quarter of 2018 were primarily due to the following:</w:t>
      </w:r>
    </w:p>
    <w:p>
      <w:pPr>
        <w:spacing w:after="0" w:line="225" w:lineRule="exact"/>
        <w:rPr>
          <w:sz w:val="20"/>
          <w:szCs w:val="20"/>
          <w:color w:val="auto"/>
        </w:rPr>
      </w:pPr>
    </w:p>
    <w:p>
      <w:pPr>
        <w:ind w:left="340" w:right="16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provision for income taxes for the first quarter of 2018 was $10.4 million, a decrease of $11.2 million or 52% compared to the same period in 2017 primarily due to the federal corporate tax rate changing from 35% to 21% as a result of the Tax Cuts and Jobs Act. The effective tax rate for the first quarter of 2018 was 16.19%, down from 29.72% for the same period in 2017. The tax rate was also favorably impacted by a $2.0 million basis adjustment to the Company’s low income housing investments in the first quarter of 2018.</w:t>
      </w:r>
    </w:p>
    <w:p>
      <w:pPr>
        <w:spacing w:after="0" w:line="105"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interest income for the first quarter of 2018 was $119.0 million, an increase of $9.1 million or 8% compared to the same period in 2017. This increase was primarily due to a higher level of earning assets, including growth in both our commercial and consumer lending portfolios, combined with a higher net interest margin. The higher level of earning assets was primarily funded by higher deposit balances. Our net interest margin was 3.00% in the first quarter of 2018, an increase of 11 basis points compared to the same period in 2017. The higher margin in 2018 was primarily due to our loans, which generally have higher yields than our investment securities, comprising a larger percentage of our earning assets compared to 2017. In addition, yields on our commercial loans, home equity loans, and investments portfolio increased. This increase was partially offset by an increase in rates offered on our deposit products.</w:t>
      </w:r>
    </w:p>
    <w:p>
      <w:pPr>
        <w:spacing w:after="0" w:line="108" w:lineRule="exact"/>
        <w:rPr>
          <w:rFonts w:ascii="Arial" w:cs="Arial" w:eastAsia="Arial" w:hAnsi="Arial"/>
          <w:sz w:val="18"/>
          <w:szCs w:val="18"/>
          <w:color w:val="auto"/>
        </w:rPr>
      </w:pPr>
    </w:p>
    <w:p>
      <w:pPr>
        <w:ind w:left="340" w:right="6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noninterest income for the first quarter of 2018 was $6.9 million, an increase of $3.0 million or 78% in the first quarter of 2018 compared to the same period in 2017 primarily due to a distribution received in the first quarter of 2018 from a low-income housing investment sale totaling $2.8 million.</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 the following:</w:t>
      </w:r>
    </w:p>
    <w:p>
      <w:pPr>
        <w:spacing w:after="0" w:line="144" w:lineRule="exact"/>
        <w:rPr>
          <w:sz w:val="20"/>
          <w:szCs w:val="20"/>
          <w:color w:val="auto"/>
        </w:rPr>
      </w:pPr>
    </w:p>
    <w:p>
      <w:pPr>
        <w:jc w:val="both"/>
        <w:ind w:left="340" w:right="8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securities gains (losses), net totaled $(0.7) million in the first quarter of 2018 compared to $12.1 million during the same period in 2017. The net losses in the first quarter of 2018 were due to fees paid to the counterparties of our prior Visa Class B share sale transactions. The net gain in the first quarter of 2017 was primarily due the sale of 90,000 Visa Class B shares.</w:t>
      </w:r>
    </w:p>
    <w:p>
      <w:pPr>
        <w:spacing w:after="0" w:line="10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Salaries and benefits for the first quarter of 2018 was $54.4 million, an increase of $3.3 million or 6% compared to the same period in 2017 primarily due to merit and minimum wage increases.</w:t>
      </w:r>
    </w:p>
    <w:p>
      <w:pPr>
        <w:spacing w:after="0" w:line="89" w:lineRule="exact"/>
        <w:rPr>
          <w:rFonts w:ascii="Arial" w:cs="Arial" w:eastAsia="Arial" w:hAnsi="Arial"/>
          <w:sz w:val="18"/>
          <w:szCs w:val="18"/>
          <w:color w:val="auto"/>
        </w:rPr>
      </w:pPr>
    </w:p>
    <w:p>
      <w:pPr>
        <w:ind w:left="340" w:right="5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noninterest expense for the first quarter of 2018 was $17.1 million, an increase of $1.7 million or 11% compared to the same period in 2017 primarily due to a $2.0 million increase in legal reserves.</w:t>
      </w:r>
    </w:p>
    <w:p>
      <w:pPr>
        <w:spacing w:after="0" w:line="89" w:lineRule="exact"/>
        <w:rPr>
          <w:rFonts w:ascii="Arial" w:cs="Arial" w:eastAsia="Arial" w:hAnsi="Arial"/>
          <w:sz w:val="18"/>
          <w:szCs w:val="18"/>
          <w:color w:val="auto"/>
        </w:rPr>
      </w:pPr>
    </w:p>
    <w:p>
      <w:pPr>
        <w:ind w:left="340" w:right="68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Mortgage banking income for the first quarter of 2018 was $2.1 million, a decrease of $1.2 million or 35% compared to the same period in 2017 primarily due to lower loan sales.</w:t>
      </w:r>
    </w:p>
    <w:p>
      <w:pPr>
        <w:spacing w:after="0" w:line="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maintained a strong balance sheet during the first quarter of 2018, with what we believe are adequate reserves for credit losses and high levels of liquidity and capital.</w:t>
      </w:r>
    </w:p>
    <w:p>
      <w:pPr>
        <w:spacing w:after="0" w:line="89" w:lineRule="exact"/>
        <w:rPr>
          <w:sz w:val="20"/>
          <w:szCs w:val="20"/>
          <w:color w:val="auto"/>
        </w:rPr>
      </w:pPr>
    </w:p>
    <w:p>
      <w:pPr>
        <w:ind w:left="340" w:right="18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loans and leases were $9.9 billion as of March 31, 2018, an increase of $119.7 million or 1% from December 31, 2017 primarily due to growth in our consumer lending portfolio.</w:t>
      </w:r>
    </w:p>
    <w:p>
      <w:pPr>
        <w:spacing w:after="0" w:line="89" w:lineRule="exact"/>
        <w:rPr>
          <w:rFonts w:ascii="Arial" w:cs="Arial" w:eastAsia="Arial" w:hAnsi="Arial"/>
          <w:sz w:val="18"/>
          <w:szCs w:val="18"/>
          <w:color w:val="auto"/>
        </w:rPr>
      </w:pPr>
    </w:p>
    <w:p>
      <w:pPr>
        <w:ind w:left="340" w:right="160" w:hanging="332"/>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allowance for loan and lease losses (the “Allowance”) was $107.9 million as of March 31, 2018, an increase of $0.6 million or 1% from December 31, 2017. The Allowance represents 1.09% of total loans and leases outstanding as of March 31, 2018 and 1.10% of total loans and leases outstanding as of December 31, 2017. The level of our Allowance was commensurate with the Company’s credit risk profile, loan portfolio growth and composition, and a healthy Hawaii economy.</w:t>
      </w:r>
    </w:p>
    <w:p>
      <w:pPr>
        <w:spacing w:after="0" w:line="105" w:lineRule="exact"/>
        <w:rPr>
          <w:rFonts w:ascii="Arial" w:cs="Arial" w:eastAsia="Arial" w:hAnsi="Arial"/>
          <w:sz w:val="18"/>
          <w:szCs w:val="18"/>
          <w:color w:val="auto"/>
        </w:rPr>
      </w:pPr>
    </w:p>
    <w:p>
      <w:pPr>
        <w:ind w:left="340" w:right="260" w:hanging="332"/>
        <w:spacing w:after="0" w:line="30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of March 31, 2018, the total carrying value of our investment securities portfolio was $6.0 billion, a decrease of $187.9 million or 3% compared to December 31, 2017. During the first three months of 2018, we reduced our positions in mortgage-backed securities issued by Ginnie Mae and Fannie Mae. We re-invested these proceeds primarily into higher yielding loan products. In addition, we increased our holdings in Small Business Administration securities and U.S. Treasury notes. Ginnie Mae mortgage-backed securities continue to be our largest concentration in our portfolio.</w:t>
      </w:r>
    </w:p>
    <w:p>
      <w:pPr>
        <w:spacing w:after="0" w:line="73" w:lineRule="exact"/>
        <w:rPr>
          <w:rFonts w:ascii="Arial" w:cs="Arial" w:eastAsia="Arial" w:hAnsi="Arial"/>
          <w:sz w:val="16"/>
          <w:szCs w:val="16"/>
          <w:color w:val="auto"/>
        </w:rPr>
      </w:pPr>
    </w:p>
    <w:p>
      <w:pPr>
        <w:ind w:left="340" w:right="60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deposits were $15.0 billion as of March 31, 2018, an increase of $73.2 million or less than 1% from December 31, 2017 primarily due to an increase in consumer deposits offset by a decrease in commercial, public and other deposits.</w:t>
      </w:r>
    </w:p>
    <w:p>
      <w:pPr>
        <w:spacing w:after="0" w:line="89" w:lineRule="exact"/>
        <w:rPr>
          <w:rFonts w:ascii="Arial" w:cs="Arial" w:eastAsia="Arial" w:hAnsi="Arial"/>
          <w:sz w:val="18"/>
          <w:szCs w:val="18"/>
          <w:color w:val="auto"/>
        </w:rPr>
      </w:pPr>
    </w:p>
    <w:p>
      <w:pPr>
        <w:ind w:left="340" w:right="160" w:hanging="332"/>
        <w:spacing w:after="0" w:line="297"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Total shareholders’ equity was $1.2 billion as of March 31, 2018, an increase of $9.3 million or 1% from December 31, 2017. We continued to return capital to our shareholders in the form of share repurchases and dividends. During the first three months of 2018, we acquired 208,328 shares of our common stock at a total cost of $17.5 million under our share repurchase program and from shares obtained from employees and/or directors in connection with income tax withholdings related to the vesting of restricted stock, shares purchased for a deferred compensation plan, and stock swaps, less shares distributed from the deferred compensation plan. We also paid cash dividends of $22.1 million during the first three months of 2018.</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30" w:right="259" w:bottom="1440" w:gutter="0" w:footer="0" w:header="0"/>
        </w:sectPr>
      </w:pPr>
    </w:p>
    <w:bookmarkStart w:id="52" w:name="page53"/>
    <w:bookmarkEnd w:id="52"/>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4"/>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7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66"/>
        </w:trPr>
        <w:tc>
          <w:tcPr>
            <w:tcW w:w="8420" w:type="dxa"/>
            <w:vAlign w:val="bottom"/>
            <w:gridSpan w:val="5"/>
          </w:tcPr>
          <w:p>
            <w:pPr>
              <w:spacing w:after="0"/>
              <w:rPr>
                <w:sz w:val="20"/>
                <w:szCs w:val="20"/>
                <w:color w:val="auto"/>
              </w:rPr>
            </w:pPr>
            <w:r>
              <w:rPr>
                <w:rFonts w:ascii="Arial" w:cs="Arial" w:eastAsia="Arial" w:hAnsi="Arial"/>
                <w:sz w:val="18"/>
                <w:szCs w:val="18"/>
                <w:color w:val="auto"/>
              </w:rPr>
              <w:t>Our financial highlights are presented in Table 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13"/>
        </w:trPr>
        <w:tc>
          <w:tcPr>
            <w:tcW w:w="8420" w:type="dxa"/>
            <w:vAlign w:val="bottom"/>
            <w:gridSpan w:val="5"/>
          </w:tcPr>
          <w:p>
            <w:pPr>
              <w:ind w:left="40"/>
              <w:spacing w:after="0"/>
              <w:rPr>
                <w:sz w:val="20"/>
                <w:szCs w:val="20"/>
                <w:color w:val="auto"/>
              </w:rPr>
            </w:pPr>
            <w:r>
              <w:rPr>
                <w:rFonts w:ascii="Arial" w:cs="Arial" w:eastAsia="Arial" w:hAnsi="Arial"/>
                <w:sz w:val="18"/>
                <w:szCs w:val="18"/>
                <w:b w:val="1"/>
                <w:bCs w:val="1"/>
                <w:color w:val="auto"/>
              </w:rPr>
              <w:t>Financial Highlights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Arial" w:cs="Arial" w:eastAsia="Arial" w:hAnsi="Arial"/>
                <w:sz w:val="16"/>
                <w:szCs w:val="16"/>
                <w:b w:val="1"/>
                <w:bCs w:val="1"/>
                <w:color w:val="auto"/>
              </w:rPr>
              <w:t>Table 1</w:t>
            </w:r>
          </w:p>
        </w:tc>
      </w:tr>
      <w:tr>
        <w:trPr>
          <w:trHeight w:val="27"/>
        </w:trPr>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202"/>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3"/>
          </w:tcPr>
          <w:p>
            <w:pPr>
              <w:jc w:val="right"/>
              <w:ind w:right="708"/>
              <w:spacing w:after="0"/>
              <w:rPr>
                <w:sz w:val="20"/>
                <w:szCs w:val="20"/>
                <w:color w:val="auto"/>
              </w:rPr>
            </w:pPr>
            <w:r>
              <w:rPr>
                <w:rFonts w:ascii="Arial" w:cs="Arial" w:eastAsia="Arial" w:hAnsi="Arial"/>
                <w:sz w:val="15"/>
                <w:szCs w:val="15"/>
                <w:b w:val="1"/>
                <w:bCs w:val="1"/>
                <w:color w:val="auto"/>
              </w:rPr>
              <w:t>Three Months Ended</w:t>
            </w:r>
          </w:p>
        </w:tc>
      </w:tr>
      <w:tr>
        <w:trPr>
          <w:trHeight w:val="220"/>
        </w:trPr>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5"/>
                <w:szCs w:val="15"/>
                <w:b w:val="1"/>
                <w:bCs w:val="1"/>
                <w:color w:val="auto"/>
              </w:rPr>
              <w:t>March 31,</w:t>
            </w:r>
          </w:p>
        </w:tc>
        <w:tc>
          <w:tcPr>
            <w:tcW w:w="1080" w:type="dxa"/>
            <w:vAlign w:val="bottom"/>
            <w:tcBorders>
              <w:bottom w:val="single" w:sz="8" w:color="auto"/>
            </w:tcBorders>
          </w:tcPr>
          <w:p>
            <w:pPr>
              <w:spacing w:after="0"/>
              <w:rPr>
                <w:sz w:val="19"/>
                <w:szCs w:val="19"/>
                <w:color w:val="auto"/>
              </w:rPr>
            </w:pPr>
          </w:p>
        </w:tc>
      </w:tr>
      <w:tr>
        <w:trPr>
          <w:trHeight w:val="264"/>
        </w:trPr>
        <w:tc>
          <w:tcPr>
            <w:tcW w:w="842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color w:val="auto"/>
              </w:rPr>
              <w:t>(dollars in thousands, except per share amounts)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b w:val="1"/>
                <w:bCs w:val="1"/>
                <w:color w:val="auto"/>
              </w:rPr>
              <w:t>2018</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2017</w:t>
            </w:r>
          </w:p>
        </w:tc>
      </w:tr>
      <w:tr>
        <w:trPr>
          <w:trHeight w:val="227"/>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For the Period: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b w:val="1"/>
                <w:bCs w:val="1"/>
                <w:color w:val="auto"/>
              </w:rPr>
              <w:t>Operating Results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118,956</w:t>
            </w:r>
          </w:p>
        </w:tc>
        <w:tc>
          <w:tcPr>
            <w:tcW w:w="4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109,872</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Provision for Credit Losses</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4,125</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4,400</w:t>
            </w: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Total Noninterest Income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44,035</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55,916</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Total Noninterest Expense</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94,384</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88,568</w:t>
            </w: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54,040</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51,176</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Basic Earnings Per Share</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1.29</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1.21</w:t>
            </w: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1.28</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Dividends Declared Per Share</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0.52</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0.50</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b w:val="1"/>
                <w:bCs w:val="1"/>
                <w:color w:val="auto"/>
              </w:rPr>
              <w:t>Performance Ratios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Return on Average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Return on Average Shareholders’ Equity</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17.74</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17.63</w:t>
            </w: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8"/>
                <w:szCs w:val="8"/>
                <w:color w:val="auto"/>
              </w:rPr>
              <w:t>1</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57.91</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53.42</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8"/>
                <w:szCs w:val="8"/>
                <w:color w:val="auto"/>
              </w:rPr>
              <w:t>2</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3.00</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2.89</w:t>
            </w: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Dividend Payout Ratio </w:t>
            </w:r>
            <w:r>
              <w:rPr>
                <w:rFonts w:ascii="Arial" w:cs="Arial" w:eastAsia="Arial" w:hAnsi="Arial"/>
                <w:sz w:val="8"/>
                <w:szCs w:val="8"/>
                <w:color w:val="auto"/>
              </w:rPr>
              <w:t>3</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40.31</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41.32</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Average Shareholders’ Equity to Average Assets</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7.29</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7.16</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b w:val="1"/>
                <w:bCs w:val="1"/>
                <w:color w:val="auto"/>
              </w:rPr>
              <w:t>Average Balances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Average Loans and Leases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9,803,753</w:t>
            </w:r>
          </w:p>
        </w:tc>
        <w:tc>
          <w:tcPr>
            <w:tcW w:w="4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9,020,351</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Average Assets</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16,957,430</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16,434,606</w:t>
            </w: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Average Deposits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14,720,266</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14,218,886</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Average Shareholders’ Equity</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1,235,550</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1,177,326</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b w:val="1"/>
                <w:bCs w:val="1"/>
                <w:color w:val="auto"/>
              </w:rPr>
              <w:t>Market Price Per Share of Common Stock</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Closing</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83.10</w:t>
            </w:r>
          </w:p>
        </w:tc>
        <w:tc>
          <w:tcPr>
            <w:tcW w:w="4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82.36</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High</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89.09</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90.80</w:t>
            </w: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Low</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78.40</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77.03</w:t>
            </w: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53"/>
        </w:trPr>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228"/>
              <w:spacing w:after="0" w:line="153" w:lineRule="exact"/>
              <w:rPr>
                <w:sz w:val="20"/>
                <w:szCs w:val="20"/>
                <w:color w:val="auto"/>
              </w:rPr>
            </w:pPr>
            <w:r>
              <w:rPr>
                <w:rFonts w:ascii="Arial" w:cs="Arial" w:eastAsia="Arial" w:hAnsi="Arial"/>
                <w:sz w:val="14"/>
                <w:szCs w:val="14"/>
                <w:b w:val="1"/>
                <w:bCs w:val="1"/>
                <w:color w:val="auto"/>
              </w:rPr>
              <w:t>March 31,</w:t>
            </w:r>
          </w:p>
        </w:tc>
        <w:tc>
          <w:tcPr>
            <w:tcW w:w="4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72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2017</w:t>
            </w:r>
          </w:p>
        </w:tc>
      </w:tr>
      <w:tr>
        <w:trPr>
          <w:trHeight w:val="229"/>
        </w:trPr>
        <w:tc>
          <w:tcPr>
            <w:tcW w:w="842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Period End: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0"/>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Totals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Loans and Leases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9,916,628</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9,796,947</w:t>
            </w: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17,136,030</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17,089,052</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Total Deposits</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14,957,133</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14,883,968</w:t>
            </w: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Other Debt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235,699</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260,716</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Total Shareholders’ Equity</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1,241,193</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1,231,868</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b w:val="1"/>
                <w:bCs w:val="1"/>
                <w:color w:val="auto"/>
              </w:rPr>
              <w:t>Asset Quality</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Non-Performing Assets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15,736</w:t>
            </w:r>
          </w:p>
        </w:tc>
        <w:tc>
          <w:tcPr>
            <w:tcW w:w="4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16,120</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Allowance for Loan and Lease Losses</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107,938</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107,346</w:t>
            </w: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Allowance to Loans and Leases Outstanding</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230"/>
        </w:trPr>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0"/>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Capital Ratios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Common Equity Tier 1 Capital Ratio</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13.37%</w:t>
            </w: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13.24%</w:t>
            </w: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Tier 1 Capital Ratio</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13.37</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13.24</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Total Capital Ratio</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14.59</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14.46</w:t>
            </w: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Tier 1 Leverage Ratio</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7.46</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7.26</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Total Shareholders’ Equity to Total Assets</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7.24</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7.21</w:t>
            </w: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Tangible Common Equity to Tangible Assets </w:t>
            </w:r>
            <w:r>
              <w:rPr>
                <w:rFonts w:ascii="Arial" w:cs="Arial" w:eastAsia="Arial" w:hAnsi="Arial"/>
                <w:sz w:val="8"/>
                <w:szCs w:val="8"/>
                <w:color w:val="auto"/>
              </w:rPr>
              <w:t>4</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7.07</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7.04</w:t>
            </w: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 xml:space="preserve">Tangible Common Equity to Risk-Weighted Assets </w:t>
            </w:r>
            <w:r>
              <w:rPr>
                <w:rFonts w:ascii="Arial" w:cs="Arial" w:eastAsia="Arial" w:hAnsi="Arial"/>
                <w:sz w:val="8"/>
                <w:szCs w:val="8"/>
                <w:color w:val="auto"/>
              </w:rPr>
              <w:t>4</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12.80</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12.84</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64"/>
        </w:trPr>
        <w:tc>
          <w:tcPr>
            <w:tcW w:w="8420" w:type="dxa"/>
            <w:vAlign w:val="bottom"/>
            <w:gridSpan w:val="5"/>
          </w:tcPr>
          <w:p>
            <w:pPr>
              <w:ind w:left="40"/>
              <w:spacing w:after="0"/>
              <w:rPr>
                <w:sz w:val="20"/>
                <w:szCs w:val="20"/>
                <w:color w:val="auto"/>
              </w:rPr>
            </w:pPr>
            <w:r>
              <w:rPr>
                <w:rFonts w:ascii="Arial" w:cs="Arial" w:eastAsia="Arial" w:hAnsi="Arial"/>
                <w:sz w:val="14"/>
                <w:szCs w:val="14"/>
                <w:b w:val="1"/>
                <w:bCs w:val="1"/>
                <w:color w:val="auto"/>
              </w:rPr>
              <w:t>Non-Financial Data</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4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Full-Time Equivalent Employees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2,138</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2,132</w:t>
            </w:r>
          </w:p>
        </w:tc>
      </w:tr>
      <w:tr>
        <w:trPr>
          <w:trHeight w:val="191"/>
        </w:trPr>
        <w:tc>
          <w:tcPr>
            <w:tcW w:w="8420" w:type="dxa"/>
            <w:vAlign w:val="bottom"/>
            <w:gridSpan w:val="5"/>
          </w:tcPr>
          <w:p>
            <w:pPr>
              <w:ind w:left="40"/>
              <w:spacing w:after="0"/>
              <w:rPr>
                <w:sz w:val="20"/>
                <w:szCs w:val="20"/>
                <w:color w:val="auto"/>
              </w:rPr>
            </w:pPr>
            <w:r>
              <w:rPr>
                <w:rFonts w:ascii="Arial" w:cs="Arial" w:eastAsia="Arial" w:hAnsi="Arial"/>
                <w:sz w:val="14"/>
                <w:szCs w:val="14"/>
                <w:color w:val="auto"/>
              </w:rPr>
              <w:t>Branches</w:t>
            </w:r>
          </w:p>
        </w:tc>
        <w:tc>
          <w:tcPr>
            <w:tcW w:w="340" w:type="dxa"/>
            <w:vAlign w:val="bottom"/>
          </w:tcPr>
          <w:p>
            <w:pPr>
              <w:spacing w:after="0"/>
              <w:rPr>
                <w:sz w:val="16"/>
                <w:szCs w:val="16"/>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69</w:t>
            </w:r>
          </w:p>
        </w:tc>
        <w:tc>
          <w:tcPr>
            <w:tcW w:w="42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69</w:t>
            </w:r>
          </w:p>
        </w:tc>
      </w:tr>
    </w:tbl>
    <w:p>
      <w:pPr>
        <w:sectPr>
          <w:pgSz w:w="11900" w:h="16845" w:orient="portrait"/>
          <w:cols w:equalWidth="0" w:num="1">
            <w:col w:w="11420"/>
          </w:cols>
          <w:pgMar w:left="240" w:top="118" w:right="23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ATMs</w:t>
            </w:r>
          </w:p>
        </w:tc>
        <w:tc>
          <w:tcPr>
            <w:tcW w:w="544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377</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387</w:t>
            </w:r>
          </w:p>
        </w:tc>
      </w:tr>
    </w:tbl>
    <w:p>
      <w:pPr>
        <w:spacing w:after="0" w:line="116"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9"/>
          <w:szCs w:val="9"/>
          <w:color w:val="auto"/>
        </w:rPr>
      </w:pPr>
      <w:r>
        <w:rPr>
          <w:rFonts w:ascii="Arial" w:cs="Arial" w:eastAsia="Arial" w:hAnsi="Arial"/>
          <w:sz w:val="14"/>
          <w:szCs w:val="14"/>
          <w:color w:val="auto"/>
        </w:rPr>
        <w:t>Efficiency ratio is defined as noninterest expense divided by total revenue (net interest income and total noninterest income).</w:t>
      </w:r>
    </w:p>
    <w:p>
      <w:pPr>
        <w:spacing w:after="0" w:line="13"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9"/>
          <w:szCs w:val="9"/>
          <w:color w:val="auto"/>
        </w:rPr>
      </w:pPr>
      <w:r>
        <w:rPr>
          <w:rFonts w:ascii="Arial" w:cs="Arial" w:eastAsia="Arial" w:hAnsi="Arial"/>
          <w:sz w:val="14"/>
          <w:szCs w:val="14"/>
          <w:color w:val="auto"/>
        </w:rPr>
        <w:t>Net interest margin is defined as net interest income, on a taxable-equivalent basis, as a percentage of average earning assets.</w:t>
      </w:r>
    </w:p>
    <w:p>
      <w:pPr>
        <w:spacing w:after="0" w:line="1"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9"/>
          <w:szCs w:val="9"/>
          <w:color w:val="auto"/>
        </w:rPr>
      </w:pPr>
      <w:r>
        <w:rPr>
          <w:rFonts w:ascii="Arial" w:cs="Arial" w:eastAsia="Arial" w:hAnsi="Arial"/>
          <w:sz w:val="14"/>
          <w:szCs w:val="14"/>
          <w:color w:val="auto"/>
        </w:rPr>
        <w:t>Dividend payout ratio is defined as dividends declared per share divided by basic earnings per share.</w:t>
      </w:r>
    </w:p>
    <w:p>
      <w:pPr>
        <w:spacing w:after="0" w:line="1" w:lineRule="exact"/>
        <w:rPr>
          <w:sz w:val="20"/>
          <w:szCs w:val="20"/>
          <w:color w:val="auto"/>
        </w:rPr>
      </w:pPr>
    </w:p>
    <w:p>
      <w:pPr>
        <w:ind w:left="180" w:right="320" w:hanging="172"/>
        <w:spacing w:after="0" w:line="255" w:lineRule="auto"/>
        <w:tabs>
          <w:tab w:leader="none" w:pos="180" w:val="left"/>
        </w:tabs>
        <w:numPr>
          <w:ilvl w:val="0"/>
          <w:numId w:val="32"/>
        </w:numPr>
        <w:rPr>
          <w:rFonts w:ascii="Arial" w:cs="Arial" w:eastAsia="Arial" w:hAnsi="Arial"/>
          <w:sz w:val="9"/>
          <w:szCs w:val="9"/>
          <w:color w:val="auto"/>
        </w:rPr>
      </w:pPr>
      <w:r>
        <w:rPr>
          <w:rFonts w:ascii="Arial" w:cs="Arial" w:eastAsia="Arial" w:hAnsi="Arial"/>
          <w:sz w:val="14"/>
          <w:szCs w:val="14"/>
          <w:color w:val="auto"/>
        </w:rPr>
        <w:t>Tangible common equity to tangible assets and tangible common equity to risk-weighted assets are Non-GAAP financial measures. See the “Use of Non-GAAP Financial Measures” section below.</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53"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financial institution, they have limitations as analytical tools, and should not be considered in isolation, or as a substitute for analyses of results as reported under GAAP. Table 2 provides a reconciliation of these Non-GAAP financial measures with their most closely related GAAP measures.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ind w:left="40"/>
              <w:spacing w:after="0"/>
              <w:rPr>
                <w:sz w:val="20"/>
                <w:szCs w:val="20"/>
                <w:color w:val="auto"/>
              </w:rPr>
            </w:pPr>
            <w:r>
              <w:rPr>
                <w:rFonts w:ascii="Arial" w:cs="Arial" w:eastAsia="Arial" w:hAnsi="Arial"/>
                <w:sz w:val="16"/>
                <w:szCs w:val="16"/>
                <w:b w:val="1"/>
                <w:bCs w:val="1"/>
                <w:color w:val="auto"/>
              </w:rPr>
              <w:t>GAAP to Non-GAAP Reconciliation</w:t>
            </w: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2</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7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 Shareholders’ Equity</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1,241,193</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1,231,868</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52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Common Equity</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1,209,676</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1,200,351</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 Assets</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17,136,030</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17,089,052</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52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Assets</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17,104,513</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17,057,535</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020" w:type="dxa"/>
            <w:vAlign w:val="bottom"/>
          </w:tcPr>
          <w:p>
            <w:pPr>
              <w:ind w:left="40"/>
              <w:spacing w:after="0"/>
              <w:rPr>
                <w:sz w:val="20"/>
                <w:szCs w:val="20"/>
                <w:color w:val="auto"/>
              </w:rPr>
            </w:pPr>
            <w:r>
              <w:rPr>
                <w:rFonts w:ascii="Arial" w:cs="Arial" w:eastAsia="Arial" w:hAnsi="Arial"/>
                <w:sz w:val="16"/>
                <w:szCs w:val="16"/>
                <w:color w:val="auto"/>
              </w:rPr>
              <w:t>Risk-Weighted Assets, determined in accordance with prescribed regulatory requirements</w:t>
            </w: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9,451,647</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9,348,296</w:t>
            </w:r>
          </w:p>
        </w:tc>
      </w:tr>
      <w:tr>
        <w:trPr>
          <w:trHeight w:val="73"/>
        </w:trPr>
        <w:tc>
          <w:tcPr>
            <w:tcW w:w="70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1"/>
        </w:trPr>
        <w:tc>
          <w:tcPr>
            <w:tcW w:w="7020" w:type="dxa"/>
            <w:vAlign w:val="bottom"/>
            <w:shd w:val="clear" w:color="auto" w:fill="BFE4FF"/>
          </w:tcPr>
          <w:p>
            <w:pPr>
              <w:spacing w:after="0"/>
              <w:rPr>
                <w:sz w:val="21"/>
                <w:szCs w:val="21"/>
                <w:color w:val="auto"/>
              </w:rPr>
            </w:pPr>
          </w:p>
        </w:tc>
        <w:tc>
          <w:tcPr>
            <w:tcW w:w="1520" w:type="dxa"/>
            <w:vAlign w:val="bottom"/>
            <w:shd w:val="clear" w:color="auto" w:fill="BFE4FF"/>
          </w:tcPr>
          <w:p>
            <w:pPr>
              <w:spacing w:after="0"/>
              <w:rPr>
                <w:sz w:val="21"/>
                <w:szCs w:val="21"/>
                <w:color w:val="auto"/>
              </w:rPr>
            </w:pPr>
          </w:p>
        </w:tc>
        <w:tc>
          <w:tcPr>
            <w:tcW w:w="1260" w:type="dxa"/>
            <w:vAlign w:val="bottom"/>
            <w:shd w:val="clear" w:color="auto" w:fill="BFE4FF"/>
          </w:tcPr>
          <w:p>
            <w:pPr>
              <w:spacing w:after="0"/>
              <w:rPr>
                <w:sz w:val="21"/>
                <w:szCs w:val="21"/>
                <w:color w:val="auto"/>
              </w:rPr>
            </w:pPr>
          </w:p>
        </w:tc>
        <w:tc>
          <w:tcPr>
            <w:tcW w:w="340" w:type="dxa"/>
            <w:vAlign w:val="bottom"/>
            <w:shd w:val="clear" w:color="auto" w:fill="BFE4FF"/>
          </w:tcPr>
          <w:p>
            <w:pPr>
              <w:spacing w:after="0"/>
              <w:rPr>
                <w:sz w:val="21"/>
                <w:szCs w:val="21"/>
                <w:color w:val="auto"/>
              </w:rPr>
            </w:pPr>
          </w:p>
        </w:tc>
        <w:tc>
          <w:tcPr>
            <w:tcW w:w="1280" w:type="dxa"/>
            <w:vAlign w:val="bottom"/>
            <w:shd w:val="clear" w:color="auto" w:fill="BFE4FF"/>
          </w:tcPr>
          <w:p>
            <w:pPr>
              <w:spacing w:after="0"/>
              <w:rPr>
                <w:sz w:val="21"/>
                <w:szCs w:val="2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Total Shareholders’ Equity to Total Assets</w:t>
            </w:r>
          </w:p>
        </w:tc>
        <w:tc>
          <w:tcPr>
            <w:tcW w:w="15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7.24%</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7.21%</w:t>
            </w:r>
          </w:p>
        </w:tc>
      </w:tr>
      <w:tr>
        <w:trPr>
          <w:trHeight w:val="33"/>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Common Equity to Tangible Assets (Non-GAAP)</w:t>
            </w:r>
          </w:p>
        </w:tc>
        <w:tc>
          <w:tcPr>
            <w:tcW w:w="1520" w:type="dxa"/>
            <w:vAlign w:val="bottom"/>
            <w:tcBorders>
              <w:bottom w:val="single" w:sz="8" w:color="BFE4FF"/>
            </w:tcBorders>
            <w:shd w:val="clear" w:color="auto" w:fill="BFE4FF"/>
          </w:tcPr>
          <w:p>
            <w:pPr>
              <w:spacing w:after="0"/>
              <w:rPr>
                <w:sz w:val="23"/>
                <w:szCs w:val="23"/>
                <w:color w:val="auto"/>
              </w:rPr>
            </w:pPr>
          </w:p>
        </w:tc>
        <w:tc>
          <w:tcPr>
            <w:tcW w:w="126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7.07%</w:t>
            </w:r>
          </w:p>
        </w:tc>
        <w:tc>
          <w:tcPr>
            <w:tcW w:w="34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7.04%</w:t>
            </w:r>
          </w:p>
        </w:tc>
      </w:tr>
      <w:tr>
        <w:trPr>
          <w:trHeight w:val="264"/>
        </w:trPr>
        <w:tc>
          <w:tcPr>
            <w:tcW w:w="702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Tier 1 Capital Ratio</w:t>
            </w:r>
          </w:p>
        </w:tc>
        <w:tc>
          <w:tcPr>
            <w:tcW w:w="15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13.37%</w:t>
            </w:r>
          </w:p>
        </w:tc>
        <w:tc>
          <w:tcPr>
            <w:tcW w:w="34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13.24%</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Tangible Common Equity to Risk-Weighted Assets (Non-GAAP)</w:t>
            </w:r>
          </w:p>
        </w:tc>
        <w:tc>
          <w:tcPr>
            <w:tcW w:w="15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12.80%</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12.84%</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Income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Average balances, related income and expenses, and resulting yields and rates are presented in Table 3. An analysis of the change in net interest income, on a taxable-equivalent basis, is presented in Table 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Average Balances and Interest Rates - Taxable-Equivalent Basis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Table 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6"/>
              </w:rPr>
              <w:t>March 31, 2018</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6"/>
              </w:rPr>
              <w:t>March 31, 2017</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jc w:val="right"/>
              <w:ind w:right="61"/>
              <w:spacing w:after="0"/>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Yield/</w:t>
            </w:r>
          </w:p>
        </w:tc>
        <w:tc>
          <w:tcPr>
            <w:tcW w:w="30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Income/</w:t>
            </w:r>
          </w:p>
        </w:tc>
        <w:tc>
          <w:tcPr>
            <w:tcW w:w="880" w:type="dxa"/>
            <w:vAlign w:val="bottom"/>
          </w:tcPr>
          <w:p>
            <w:pPr>
              <w:jc w:val="right"/>
              <w:ind w:right="8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(dollars in millions)</w:t>
            </w: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Expense</w:t>
            </w: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Rate</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Expense</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Earning Assets</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2"/>
                <w:szCs w:val="12"/>
                <w:color w:val="auto"/>
              </w:rPr>
              <w:t>Interest-Bearing Deposits in Other Banks</w:t>
            </w:r>
          </w:p>
        </w:tc>
        <w:tc>
          <w:tcPr>
            <w:tcW w:w="500" w:type="dxa"/>
            <w:vAlign w:val="bottom"/>
          </w:tcPr>
          <w:p>
            <w:pPr>
              <w:jc w:val="right"/>
              <w:ind w:right="342"/>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3.0</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8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840" w:type="dxa"/>
            <w:vAlign w:val="bottom"/>
          </w:tcPr>
          <w:p>
            <w:pPr>
              <w:ind w:left="500"/>
              <w:spacing w:after="0"/>
              <w:rPr>
                <w:sz w:val="20"/>
                <w:szCs w:val="20"/>
                <w:color w:val="auto"/>
              </w:rPr>
            </w:pPr>
            <w:r>
              <w:rPr>
                <w:rFonts w:ascii="Arial" w:cs="Arial" w:eastAsia="Arial" w:hAnsi="Arial"/>
                <w:sz w:val="12"/>
                <w:szCs w:val="12"/>
                <w:color w:val="auto"/>
                <w:w w:val="93"/>
              </w:rPr>
              <w:t>2.34%</w:t>
            </w:r>
          </w:p>
        </w:tc>
        <w:tc>
          <w:tcPr>
            <w:tcW w:w="100" w:type="dxa"/>
            <w:vAlign w:val="bottom"/>
          </w:tcPr>
          <w:p>
            <w:pPr>
              <w:spacing w:after="0"/>
              <w:rPr>
                <w:sz w:val="21"/>
                <w:szCs w:val="21"/>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3.3</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880" w:type="dxa"/>
            <w:vAlign w:val="bottom"/>
          </w:tcPr>
          <w:p>
            <w:pPr>
              <w:ind w:left="540"/>
              <w:spacing w:after="0"/>
              <w:rPr>
                <w:sz w:val="20"/>
                <w:szCs w:val="20"/>
                <w:color w:val="auto"/>
              </w:rPr>
            </w:pPr>
            <w:r>
              <w:rPr>
                <w:rFonts w:ascii="Arial" w:cs="Arial" w:eastAsia="Arial" w:hAnsi="Arial"/>
                <w:sz w:val="12"/>
                <w:szCs w:val="12"/>
                <w:color w:val="auto"/>
                <w:w w:val="93"/>
              </w:rPr>
              <w:t>0.57%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Funds Sold</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204.7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0.8</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544.1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0.9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0.65</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2"/>
                <w:szCs w:val="12"/>
                <w:color w:val="auto"/>
              </w:rPr>
              <w:t>Investment Securities</w:t>
            </w: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Available-for-Sale</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260"/>
              <w:spacing w:after="0"/>
              <w:rPr>
                <w:sz w:val="20"/>
                <w:szCs w:val="20"/>
                <w:color w:val="auto"/>
              </w:rPr>
            </w:pPr>
            <w:r>
              <w:rPr>
                <w:rFonts w:ascii="Arial" w:cs="Arial" w:eastAsia="Arial" w:hAnsi="Arial"/>
                <w:sz w:val="12"/>
                <w:szCs w:val="12"/>
                <w:color w:val="auto"/>
              </w:rPr>
              <w:t>Taxable</w:t>
            </w:r>
          </w:p>
        </w:tc>
        <w:tc>
          <w:tcPr>
            <w:tcW w:w="500" w:type="dxa"/>
            <w:vAlign w:val="bottom"/>
          </w:tcPr>
          <w:p>
            <w:pPr>
              <w:spacing w:after="0"/>
              <w:rPr>
                <w:sz w:val="21"/>
                <w:szCs w:val="21"/>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1,595.1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8.9</w:t>
            </w:r>
          </w:p>
        </w:tc>
        <w:tc>
          <w:tcPr>
            <w:tcW w:w="440" w:type="dxa"/>
            <w:vAlign w:val="bottom"/>
          </w:tcPr>
          <w:p>
            <w:pPr>
              <w:spacing w:after="0"/>
              <w:rPr>
                <w:sz w:val="21"/>
                <w:szCs w:val="21"/>
                <w:color w:val="auto"/>
              </w:rPr>
            </w:pPr>
          </w:p>
        </w:tc>
        <w:tc>
          <w:tcPr>
            <w:tcW w:w="840" w:type="dxa"/>
            <w:vAlign w:val="bottom"/>
          </w:tcPr>
          <w:p>
            <w:pPr>
              <w:ind w:left="500"/>
              <w:spacing w:after="0"/>
              <w:rPr>
                <w:sz w:val="20"/>
                <w:szCs w:val="20"/>
                <w:color w:val="auto"/>
              </w:rPr>
            </w:pPr>
            <w:r>
              <w:rPr>
                <w:rFonts w:ascii="Arial" w:cs="Arial" w:eastAsia="Arial" w:hAnsi="Arial"/>
                <w:sz w:val="12"/>
                <w:szCs w:val="12"/>
                <w:color w:val="auto"/>
              </w:rPr>
              <w:t>2.23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1,625.4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7.5</w:t>
            </w:r>
          </w:p>
        </w:tc>
        <w:tc>
          <w:tcPr>
            <w:tcW w:w="380" w:type="dxa"/>
            <w:vAlign w:val="bottom"/>
          </w:tcPr>
          <w:p>
            <w:pPr>
              <w:spacing w:after="0"/>
              <w:rPr>
                <w:sz w:val="21"/>
                <w:szCs w:val="21"/>
                <w:color w:val="auto"/>
              </w:rPr>
            </w:pPr>
          </w:p>
        </w:tc>
        <w:tc>
          <w:tcPr>
            <w:tcW w:w="880" w:type="dxa"/>
            <w:vAlign w:val="bottom"/>
          </w:tcPr>
          <w:p>
            <w:pPr>
              <w:ind w:left="540"/>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Non-Taxable</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604.7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4.1</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660.7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5.4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250"/>
        </w:trPr>
        <w:tc>
          <w:tcPr>
            <w:tcW w:w="4000" w:type="dxa"/>
            <w:vAlign w:val="bottom"/>
          </w:tcPr>
          <w:p>
            <w:pPr>
              <w:ind w:left="200"/>
              <w:spacing w:after="0"/>
              <w:rPr>
                <w:sz w:val="20"/>
                <w:szCs w:val="20"/>
                <w:color w:val="auto"/>
              </w:rPr>
            </w:pPr>
            <w:r>
              <w:rPr>
                <w:rFonts w:ascii="Arial" w:cs="Arial" w:eastAsia="Arial" w:hAnsi="Arial"/>
                <w:sz w:val="12"/>
                <w:szCs w:val="12"/>
                <w:color w:val="auto"/>
              </w:rPr>
              <w:t>Held-to-Maturity</w:t>
            </w: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Taxable</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3,631.2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19.8</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3,589.8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18.2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2.03</w:t>
            </w:r>
          </w:p>
        </w:tc>
        <w:tc>
          <w:tcPr>
            <w:tcW w:w="0" w:type="dxa"/>
            <w:vAlign w:val="bottom"/>
          </w:tcPr>
          <w:p>
            <w:pPr>
              <w:spacing w:after="0"/>
              <w:rPr>
                <w:sz w:val="1"/>
                <w:szCs w:val="1"/>
                <w:color w:val="auto"/>
              </w:rPr>
            </w:pPr>
          </w:p>
        </w:tc>
      </w:tr>
      <w:tr>
        <w:trPr>
          <w:trHeight w:val="250"/>
        </w:trPr>
        <w:tc>
          <w:tcPr>
            <w:tcW w:w="4000" w:type="dxa"/>
            <w:vAlign w:val="bottom"/>
          </w:tcPr>
          <w:p>
            <w:pPr>
              <w:ind w:left="240"/>
              <w:spacing w:after="0"/>
              <w:rPr>
                <w:sz w:val="20"/>
                <w:szCs w:val="20"/>
                <w:color w:val="auto"/>
              </w:rPr>
            </w:pPr>
            <w:r>
              <w:rPr>
                <w:rFonts w:ascii="Arial" w:cs="Arial" w:eastAsia="Arial" w:hAnsi="Arial"/>
                <w:sz w:val="12"/>
                <w:szCs w:val="12"/>
                <w:color w:val="auto"/>
              </w:rPr>
              <w:t>Non-Taxable</w:t>
            </w:r>
          </w:p>
        </w:tc>
        <w:tc>
          <w:tcPr>
            <w:tcW w:w="500" w:type="dxa"/>
            <w:vAlign w:val="bottom"/>
          </w:tcPr>
          <w:p>
            <w:pPr>
              <w:spacing w:after="0"/>
              <w:rPr>
                <w:sz w:val="21"/>
                <w:szCs w:val="21"/>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238.0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1.9</w:t>
            </w:r>
          </w:p>
        </w:tc>
        <w:tc>
          <w:tcPr>
            <w:tcW w:w="440" w:type="dxa"/>
            <w:vAlign w:val="bottom"/>
          </w:tcPr>
          <w:p>
            <w:pPr>
              <w:spacing w:after="0"/>
              <w:rPr>
                <w:sz w:val="21"/>
                <w:szCs w:val="21"/>
                <w:color w:val="auto"/>
              </w:rPr>
            </w:pPr>
          </w:p>
        </w:tc>
        <w:tc>
          <w:tcPr>
            <w:tcW w:w="840" w:type="dxa"/>
            <w:vAlign w:val="bottom"/>
          </w:tcPr>
          <w:p>
            <w:pPr>
              <w:ind w:left="500"/>
              <w:spacing w:after="0"/>
              <w:rPr>
                <w:sz w:val="20"/>
                <w:szCs w:val="20"/>
                <w:color w:val="auto"/>
              </w:rPr>
            </w:pPr>
            <w:r>
              <w:rPr>
                <w:rFonts w:ascii="Arial" w:cs="Arial" w:eastAsia="Arial" w:hAnsi="Arial"/>
                <w:sz w:val="12"/>
                <w:szCs w:val="12"/>
                <w:color w:val="auto"/>
              </w:rPr>
              <w:t>3.18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241.8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2.4</w:t>
            </w:r>
          </w:p>
        </w:tc>
        <w:tc>
          <w:tcPr>
            <w:tcW w:w="380" w:type="dxa"/>
            <w:vAlign w:val="bottom"/>
          </w:tcPr>
          <w:p>
            <w:pPr>
              <w:spacing w:after="0"/>
              <w:rPr>
                <w:sz w:val="21"/>
                <w:szCs w:val="21"/>
                <w:color w:val="auto"/>
              </w:rPr>
            </w:pPr>
          </w:p>
        </w:tc>
        <w:tc>
          <w:tcPr>
            <w:tcW w:w="880" w:type="dxa"/>
            <w:vAlign w:val="bottom"/>
          </w:tcPr>
          <w:p>
            <w:pPr>
              <w:ind w:left="540"/>
              <w:spacing w:after="0"/>
              <w:rPr>
                <w:sz w:val="20"/>
                <w:szCs w:val="20"/>
                <w:color w:val="auto"/>
              </w:rPr>
            </w:pPr>
            <w:r>
              <w:rPr>
                <w:rFonts w:ascii="Arial" w:cs="Arial" w:eastAsia="Arial" w:hAnsi="Arial"/>
                <w:sz w:val="12"/>
                <w:szCs w:val="12"/>
                <w:color w:val="auto"/>
              </w:rPr>
              <w:t>3.89</w:t>
            </w: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Total Investment Securities</w:t>
            </w:r>
          </w:p>
        </w:tc>
        <w:tc>
          <w:tcPr>
            <w:tcW w:w="5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6,069.0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34.7</w:t>
            </w: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6,117.7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33.5</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244"/>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Loans Held for Sale</w:t>
            </w:r>
          </w:p>
        </w:tc>
        <w:tc>
          <w:tcPr>
            <w:tcW w:w="5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14.1</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0.1</w:t>
            </w:r>
          </w:p>
        </w:tc>
        <w:tc>
          <w:tcPr>
            <w:tcW w:w="4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ind w:left="500"/>
              <w:spacing w:after="0"/>
              <w:rPr>
                <w:sz w:val="20"/>
                <w:szCs w:val="20"/>
                <w:color w:val="auto"/>
              </w:rPr>
            </w:pPr>
            <w:r>
              <w:rPr>
                <w:rFonts w:ascii="Arial" w:cs="Arial" w:eastAsia="Arial" w:hAnsi="Arial"/>
                <w:sz w:val="12"/>
                <w:szCs w:val="12"/>
                <w:color w:val="auto"/>
              </w:rPr>
              <w:t>3.76</w:t>
            </w: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30.4</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0.3</w:t>
            </w: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2"/>
                <w:szCs w:val="12"/>
                <w:color w:val="auto"/>
              </w:rPr>
              <w:t>3.99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Loans and Leases </w:t>
            </w:r>
            <w:r>
              <w:rPr>
                <w:rFonts w:ascii="Arial" w:cs="Arial" w:eastAsia="Arial" w:hAnsi="Arial"/>
                <w:sz w:val="19"/>
                <w:szCs w:val="19"/>
                <w:color w:val="auto"/>
                <w:vertAlign w:val="superscript"/>
              </w:rPr>
              <w:t>1</w:t>
            </w:r>
          </w:p>
        </w:tc>
        <w:tc>
          <w:tcPr>
            <w:tcW w:w="5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200"/>
              <w:spacing w:after="0"/>
              <w:rPr>
                <w:sz w:val="20"/>
                <w:szCs w:val="20"/>
                <w:color w:val="auto"/>
              </w:rPr>
            </w:pPr>
            <w:r>
              <w:rPr>
                <w:rFonts w:ascii="Arial" w:cs="Arial" w:eastAsia="Arial" w:hAnsi="Arial"/>
                <w:sz w:val="12"/>
                <w:szCs w:val="12"/>
                <w:color w:val="auto"/>
              </w:rPr>
              <w:t>Commercial and Industrial</w:t>
            </w:r>
          </w:p>
        </w:tc>
        <w:tc>
          <w:tcPr>
            <w:tcW w:w="500" w:type="dxa"/>
            <w:vAlign w:val="bottom"/>
          </w:tcPr>
          <w:p>
            <w:pPr>
              <w:spacing w:after="0"/>
              <w:rPr>
                <w:sz w:val="21"/>
                <w:szCs w:val="21"/>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1,280.9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11.8</w:t>
            </w:r>
          </w:p>
        </w:tc>
        <w:tc>
          <w:tcPr>
            <w:tcW w:w="440" w:type="dxa"/>
            <w:vAlign w:val="bottom"/>
          </w:tcPr>
          <w:p>
            <w:pPr>
              <w:spacing w:after="0"/>
              <w:rPr>
                <w:sz w:val="21"/>
                <w:szCs w:val="21"/>
                <w:color w:val="auto"/>
              </w:rPr>
            </w:pPr>
          </w:p>
        </w:tc>
        <w:tc>
          <w:tcPr>
            <w:tcW w:w="840" w:type="dxa"/>
            <w:vAlign w:val="bottom"/>
          </w:tcPr>
          <w:p>
            <w:pPr>
              <w:ind w:left="500"/>
              <w:spacing w:after="0"/>
              <w:rPr>
                <w:sz w:val="20"/>
                <w:szCs w:val="20"/>
                <w:color w:val="auto"/>
              </w:rPr>
            </w:pPr>
            <w:r>
              <w:rPr>
                <w:rFonts w:ascii="Arial" w:cs="Arial" w:eastAsia="Arial" w:hAnsi="Arial"/>
                <w:sz w:val="12"/>
                <w:szCs w:val="12"/>
                <w:color w:val="auto"/>
              </w:rPr>
              <w:t>3.73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1,263.7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10.5</w:t>
            </w:r>
          </w:p>
        </w:tc>
        <w:tc>
          <w:tcPr>
            <w:tcW w:w="380" w:type="dxa"/>
            <w:vAlign w:val="bottom"/>
          </w:tcPr>
          <w:p>
            <w:pPr>
              <w:spacing w:after="0"/>
              <w:rPr>
                <w:sz w:val="21"/>
                <w:szCs w:val="21"/>
                <w:color w:val="auto"/>
              </w:rPr>
            </w:pPr>
          </w:p>
        </w:tc>
        <w:tc>
          <w:tcPr>
            <w:tcW w:w="880" w:type="dxa"/>
            <w:vAlign w:val="bottom"/>
          </w:tcPr>
          <w:p>
            <w:pPr>
              <w:ind w:left="540"/>
              <w:spacing w:after="0"/>
              <w:rPr>
                <w:sz w:val="20"/>
                <w:szCs w:val="20"/>
                <w:color w:val="auto"/>
              </w:rPr>
            </w:pPr>
            <w:r>
              <w:rPr>
                <w:rFonts w:ascii="Arial" w:cs="Arial" w:eastAsia="Arial" w:hAnsi="Arial"/>
                <w:sz w:val="12"/>
                <w:szCs w:val="12"/>
                <w:color w:val="auto"/>
              </w:rPr>
              <w:t>3.38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Commercial Mortgage</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2,096.4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20.6</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1,881.5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17.5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3.76</w:t>
            </w:r>
          </w:p>
        </w:tc>
        <w:tc>
          <w:tcPr>
            <w:tcW w:w="0" w:type="dxa"/>
            <w:vAlign w:val="bottom"/>
          </w:tcPr>
          <w:p>
            <w:pPr>
              <w:spacing w:after="0"/>
              <w:rPr>
                <w:sz w:val="1"/>
                <w:szCs w:val="1"/>
                <w:color w:val="auto"/>
              </w:rPr>
            </w:pPr>
          </w:p>
        </w:tc>
      </w:tr>
      <w:tr>
        <w:trPr>
          <w:trHeight w:val="250"/>
        </w:trPr>
        <w:tc>
          <w:tcPr>
            <w:tcW w:w="4000" w:type="dxa"/>
            <w:vAlign w:val="bottom"/>
          </w:tcPr>
          <w:p>
            <w:pPr>
              <w:ind w:left="200"/>
              <w:spacing w:after="0"/>
              <w:rPr>
                <w:sz w:val="20"/>
                <w:szCs w:val="20"/>
                <w:color w:val="auto"/>
              </w:rPr>
            </w:pPr>
            <w:r>
              <w:rPr>
                <w:rFonts w:ascii="Arial" w:cs="Arial" w:eastAsia="Arial" w:hAnsi="Arial"/>
                <w:sz w:val="12"/>
                <w:szCs w:val="12"/>
                <w:color w:val="auto"/>
              </w:rPr>
              <w:t>Construction</w:t>
            </w:r>
          </w:p>
        </w:tc>
        <w:tc>
          <w:tcPr>
            <w:tcW w:w="500" w:type="dxa"/>
            <w:vAlign w:val="bottom"/>
          </w:tcPr>
          <w:p>
            <w:pPr>
              <w:spacing w:after="0"/>
              <w:rPr>
                <w:sz w:val="21"/>
                <w:szCs w:val="21"/>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189.4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2.1</w:t>
            </w:r>
          </w:p>
        </w:tc>
        <w:tc>
          <w:tcPr>
            <w:tcW w:w="440" w:type="dxa"/>
            <w:vAlign w:val="bottom"/>
          </w:tcPr>
          <w:p>
            <w:pPr>
              <w:spacing w:after="0"/>
              <w:rPr>
                <w:sz w:val="21"/>
                <w:szCs w:val="21"/>
                <w:color w:val="auto"/>
              </w:rPr>
            </w:pPr>
          </w:p>
        </w:tc>
        <w:tc>
          <w:tcPr>
            <w:tcW w:w="840" w:type="dxa"/>
            <w:vAlign w:val="bottom"/>
          </w:tcPr>
          <w:p>
            <w:pPr>
              <w:ind w:left="500"/>
              <w:spacing w:after="0"/>
              <w:rPr>
                <w:sz w:val="20"/>
                <w:szCs w:val="20"/>
                <w:color w:val="auto"/>
              </w:rPr>
            </w:pPr>
            <w:r>
              <w:rPr>
                <w:rFonts w:ascii="Arial" w:cs="Arial" w:eastAsia="Arial" w:hAnsi="Arial"/>
                <w:sz w:val="12"/>
                <w:szCs w:val="12"/>
                <w:color w:val="auto"/>
              </w:rPr>
              <w:t>4.45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259.1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2.9</w:t>
            </w:r>
          </w:p>
        </w:tc>
        <w:tc>
          <w:tcPr>
            <w:tcW w:w="380" w:type="dxa"/>
            <w:vAlign w:val="bottom"/>
          </w:tcPr>
          <w:p>
            <w:pPr>
              <w:spacing w:after="0"/>
              <w:rPr>
                <w:sz w:val="21"/>
                <w:szCs w:val="21"/>
                <w:color w:val="auto"/>
              </w:rPr>
            </w:pPr>
          </w:p>
        </w:tc>
        <w:tc>
          <w:tcPr>
            <w:tcW w:w="880" w:type="dxa"/>
            <w:vAlign w:val="bottom"/>
          </w:tcPr>
          <w:p>
            <w:pPr>
              <w:ind w:left="540"/>
              <w:spacing w:after="0"/>
              <w:rPr>
                <w:sz w:val="20"/>
                <w:szCs w:val="20"/>
                <w:color w:val="auto"/>
              </w:rPr>
            </w:pPr>
            <w:r>
              <w:rPr>
                <w:rFonts w:ascii="Arial" w:cs="Arial" w:eastAsia="Arial" w:hAnsi="Arial"/>
                <w:sz w:val="12"/>
                <w:szCs w:val="12"/>
                <w:color w:val="auto"/>
              </w:rPr>
              <w:t>4.54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Commercial Lease Financing</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179.6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1.0</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208.7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1.1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2.18</w:t>
            </w:r>
          </w:p>
        </w:tc>
        <w:tc>
          <w:tcPr>
            <w:tcW w:w="0" w:type="dxa"/>
            <w:vAlign w:val="bottom"/>
          </w:tcPr>
          <w:p>
            <w:pPr>
              <w:spacing w:after="0"/>
              <w:rPr>
                <w:sz w:val="1"/>
                <w:szCs w:val="1"/>
                <w:color w:val="auto"/>
              </w:rPr>
            </w:pPr>
          </w:p>
        </w:tc>
      </w:tr>
      <w:tr>
        <w:trPr>
          <w:trHeight w:val="250"/>
        </w:trPr>
        <w:tc>
          <w:tcPr>
            <w:tcW w:w="4000" w:type="dxa"/>
            <w:vAlign w:val="bottom"/>
          </w:tcPr>
          <w:p>
            <w:pPr>
              <w:ind w:left="200"/>
              <w:spacing w:after="0"/>
              <w:rPr>
                <w:sz w:val="20"/>
                <w:szCs w:val="20"/>
                <w:color w:val="auto"/>
              </w:rPr>
            </w:pPr>
            <w:r>
              <w:rPr>
                <w:rFonts w:ascii="Arial" w:cs="Arial" w:eastAsia="Arial" w:hAnsi="Arial"/>
                <w:sz w:val="12"/>
                <w:szCs w:val="12"/>
                <w:color w:val="auto"/>
              </w:rPr>
              <w:t>Residential Mortgage</w:t>
            </w:r>
          </w:p>
        </w:tc>
        <w:tc>
          <w:tcPr>
            <w:tcW w:w="500" w:type="dxa"/>
            <w:vAlign w:val="bottom"/>
          </w:tcPr>
          <w:p>
            <w:pPr>
              <w:spacing w:after="0"/>
              <w:rPr>
                <w:sz w:val="21"/>
                <w:szCs w:val="21"/>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3,478.2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33.3</w:t>
            </w:r>
          </w:p>
        </w:tc>
        <w:tc>
          <w:tcPr>
            <w:tcW w:w="440" w:type="dxa"/>
            <w:vAlign w:val="bottom"/>
          </w:tcPr>
          <w:p>
            <w:pPr>
              <w:spacing w:after="0"/>
              <w:rPr>
                <w:sz w:val="21"/>
                <w:szCs w:val="21"/>
                <w:color w:val="auto"/>
              </w:rPr>
            </w:pPr>
          </w:p>
        </w:tc>
        <w:tc>
          <w:tcPr>
            <w:tcW w:w="840" w:type="dxa"/>
            <w:vAlign w:val="bottom"/>
          </w:tcPr>
          <w:p>
            <w:pPr>
              <w:ind w:left="500"/>
              <w:spacing w:after="0"/>
              <w:rPr>
                <w:sz w:val="20"/>
                <w:szCs w:val="20"/>
                <w:color w:val="auto"/>
              </w:rPr>
            </w:pPr>
            <w:r>
              <w:rPr>
                <w:rFonts w:ascii="Arial" w:cs="Arial" w:eastAsia="Arial" w:hAnsi="Arial"/>
                <w:sz w:val="12"/>
                <w:szCs w:val="12"/>
                <w:color w:val="auto"/>
              </w:rPr>
              <w:t>3.83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3,201.7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30.9</w:t>
            </w:r>
          </w:p>
        </w:tc>
        <w:tc>
          <w:tcPr>
            <w:tcW w:w="380" w:type="dxa"/>
            <w:vAlign w:val="bottom"/>
          </w:tcPr>
          <w:p>
            <w:pPr>
              <w:spacing w:after="0"/>
              <w:rPr>
                <w:sz w:val="21"/>
                <w:szCs w:val="21"/>
                <w:color w:val="auto"/>
              </w:rPr>
            </w:pPr>
          </w:p>
        </w:tc>
        <w:tc>
          <w:tcPr>
            <w:tcW w:w="880" w:type="dxa"/>
            <w:vAlign w:val="bottom"/>
          </w:tcPr>
          <w:p>
            <w:pPr>
              <w:ind w:left="540"/>
              <w:spacing w:after="0"/>
              <w:rPr>
                <w:sz w:val="20"/>
                <w:szCs w:val="20"/>
                <w:color w:val="auto"/>
              </w:rPr>
            </w:pPr>
            <w:r>
              <w:rPr>
                <w:rFonts w:ascii="Arial" w:cs="Arial" w:eastAsia="Arial" w:hAnsi="Arial"/>
                <w:sz w:val="12"/>
                <w:szCs w:val="12"/>
                <w:color w:val="auto"/>
              </w:rPr>
              <w:t>3.86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Home Equity</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1,595.4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14.6</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1,367.4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12.0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3.56</w:t>
            </w:r>
          </w:p>
        </w:tc>
        <w:tc>
          <w:tcPr>
            <w:tcW w:w="0" w:type="dxa"/>
            <w:vAlign w:val="bottom"/>
          </w:tcPr>
          <w:p>
            <w:pPr>
              <w:spacing w:after="0"/>
              <w:rPr>
                <w:sz w:val="1"/>
                <w:szCs w:val="1"/>
                <w:color w:val="auto"/>
              </w:rPr>
            </w:pPr>
          </w:p>
        </w:tc>
      </w:tr>
      <w:tr>
        <w:trPr>
          <w:trHeight w:val="250"/>
        </w:trPr>
        <w:tc>
          <w:tcPr>
            <w:tcW w:w="4000" w:type="dxa"/>
            <w:vAlign w:val="bottom"/>
          </w:tcPr>
          <w:p>
            <w:pPr>
              <w:ind w:left="200"/>
              <w:spacing w:after="0"/>
              <w:rPr>
                <w:sz w:val="20"/>
                <w:szCs w:val="20"/>
                <w:color w:val="auto"/>
              </w:rPr>
            </w:pPr>
            <w:r>
              <w:rPr>
                <w:rFonts w:ascii="Arial" w:cs="Arial" w:eastAsia="Arial" w:hAnsi="Arial"/>
                <w:sz w:val="12"/>
                <w:szCs w:val="12"/>
                <w:color w:val="auto"/>
              </w:rPr>
              <w:t>Automobile</w:t>
            </w:r>
          </w:p>
        </w:tc>
        <w:tc>
          <w:tcPr>
            <w:tcW w:w="500" w:type="dxa"/>
            <w:vAlign w:val="bottom"/>
          </w:tcPr>
          <w:p>
            <w:pPr>
              <w:spacing w:after="0"/>
              <w:rPr>
                <w:sz w:val="21"/>
                <w:szCs w:val="21"/>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541.5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5.6</w:t>
            </w:r>
          </w:p>
        </w:tc>
        <w:tc>
          <w:tcPr>
            <w:tcW w:w="440" w:type="dxa"/>
            <w:vAlign w:val="bottom"/>
          </w:tcPr>
          <w:p>
            <w:pPr>
              <w:spacing w:after="0"/>
              <w:rPr>
                <w:sz w:val="21"/>
                <w:szCs w:val="21"/>
                <w:color w:val="auto"/>
              </w:rPr>
            </w:pPr>
          </w:p>
        </w:tc>
        <w:tc>
          <w:tcPr>
            <w:tcW w:w="840" w:type="dxa"/>
            <w:vAlign w:val="bottom"/>
          </w:tcPr>
          <w:p>
            <w:pPr>
              <w:ind w:left="500"/>
              <w:spacing w:after="0"/>
              <w:rPr>
                <w:sz w:val="20"/>
                <w:szCs w:val="20"/>
                <w:color w:val="auto"/>
              </w:rPr>
            </w:pPr>
            <w:r>
              <w:rPr>
                <w:rFonts w:ascii="Arial" w:cs="Arial" w:eastAsia="Arial" w:hAnsi="Arial"/>
                <w:sz w:val="12"/>
                <w:szCs w:val="12"/>
                <w:color w:val="auto"/>
              </w:rPr>
              <w:t>4.19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461.7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5.8</w:t>
            </w:r>
          </w:p>
        </w:tc>
        <w:tc>
          <w:tcPr>
            <w:tcW w:w="380" w:type="dxa"/>
            <w:vAlign w:val="bottom"/>
          </w:tcPr>
          <w:p>
            <w:pPr>
              <w:spacing w:after="0"/>
              <w:rPr>
                <w:sz w:val="21"/>
                <w:szCs w:val="21"/>
                <w:color w:val="auto"/>
              </w:rPr>
            </w:pPr>
          </w:p>
        </w:tc>
        <w:tc>
          <w:tcPr>
            <w:tcW w:w="880" w:type="dxa"/>
            <w:vAlign w:val="bottom"/>
          </w:tcPr>
          <w:p>
            <w:pPr>
              <w:ind w:left="540"/>
              <w:spacing w:after="0"/>
              <w:rPr>
                <w:sz w:val="20"/>
                <w:szCs w:val="20"/>
                <w:color w:val="auto"/>
              </w:rPr>
            </w:pPr>
            <w:r>
              <w:rPr>
                <w:rFonts w:ascii="Arial" w:cs="Arial" w:eastAsia="Arial" w:hAnsi="Arial"/>
                <w:sz w:val="12"/>
                <w:szCs w:val="12"/>
                <w:color w:val="auto"/>
              </w:rPr>
              <w:t>5.04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 xml:space="preserve">Other </w:t>
            </w:r>
            <w:r>
              <w:rPr>
                <w:rFonts w:ascii="Arial" w:cs="Arial" w:eastAsia="Arial" w:hAnsi="Arial"/>
                <w:sz w:val="19"/>
                <w:szCs w:val="19"/>
                <w:color w:val="auto"/>
                <w:vertAlign w:val="superscript"/>
              </w:rPr>
              <w:t>2</w:t>
            </w:r>
          </w:p>
        </w:tc>
        <w:tc>
          <w:tcPr>
            <w:tcW w:w="5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442.4</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8.6</w:t>
            </w:r>
          </w:p>
        </w:tc>
        <w:tc>
          <w:tcPr>
            <w:tcW w:w="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2"/>
                <w:szCs w:val="12"/>
                <w:color w:val="auto"/>
              </w:rPr>
              <w:t>7.91</w:t>
            </w: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376.6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7.3</w:t>
            </w: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rPr>
              <w:t>7.89</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2"/>
                <w:szCs w:val="12"/>
                <w:color w:val="auto"/>
              </w:rPr>
              <w:t>Total Loans and Leases</w:t>
            </w:r>
          </w:p>
        </w:tc>
        <w:tc>
          <w:tcPr>
            <w:tcW w:w="500" w:type="dxa"/>
            <w:vAlign w:val="bottom"/>
          </w:tcPr>
          <w:p>
            <w:pPr>
              <w:spacing w:after="0"/>
              <w:rPr>
                <w:sz w:val="21"/>
                <w:szCs w:val="21"/>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9,803.8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97.6</w:t>
            </w:r>
          </w:p>
        </w:tc>
        <w:tc>
          <w:tcPr>
            <w:tcW w:w="440" w:type="dxa"/>
            <w:vAlign w:val="bottom"/>
          </w:tcPr>
          <w:p>
            <w:pPr>
              <w:spacing w:after="0"/>
              <w:rPr>
                <w:sz w:val="21"/>
                <w:szCs w:val="21"/>
                <w:color w:val="auto"/>
              </w:rPr>
            </w:pPr>
          </w:p>
        </w:tc>
        <w:tc>
          <w:tcPr>
            <w:tcW w:w="840" w:type="dxa"/>
            <w:vAlign w:val="bottom"/>
          </w:tcPr>
          <w:p>
            <w:pPr>
              <w:ind w:left="500"/>
              <w:spacing w:after="0"/>
              <w:rPr>
                <w:sz w:val="20"/>
                <w:szCs w:val="20"/>
                <w:color w:val="auto"/>
              </w:rPr>
            </w:pPr>
            <w:r>
              <w:rPr>
                <w:rFonts w:ascii="Arial" w:cs="Arial" w:eastAsia="Arial" w:hAnsi="Arial"/>
                <w:sz w:val="12"/>
                <w:szCs w:val="12"/>
                <w:color w:val="auto"/>
              </w:rPr>
              <w:t>4.02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9,020.4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88.0</w:t>
            </w:r>
          </w:p>
        </w:tc>
        <w:tc>
          <w:tcPr>
            <w:tcW w:w="380" w:type="dxa"/>
            <w:vAlign w:val="bottom"/>
          </w:tcPr>
          <w:p>
            <w:pPr>
              <w:spacing w:after="0"/>
              <w:rPr>
                <w:sz w:val="21"/>
                <w:szCs w:val="21"/>
                <w:color w:val="auto"/>
              </w:rPr>
            </w:pPr>
          </w:p>
        </w:tc>
        <w:tc>
          <w:tcPr>
            <w:tcW w:w="880" w:type="dxa"/>
            <w:vAlign w:val="bottom"/>
          </w:tcPr>
          <w:p>
            <w:pPr>
              <w:ind w:left="540"/>
              <w:spacing w:after="0"/>
              <w:rPr>
                <w:sz w:val="20"/>
                <w:szCs w:val="20"/>
                <w:color w:val="auto"/>
              </w:rPr>
            </w:pPr>
            <w:r>
              <w:rPr>
                <w:rFonts w:ascii="Arial" w:cs="Arial" w:eastAsia="Arial" w:hAnsi="Arial"/>
                <w:sz w:val="12"/>
                <w:szCs w:val="12"/>
                <w:color w:val="auto"/>
              </w:rPr>
              <w:t>3.94</w:t>
            </w: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w:t>
            </w:r>
          </w:p>
        </w:tc>
        <w:tc>
          <w:tcPr>
            <w:tcW w:w="5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40.7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0.3</w:t>
            </w: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0.2</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264"/>
        </w:trPr>
        <w:tc>
          <w:tcPr>
            <w:tcW w:w="40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b w:val="1"/>
                <w:bCs w:val="1"/>
                <w:color w:val="auto"/>
              </w:rPr>
              <w:t xml:space="preserve">Total Earning Assets </w:t>
            </w:r>
            <w:r>
              <w:rPr>
                <w:rFonts w:ascii="Arial" w:cs="Arial" w:eastAsia="Arial" w:hAnsi="Arial"/>
                <w:sz w:val="19"/>
                <w:szCs w:val="19"/>
                <w:b w:val="1"/>
                <w:bCs w:val="1"/>
                <w:color w:val="auto"/>
                <w:vertAlign w:val="superscript"/>
              </w:rPr>
              <w:t>3</w:t>
            </w:r>
          </w:p>
        </w:tc>
        <w:tc>
          <w:tcPr>
            <w:tcW w:w="5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16,135.3</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133.5</w:t>
            </w:r>
          </w:p>
        </w:tc>
        <w:tc>
          <w:tcPr>
            <w:tcW w:w="4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2"/>
                <w:szCs w:val="12"/>
                <w:color w:val="auto"/>
              </w:rPr>
              <w:t>3.33</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15,756.0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122.9</w:t>
            </w: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2"/>
                <w:szCs w:val="12"/>
                <w:color w:val="auto"/>
              </w:rPr>
              <w:t>3.14</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Cash and Due From Banks</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228.6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2"/>
                <w:szCs w:val="12"/>
                <w:color w:val="auto"/>
              </w:rPr>
              <w:t>Other Assets</w:t>
            </w:r>
          </w:p>
        </w:tc>
        <w:tc>
          <w:tcPr>
            <w:tcW w:w="500" w:type="dxa"/>
            <w:vAlign w:val="bottom"/>
          </w:tcPr>
          <w:p>
            <w:pPr>
              <w:spacing w:after="0"/>
              <w:rPr>
                <w:sz w:val="21"/>
                <w:szCs w:val="21"/>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593.5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546.4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Total Assets</w:t>
            </w:r>
          </w:p>
        </w:tc>
        <w:tc>
          <w:tcPr>
            <w:tcW w:w="50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16,957.4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16,434.6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Interest-Bearing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2"/>
                <w:szCs w:val="12"/>
                <w:color w:val="auto"/>
              </w:rPr>
              <w:t>Interest-Bearing Deposits</w:t>
            </w: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Demand</w:t>
            </w:r>
          </w:p>
        </w:tc>
        <w:tc>
          <w:tcPr>
            <w:tcW w:w="500" w:type="dxa"/>
            <w:vAlign w:val="bottom"/>
            <w:tcBorders>
              <w:bottom w:val="single" w:sz="8" w:color="CCEEFF"/>
            </w:tcBorders>
            <w:shd w:val="clear" w:color="auto" w:fill="CCEEFF"/>
          </w:tcPr>
          <w:p>
            <w:pPr>
              <w:jc w:val="right"/>
              <w:ind w:right="342"/>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2,978.1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0.8</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w w:val="93"/>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2,866.4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0.3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w w:val="93"/>
              </w:rPr>
              <w:t>0.04%</w:t>
            </w:r>
          </w:p>
        </w:tc>
        <w:tc>
          <w:tcPr>
            <w:tcW w:w="0" w:type="dxa"/>
            <w:vAlign w:val="bottom"/>
          </w:tcPr>
          <w:p>
            <w:pPr>
              <w:spacing w:after="0"/>
              <w:rPr>
                <w:sz w:val="1"/>
                <w:szCs w:val="1"/>
                <w:color w:val="auto"/>
              </w:rPr>
            </w:pPr>
          </w:p>
        </w:tc>
      </w:tr>
      <w:tr>
        <w:trPr>
          <w:trHeight w:val="250"/>
        </w:trPr>
        <w:tc>
          <w:tcPr>
            <w:tcW w:w="4000" w:type="dxa"/>
            <w:vAlign w:val="bottom"/>
          </w:tcPr>
          <w:p>
            <w:pPr>
              <w:ind w:left="200"/>
              <w:spacing w:after="0"/>
              <w:rPr>
                <w:sz w:val="20"/>
                <w:szCs w:val="20"/>
                <w:color w:val="auto"/>
              </w:rPr>
            </w:pPr>
            <w:r>
              <w:rPr>
                <w:rFonts w:ascii="Arial" w:cs="Arial" w:eastAsia="Arial" w:hAnsi="Arial"/>
                <w:sz w:val="12"/>
                <w:szCs w:val="12"/>
                <w:color w:val="auto"/>
              </w:rPr>
              <w:t>Savings</w:t>
            </w:r>
          </w:p>
        </w:tc>
        <w:tc>
          <w:tcPr>
            <w:tcW w:w="500" w:type="dxa"/>
            <w:vAlign w:val="bottom"/>
          </w:tcPr>
          <w:p>
            <w:pPr>
              <w:spacing w:after="0"/>
              <w:rPr>
                <w:sz w:val="21"/>
                <w:szCs w:val="21"/>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5,366.3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2.1</w:t>
            </w:r>
          </w:p>
        </w:tc>
        <w:tc>
          <w:tcPr>
            <w:tcW w:w="440" w:type="dxa"/>
            <w:vAlign w:val="bottom"/>
          </w:tcPr>
          <w:p>
            <w:pPr>
              <w:spacing w:after="0"/>
              <w:rPr>
                <w:sz w:val="21"/>
                <w:szCs w:val="21"/>
                <w:color w:val="auto"/>
              </w:rPr>
            </w:pPr>
          </w:p>
        </w:tc>
        <w:tc>
          <w:tcPr>
            <w:tcW w:w="840" w:type="dxa"/>
            <w:vAlign w:val="bottom"/>
          </w:tcPr>
          <w:p>
            <w:pPr>
              <w:ind w:left="500"/>
              <w:spacing w:after="0"/>
              <w:rPr>
                <w:sz w:val="20"/>
                <w:szCs w:val="20"/>
                <w:color w:val="auto"/>
              </w:rPr>
            </w:pPr>
            <w:r>
              <w:rPr>
                <w:rFonts w:ascii="Arial" w:cs="Arial" w:eastAsia="Arial" w:hAnsi="Arial"/>
                <w:sz w:val="12"/>
                <w:szCs w:val="12"/>
                <w:color w:val="auto"/>
              </w:rPr>
              <w:t>0.16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5,406.2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1.3</w:t>
            </w:r>
          </w:p>
        </w:tc>
        <w:tc>
          <w:tcPr>
            <w:tcW w:w="380" w:type="dxa"/>
            <w:vAlign w:val="bottom"/>
          </w:tcPr>
          <w:p>
            <w:pPr>
              <w:spacing w:after="0"/>
              <w:rPr>
                <w:sz w:val="21"/>
                <w:szCs w:val="21"/>
                <w:color w:val="auto"/>
              </w:rPr>
            </w:pPr>
          </w:p>
        </w:tc>
        <w:tc>
          <w:tcPr>
            <w:tcW w:w="880" w:type="dxa"/>
            <w:vAlign w:val="bottom"/>
          </w:tcPr>
          <w:p>
            <w:pPr>
              <w:ind w:left="540"/>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Time</w:t>
            </w:r>
          </w:p>
        </w:tc>
        <w:tc>
          <w:tcPr>
            <w:tcW w:w="5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1,713.5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4.7</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1,313.7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2.1</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0.65</w:t>
            </w:r>
          </w:p>
        </w:tc>
        <w:tc>
          <w:tcPr>
            <w:tcW w:w="0" w:type="dxa"/>
            <w:vAlign w:val="bottom"/>
          </w:tcPr>
          <w:p>
            <w:pPr>
              <w:spacing w:after="0"/>
              <w:rPr>
                <w:sz w:val="1"/>
                <w:szCs w:val="1"/>
                <w:color w:val="auto"/>
              </w:rPr>
            </w:pPr>
          </w:p>
        </w:tc>
      </w:tr>
      <w:tr>
        <w:trPr>
          <w:trHeight w:val="244"/>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Total Interest-Bearing Deposits</w:t>
            </w:r>
          </w:p>
        </w:tc>
        <w:tc>
          <w:tcPr>
            <w:tcW w:w="5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10,057.9</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7.6</w:t>
            </w:r>
          </w:p>
        </w:tc>
        <w:tc>
          <w:tcPr>
            <w:tcW w:w="4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ind w:left="500"/>
              <w:spacing w:after="0"/>
              <w:rPr>
                <w:sz w:val="20"/>
                <w:szCs w:val="20"/>
                <w:color w:val="auto"/>
              </w:rPr>
            </w:pPr>
            <w:r>
              <w:rPr>
                <w:rFonts w:ascii="Arial" w:cs="Arial" w:eastAsia="Arial" w:hAnsi="Arial"/>
                <w:sz w:val="12"/>
                <w:szCs w:val="12"/>
                <w:color w:val="auto"/>
              </w:rPr>
              <w:t>0.31</w:t>
            </w: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9,586.3</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3.7</w:t>
            </w: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2"/>
                <w:szCs w:val="12"/>
                <w:color w:val="auto"/>
              </w:rPr>
              <w:t>0.16</w:t>
            </w: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Short-Term Borrowings</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0.1</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0.15</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2"/>
                <w:szCs w:val="12"/>
                <w:color w:val="auto"/>
              </w:rPr>
              <w:t>Securities Sold Under Agreements to Repurchase</w:t>
            </w:r>
          </w:p>
        </w:tc>
        <w:tc>
          <w:tcPr>
            <w:tcW w:w="500" w:type="dxa"/>
            <w:vAlign w:val="bottom"/>
          </w:tcPr>
          <w:p>
            <w:pPr>
              <w:spacing w:after="0"/>
              <w:rPr>
                <w:sz w:val="21"/>
                <w:szCs w:val="21"/>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505.3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4.5</w:t>
            </w:r>
          </w:p>
        </w:tc>
        <w:tc>
          <w:tcPr>
            <w:tcW w:w="440" w:type="dxa"/>
            <w:vAlign w:val="bottom"/>
          </w:tcPr>
          <w:p>
            <w:pPr>
              <w:spacing w:after="0"/>
              <w:rPr>
                <w:sz w:val="21"/>
                <w:szCs w:val="21"/>
                <w:color w:val="auto"/>
              </w:rPr>
            </w:pPr>
          </w:p>
        </w:tc>
        <w:tc>
          <w:tcPr>
            <w:tcW w:w="840" w:type="dxa"/>
            <w:vAlign w:val="bottom"/>
          </w:tcPr>
          <w:p>
            <w:pPr>
              <w:ind w:left="500"/>
              <w:spacing w:after="0"/>
              <w:rPr>
                <w:sz w:val="20"/>
                <w:szCs w:val="20"/>
                <w:color w:val="auto"/>
              </w:rPr>
            </w:pPr>
            <w:r>
              <w:rPr>
                <w:rFonts w:ascii="Arial" w:cs="Arial" w:eastAsia="Arial" w:hAnsi="Arial"/>
                <w:sz w:val="12"/>
                <w:szCs w:val="12"/>
                <w:color w:val="auto"/>
              </w:rPr>
              <w:t>3.61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512.2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5.2</w:t>
            </w:r>
          </w:p>
        </w:tc>
        <w:tc>
          <w:tcPr>
            <w:tcW w:w="380" w:type="dxa"/>
            <w:vAlign w:val="bottom"/>
          </w:tcPr>
          <w:p>
            <w:pPr>
              <w:spacing w:after="0"/>
              <w:rPr>
                <w:sz w:val="21"/>
                <w:szCs w:val="21"/>
                <w:color w:val="auto"/>
              </w:rPr>
            </w:pPr>
          </w:p>
        </w:tc>
        <w:tc>
          <w:tcPr>
            <w:tcW w:w="880" w:type="dxa"/>
            <w:vAlign w:val="bottom"/>
          </w:tcPr>
          <w:p>
            <w:pPr>
              <w:ind w:left="540"/>
              <w:spacing w:after="0"/>
              <w:rPr>
                <w:sz w:val="20"/>
                <w:szCs w:val="20"/>
                <w:color w:val="auto"/>
              </w:rPr>
            </w:pPr>
            <w:r>
              <w:rPr>
                <w:rFonts w:ascii="Arial" w:cs="Arial" w:eastAsia="Arial" w:hAnsi="Arial"/>
                <w:sz w:val="12"/>
                <w:szCs w:val="12"/>
                <w:color w:val="auto"/>
              </w:rPr>
              <w:t>4.05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Debt</w:t>
            </w:r>
          </w:p>
        </w:tc>
        <w:tc>
          <w:tcPr>
            <w:tcW w:w="5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257.1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1.0</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267.9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1.1</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244"/>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2"/>
                <w:szCs w:val="12"/>
                <w:b w:val="1"/>
                <w:bCs w:val="1"/>
                <w:color w:val="auto"/>
              </w:rPr>
              <w:t>Total Interest-Bearing Liabilities</w:t>
            </w:r>
          </w:p>
        </w:tc>
        <w:tc>
          <w:tcPr>
            <w:tcW w:w="5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10,839.4</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13.2</w:t>
            </w:r>
          </w:p>
        </w:tc>
        <w:tc>
          <w:tcPr>
            <w:tcW w:w="4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ind w:left="500"/>
              <w:spacing w:after="0"/>
              <w:rPr>
                <w:sz w:val="20"/>
                <w:szCs w:val="20"/>
                <w:color w:val="auto"/>
              </w:rPr>
            </w:pPr>
            <w:r>
              <w:rPr>
                <w:rFonts w:ascii="Arial" w:cs="Arial" w:eastAsia="Arial" w:hAnsi="Arial"/>
                <w:sz w:val="12"/>
                <w:szCs w:val="12"/>
                <w:color w:val="auto"/>
              </w:rPr>
              <w:t>0.49</w:t>
            </w: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10,375.9</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10.0</w:t>
            </w: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2"/>
                <w:szCs w:val="12"/>
                <w:color w:val="auto"/>
              </w:rPr>
              <w:t>0.39</w:t>
            </w: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40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Net Interest Income</w:t>
            </w:r>
          </w:p>
        </w:tc>
        <w:tc>
          <w:tcPr>
            <w:tcW w:w="5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120.3</w:t>
            </w: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112.9</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2"/>
                <w:szCs w:val="12"/>
                <w:color w:val="auto"/>
              </w:rPr>
              <w:t>Interest Rate Spread</w:t>
            </w: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2"/>
                <w:szCs w:val="12"/>
                <w:color w:val="auto"/>
                <w:w w:val="93"/>
              </w:rPr>
              <w:t>2.84%</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2"/>
                <w:szCs w:val="12"/>
                <w:color w:val="auto"/>
                <w:w w:val="93"/>
              </w:rPr>
              <w:t>2.75%</w:t>
            </w:r>
          </w:p>
        </w:tc>
        <w:tc>
          <w:tcPr>
            <w:tcW w:w="0" w:type="dxa"/>
            <w:vAlign w:val="bottom"/>
          </w:tcPr>
          <w:p>
            <w:pPr>
              <w:spacing w:after="0" w:line="20" w:lineRule="exact"/>
              <w:rPr>
                <w:sz w:val="1"/>
                <w:szCs w:val="1"/>
                <w:color w:val="auto"/>
              </w:rPr>
            </w:pPr>
          </w:p>
        </w:tc>
      </w:tr>
      <w:tr>
        <w:trPr>
          <w:trHeight w:val="234"/>
        </w:trPr>
        <w:tc>
          <w:tcPr>
            <w:tcW w:w="40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Net Interest Margin</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w w:val="93"/>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w w:val="93"/>
              </w:rPr>
              <w:t>2.89%</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2"/>
                <w:szCs w:val="12"/>
                <w:color w:val="auto"/>
              </w:rPr>
              <w:t>Noninterest-Bearing Demand Deposits</w:t>
            </w:r>
          </w:p>
        </w:tc>
        <w:tc>
          <w:tcPr>
            <w:tcW w:w="500" w:type="dxa"/>
            <w:vAlign w:val="bottom"/>
          </w:tcPr>
          <w:p>
            <w:pPr>
              <w:spacing w:after="0"/>
              <w:rPr>
                <w:sz w:val="21"/>
                <w:szCs w:val="21"/>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4,662.4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4,632.6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2"/>
                <w:szCs w:val="12"/>
                <w:color w:val="auto"/>
              </w:rPr>
              <w:t>Shareholders’ Equity</w:t>
            </w:r>
          </w:p>
        </w:tc>
        <w:tc>
          <w:tcPr>
            <w:tcW w:w="500" w:type="dxa"/>
            <w:vAlign w:val="bottom"/>
          </w:tcPr>
          <w:p>
            <w:pPr>
              <w:spacing w:after="0"/>
              <w:rPr>
                <w:sz w:val="21"/>
                <w:szCs w:val="21"/>
                <w:color w:val="auto"/>
              </w:rPr>
            </w:pP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1,235.6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1,177.3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Total Liabilities and Shareholders’ Equity</w:t>
            </w:r>
          </w:p>
        </w:tc>
        <w:tc>
          <w:tcPr>
            <w:tcW w:w="50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16,957.4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16,434.6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9"/>
          <w:szCs w:val="9"/>
          <w:color w:val="auto"/>
        </w:rPr>
      </w:pPr>
      <w:r>
        <w:rPr>
          <w:rFonts w:ascii="Arial" w:cs="Arial" w:eastAsia="Arial" w:hAnsi="Arial"/>
          <w:sz w:val="13"/>
          <w:szCs w:val="13"/>
          <w:color w:val="auto"/>
        </w:rPr>
        <w:t>Non-performing loans and leases are included in the respective average loan and lease balances. Income, if any, on such loans and leases is recognized on a cash basis.</w:t>
      </w:r>
    </w:p>
    <w:p>
      <w:pPr>
        <w:spacing w:after="0" w:line="8"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9"/>
          <w:szCs w:val="9"/>
          <w:color w:val="auto"/>
        </w:rPr>
      </w:pPr>
      <w:r>
        <w:rPr>
          <w:rFonts w:ascii="Arial" w:cs="Arial" w:eastAsia="Arial" w:hAnsi="Arial"/>
          <w:sz w:val="13"/>
          <w:szCs w:val="13"/>
          <w:color w:val="auto"/>
        </w:rPr>
        <w:t>Comprised of other consumer revolving credit, installment, and consumer lease financing.</w:t>
      </w:r>
    </w:p>
    <w:p>
      <w:pPr>
        <w:ind w:left="180" w:right="100" w:hanging="172"/>
        <w:spacing w:after="0" w:line="239" w:lineRule="auto"/>
        <w:tabs>
          <w:tab w:leader="none" w:pos="180" w:val="left"/>
        </w:tabs>
        <w:numPr>
          <w:ilvl w:val="0"/>
          <w:numId w:val="35"/>
        </w:numPr>
        <w:rPr>
          <w:rFonts w:ascii="Arial" w:cs="Arial" w:eastAsia="Arial" w:hAnsi="Arial"/>
          <w:sz w:val="9"/>
          <w:szCs w:val="9"/>
          <w:color w:val="auto"/>
        </w:rPr>
      </w:pPr>
      <w:r>
        <w:rPr>
          <w:rFonts w:ascii="Arial" w:cs="Arial" w:eastAsia="Arial" w:hAnsi="Arial"/>
          <w:sz w:val="13"/>
          <w:szCs w:val="13"/>
          <w:color w:val="auto"/>
        </w:rPr>
        <w:t>Interest income includes taxable-equivalent basis adjustments, based upon a federal statutory tax rate of 21% for 2018 and 35% for 2017, of $1.3 million for the three months ended March 31, 2018 and $3.1 million for the three months ended March 31, 2017.</w:t>
      </w:r>
    </w:p>
    <w:p>
      <w:pPr>
        <w:sectPr>
          <w:pgSz w:w="11900" w:h="16838" w:orient="portrait"/>
          <w:cols w:equalWidth="0" w:num="1">
            <w:col w:w="11420"/>
          </w:cols>
          <w:pgMar w:left="240" w:top="130" w:right="239" w:bottom="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30" w:right="239" w:bottom="0" w:gutter="0" w:footer="0" w:header="0"/>
          <w:type w:val="continuous"/>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Analysis of Change in Net Interest Income - Taxable-Equivalent Basis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4</w:t>
            </w:r>
          </w:p>
        </w:tc>
      </w:tr>
      <w:tr>
        <w:trPr>
          <w:trHeight w:val="27"/>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6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 2018</w:t>
            </w:r>
          </w:p>
        </w:tc>
        <w:tc>
          <w:tcPr>
            <w:tcW w:w="840" w:type="dxa"/>
            <w:vAlign w:val="bottom"/>
          </w:tcPr>
          <w:p>
            <w:pPr>
              <w:spacing w:after="0"/>
              <w:rPr>
                <w:sz w:val="20"/>
                <w:szCs w:val="20"/>
                <w:color w:val="auto"/>
              </w:rPr>
            </w:pPr>
          </w:p>
        </w:tc>
      </w:tr>
      <w:tr>
        <w:trPr>
          <w:trHeight w:val="270"/>
        </w:trPr>
        <w:tc>
          <w:tcPr>
            <w:tcW w:w="6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9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Compared to March 31, 2017</w:t>
            </w: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33"/>
        </w:trPr>
        <w:tc>
          <w:tcPr>
            <w:tcW w:w="6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millions)</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17"/>
                <w:szCs w:val="17"/>
                <w:color w:val="auto"/>
                <w:vertAlign w:val="superscript"/>
              </w:rPr>
              <w:t>1</w:t>
            </w:r>
          </w:p>
        </w:tc>
        <w:tc>
          <w:tcPr>
            <w:tcW w:w="6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17"/>
                <w:szCs w:val="17"/>
                <w:color w:val="auto"/>
                <w:vertAlign w:val="superscript"/>
              </w:rPr>
              <w:t>1</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Interest Income: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(0.8)</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0.7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Available-for-Sale</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Taxable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1.4</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6660" w:type="dxa"/>
            <w:vAlign w:val="bottom"/>
          </w:tcPr>
          <w:p>
            <w:pPr>
              <w:ind w:left="360"/>
              <w:spacing w:after="0"/>
              <w:rPr>
                <w:sz w:val="20"/>
                <w:szCs w:val="20"/>
                <w:color w:val="auto"/>
              </w:rPr>
            </w:pPr>
            <w:r>
              <w:rPr>
                <w:rFonts w:ascii="Arial" w:cs="Arial" w:eastAsia="Arial" w:hAnsi="Arial"/>
                <w:sz w:val="16"/>
                <w:szCs w:val="16"/>
                <w:color w:val="auto"/>
              </w:rPr>
              <w:t>Non-Taxable</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(0.5)</w:t>
            </w:r>
          </w:p>
        </w:tc>
        <w:tc>
          <w:tcPr>
            <w:tcW w:w="640" w:type="dxa"/>
            <w:vAlign w:val="bottom"/>
          </w:tcPr>
          <w:p>
            <w:pPr>
              <w:spacing w:after="0"/>
              <w:rPr>
                <w:sz w:val="20"/>
                <w:szCs w:val="20"/>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color w:val="auto"/>
              </w:rPr>
              <w:t>(0.8)</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Held-to-Maturity</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320"/>
              <w:spacing w:after="0"/>
              <w:rPr>
                <w:sz w:val="20"/>
                <w:szCs w:val="20"/>
                <w:color w:val="auto"/>
              </w:rPr>
            </w:pPr>
            <w:r>
              <w:rPr>
                <w:rFonts w:ascii="Arial" w:cs="Arial" w:eastAsia="Arial" w:hAnsi="Arial"/>
                <w:sz w:val="16"/>
                <w:szCs w:val="16"/>
                <w:color w:val="auto"/>
              </w:rPr>
              <w:t>Taxable</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0.2</w:t>
            </w:r>
          </w:p>
        </w:tc>
        <w:tc>
          <w:tcPr>
            <w:tcW w:w="64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1.4</w:t>
            </w: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Non-Taxable</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(0.5)</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(0.3)</w:t>
            </w:r>
          </w:p>
        </w:tc>
        <w:tc>
          <w:tcPr>
            <w:tcW w:w="6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1.5</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(0.2)</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and Industrial</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0.2</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1.1</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Commercial Mortgage</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2.0</w:t>
            </w:r>
          </w:p>
        </w:tc>
        <w:tc>
          <w:tcPr>
            <w:tcW w:w="64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(0.8)</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Commercial Lease Financing</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(0.1)</w:t>
            </w:r>
          </w:p>
        </w:tc>
        <w:tc>
          <w:tcPr>
            <w:tcW w:w="64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Mortgage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2.6</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(0.2)</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Home Equity</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2.1</w:t>
            </w:r>
          </w:p>
        </w:tc>
        <w:tc>
          <w:tcPr>
            <w:tcW w:w="64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0.5</w:t>
            </w: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Automobile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0.9</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(1.1)</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70"/>
        </w:trPr>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5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w:t>
            </w:r>
          </w:p>
        </w:tc>
        <w:tc>
          <w:tcPr>
            <w:tcW w:w="6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Loans and Leases</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8.2</w:t>
            </w:r>
          </w:p>
        </w:tc>
        <w:tc>
          <w:tcPr>
            <w:tcW w:w="6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1.4</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0.1</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Change in Interest Income</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6.9</w:t>
            </w:r>
          </w:p>
        </w:tc>
        <w:tc>
          <w:tcPr>
            <w:tcW w:w="6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3.7</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r>
      <w:tr>
        <w:trPr>
          <w:trHeight w:val="264"/>
        </w:trPr>
        <w:tc>
          <w:tcPr>
            <w:tcW w:w="66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Interest Expense: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Interest-Bearing Deposits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Demand</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0.5</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Savings</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0.8</w:t>
            </w: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Time</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0.8</w:t>
            </w:r>
          </w:p>
        </w:tc>
        <w:tc>
          <w:tcPr>
            <w:tcW w:w="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1.8</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Interest-Bearing Deposits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0.8</w:t>
            </w:r>
          </w:p>
        </w:tc>
        <w:tc>
          <w:tcPr>
            <w:tcW w:w="6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3.1</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(0.1)</w:t>
            </w:r>
          </w:p>
        </w:tc>
        <w:tc>
          <w:tcPr>
            <w:tcW w:w="640" w:type="dxa"/>
            <w:vAlign w:val="bottom"/>
          </w:tcPr>
          <w:p>
            <w:pPr>
              <w:spacing w:after="0"/>
              <w:rPr>
                <w:sz w:val="20"/>
                <w:szCs w:val="20"/>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color w:val="auto"/>
              </w:rPr>
              <w:t>(0.6)</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Change in Interest Expense</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0.7</w:t>
            </w:r>
          </w:p>
        </w:tc>
        <w:tc>
          <w:tcPr>
            <w:tcW w:w="6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2.5</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6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b w:val="1"/>
                <w:bCs w:val="1"/>
                <w:color w:val="auto"/>
              </w:rPr>
              <w:t>Change in Net Interest Income</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6.2</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1.2</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7.4</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9"/>
          <w:szCs w:val="9"/>
          <w:color w:val="auto"/>
        </w:rPr>
      </w:pPr>
      <w:r>
        <w:rPr>
          <w:rFonts w:ascii="Arial" w:cs="Arial" w:eastAsia="Arial" w:hAnsi="Arial"/>
          <w:sz w:val="14"/>
          <w:szCs w:val="14"/>
          <w:color w:val="auto"/>
        </w:rPr>
        <w:t>The change in interest income and expense not solely due to changes in volume or rate has been allocated on a pro-rata basis to the volume and rate columns.</w:t>
      </w:r>
    </w:p>
    <w:p>
      <w:pPr>
        <w:spacing w:after="0" w:line="13"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9"/>
          <w:szCs w:val="9"/>
          <w:color w:val="auto"/>
        </w:rPr>
      </w:pPr>
      <w:r>
        <w:rPr>
          <w:rFonts w:ascii="Arial" w:cs="Arial" w:eastAsia="Arial" w:hAnsi="Arial"/>
          <w:sz w:val="14"/>
          <w:szCs w:val="14"/>
          <w:color w:val="auto"/>
        </w:rPr>
        <w:t>Comprised of other consumer revolving credit, installment, and consumer lease financing.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ectPr>
          <w:pgSz w:w="11900" w:h="16838" w:orient="portrait"/>
          <w:cols w:equalWidth="0" w:num="1">
            <w:col w:w="11420"/>
          </w:cols>
          <w:pgMar w:left="240" w:top="130"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30" w:right="239" w:bottom="1440" w:gutter="0" w:footer="0" w:header="0"/>
          <w:type w:val="continuous"/>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Net interest income was $119.0 million for the first quarter of 2018, an increase of $9.1 million or 8% compared to the same period in 2017. On a taxable-equivalent basis, net interest income was $120.3 million for the first quarter of 2018, an increase of $7.4 million or 7% compared to the same period in 2017. This increase was primarily due to a higher level of earning assets, including growth in both our commercial and consumer lending portfolios, and higher net interest margin. The higher level of earning assets was primarily funded by higher deposit balances. Net interest margin was 3.00% for the first quarter of 2018, an increase of 11 basis points compared to the same period in 2017. The higher margin in 2018 was primarily due to our loans, which generally have higher yields than our investment securities, comprising a larger percentage of our earning assets compared to 2017.</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Yields on our earning assets increased by 19 basis points in the first quarter of 2018 compared to the same period in 2017 primarily due to the aforementioned shift in the mix of our earning assets from investment securities to loans, which generally have higher yields. Yields on our commercial and industrial and commercial mortgage loans increased by 35 basis points and 23 basis points, respectively, due to higher yields on floating rate loans. Yields on our investment securities portfolio increased by 10 basis points primarily due to the higher interest rate environment and lower premium amortization. These yield increases were partially offset by an 85 basis point and 3 basis point yield decreases in our automobile and residential mortgage loan portfolios, respectively, primarily due to continued payoff activity of higher-rate loans and the addition of lower-rate loans to both portfolios.</w:t>
      </w:r>
    </w:p>
    <w:p>
      <w:pPr>
        <w:spacing w:after="0" w:line="16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Interest rates paid on our interest-bearing liabilities increased by 10 basis points in the first quarter of 2018 compared to the same period in 2017. Increases to our funding costs are primarily due to higher rates paid on our time deposits, offset by growth in our interest-bearing demand deposits, which generally have lower rates than other funding sources. Interest rates paid on our time deposits increased by 46 basis points for the first three months of 2018 compared to the same period in 2017, a reflection of the higher interest rate environment. The average balance of core deposits increased by $71.8 million or 1% in 2018 compared to 2017. The higher funding costs were partially offset by the lower rates paid on our securities sold under agreements to repurchase. Interest rates paid on our repurchase agreements decreased by 44 basis points for the first three months of 2018 compared to the same period in 2017 primarily due to the restructuring of three repurchase agreements with private institutions with an aggregate total of $200.0 million. These repurchase agreements were to mature in 2018 and had a weighted-average interest rate of 3.94%. The restructuring of the agreements extended the maturity dates to June 2022 and lowered the weighted-average interest rate to 2.70% effective June 2017.</w:t>
      </w:r>
    </w:p>
    <w:p>
      <w:pPr>
        <w:spacing w:after="0" w:line="16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Average balances of our earning assets increased by $379.3 million or 2% in the first quarter of 2018 compared to the same period in 2017 primarily due to loan growth as the average balances of our loan and lease portfolio increased by $783.4 million. The average balance of our residential mortgage portfolio increased by $276.5 million in the first quarter of 2018 primarily due to a relatively constant level of loan originations combined with a slowdown in payoff activity. The average balance of our home equity portfolio increased by $228.0 million in the first quarter of 2018 due in large part to the continued loan demand in light of a strong Hawaii economy and healthy real estate market conditions. In addition, we experienced healthy line utilization during 2018. The average balance of our commercial mortgage portfolio increased by $214.9 million in the first quarter of 2018 as a result of continued demand from new and existing customers as a result of a strong Hawaii economy. Partially offsetting the increase in the average balances of our loans and leases portfolio was a $48.7 million decrease in the average balance of our investment securities portfolio in the first quarter of 2018 primarily due to the shift in the mix of our earning assets from investment securities to loans.</w:t>
      </w:r>
    </w:p>
    <w:p>
      <w:pPr>
        <w:spacing w:after="0" w:line="12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Average balances of our interest-bearing liabilities increased by $463.5 million or 4% in the first quarter of 2018 compared to the same period in 2017 primarily due to growth in our time deposits, along with continued growth in our relationship checking products. Additionally, average balances of our time deposits increased by $399.8 million, while interest-bearing demand accounts increased by $111.7 million for the first quarter of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provision for credit losses (the “Provision”) reflects our judgment of the expense or benefit necessary to achieve the appropriate amount of the Allowance. We maintain the Allowance at levels we believe adequate to cover our estimate of probable credit losses as of the end of the reporting period. The Allowance is determined through detailed quarterly analyses of the loan and lease portfolio. The Allowance is based on our loss experience and changes in the economic environment, as well as an ongoing assessment of credit quality. Additional factors that are considered in determining the amount of the Allowance are the level of net charge-offs, non-performing assets, risk-rating migration, as well as changes in our portfolio size and composition. We recorded a provision of $4.1 million in the first quarter of 2018 compared to a $4.4 million provision in the same period in 2017. Our decision to record a provision is reflective of our evaluation of the adequacy of the Allowance. For further discussion on the Allowance, see “Corporate Risk Profile - Reserve for Credit Losses” in this Management’s Discussion and Analysis of Financial Condition and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 decreased by $11.9 million or 21% in the first quarter of 2018 compared to the same period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5 presents the components of noninterest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Noninterest Income</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Table 5</w:t>
            </w:r>
          </w:p>
        </w:tc>
      </w:tr>
      <w:tr>
        <w:trPr>
          <w:trHeight w:val="33"/>
        </w:trPr>
        <w:tc>
          <w:tcPr>
            <w:tcW w:w="7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Pr>
          <w:p>
            <w:pPr>
              <w:spacing w:after="0"/>
              <w:rPr>
                <w:sz w:val="20"/>
                <w:szCs w:val="20"/>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7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8"/>
              </w:rPr>
              <w:t>Change</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Trust and Asset Management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11,181</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11,479</w:t>
            </w:r>
          </w:p>
        </w:tc>
        <w:tc>
          <w:tcPr>
            <w:tcW w:w="5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Banking</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2,145</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3,300</w:t>
            </w: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Service Charges on Deposit Accounts</w:t>
            </w:r>
          </w:p>
        </w:tc>
        <w:tc>
          <w:tcPr>
            <w:tcW w:w="30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7,129</w:t>
            </w:r>
          </w:p>
        </w:tc>
        <w:tc>
          <w:tcPr>
            <w:tcW w:w="42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8,325</w:t>
            </w:r>
          </w:p>
        </w:tc>
        <w:tc>
          <w:tcPr>
            <w:tcW w:w="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(1,196)</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Fees, Exchange, and Other Service Charges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14,333</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13,332</w:t>
            </w: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Investment Securities Gains (Losses), Net</w:t>
            </w:r>
          </w:p>
        </w:tc>
        <w:tc>
          <w:tcPr>
            <w:tcW w:w="30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(666)</w:t>
            </w:r>
          </w:p>
        </w:tc>
        <w:tc>
          <w:tcPr>
            <w:tcW w:w="42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12,133</w:t>
            </w:r>
          </w:p>
        </w:tc>
        <w:tc>
          <w:tcPr>
            <w:tcW w:w="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(12,799)</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Annuity and Insurance</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1,206</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1,995</w:t>
            </w: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Bank-Owned Life Insurance</w:t>
            </w:r>
          </w:p>
        </w:tc>
        <w:tc>
          <w:tcPr>
            <w:tcW w:w="30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1,842</w:t>
            </w:r>
          </w:p>
        </w:tc>
        <w:tc>
          <w:tcPr>
            <w:tcW w:w="42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1,497</w:t>
            </w:r>
          </w:p>
        </w:tc>
        <w:tc>
          <w:tcPr>
            <w:tcW w:w="5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345</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6,865</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3,855</w:t>
            </w:r>
          </w:p>
        </w:tc>
        <w:tc>
          <w:tcPr>
            <w:tcW w:w="5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3,010</w:t>
            </w:r>
          </w:p>
        </w:tc>
      </w:tr>
      <w:tr>
        <w:trPr>
          <w:trHeight w:val="231"/>
        </w:trPr>
        <w:tc>
          <w:tcPr>
            <w:tcW w:w="79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44,035</w:t>
            </w:r>
          </w:p>
        </w:tc>
        <w:tc>
          <w:tcPr>
            <w:tcW w:w="4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55,916</w:t>
            </w:r>
          </w:p>
        </w:tc>
        <w:tc>
          <w:tcPr>
            <w:tcW w:w="5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(11,881)</w:t>
            </w:r>
          </w:p>
        </w:tc>
      </w:tr>
      <w:tr>
        <w:trPr>
          <w:trHeight w:val="33"/>
        </w:trPr>
        <w:tc>
          <w:tcPr>
            <w:tcW w:w="7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Trust and asset management income is comprised of fees earned from the management and administration of trusts and other customer assets. These fees are largely based upon the market value of the assets we manage and the fee rate charged to customers. Total trust assets under administration were $9.3 billion and $8.8 billion as of March 31, 2018 and 2017, respectively. Trust and asset management income decreased by $0.3 million or 3% in the first quarter of 2018 compared to the same period in 2017.</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Mortgage banking income is highly influenced by mortgage interest rates, the housing market, the amount of our loan sales, and our valuation of mortgage servicing rights. Mortgage banking income decreased by $1.2 million or 35% in the first quarter of 2018 compared to the same period in 2017. This decrease was primarily due to reduced sales of conforming saleable loans from our mortgage loan portfolio.</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Service charges on deposit accounts decreased by $1.2 million or 14% in the first quarter of 2018 compared to the same period in 2017 primarily due to a decrease in overdraft fees.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Fees, exchange, and other service charges are primarily comprised of debit and credit card income, fees from ATMs, merchant service activity, and other loan fees and service charges. Fees, exchange, and other service charges increased by $1.0 million or 8% in the first quarter of 2018 compared to the same period in 2017 due in part to a $0.3 million increase in debit card income mainly due to higher transaction volume. We also experienced modest increases in merchant income ($0.2 million) and other loan fees ($0.2 million).</w:t>
      </w:r>
    </w:p>
    <w:p>
      <w:pPr>
        <w:spacing w:after="0" w:line="18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Investment securities gains (losses), net totaled $(0.7) million in the first quarter of 2018 compared to $12.1 million during the same period in 2017. The net losses in the first quarter of 2018 were due to fees paid to the counterparties of our prior Visa Class B share sale transactions. The net gain in 2017 was primarily due to gains on the sale of 90,000 Visa Class B shares. We received these Class B shares in 2008 as part of Visa's initial public offering. These shares are transferable only under limited circumstances until they can be converted into the publicly traded Class A shares. This conversion will not occur until the settlement of certain litigation which is indemnified by Visa members such as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Concurrent with each sale of Visa Class B shares, we entered into an agreement with the buyer that requires payment to the buyer in the event Visa further reduces the conversion ratio. Based on the existing transfer restriction and the uncertainty of the covered litigation, the remaining 86,614 Visa Class B shares (142,766 Class A equivalent shares) that we own are carried at a zero cost basis.</w:t>
      </w:r>
    </w:p>
    <w:p>
      <w:pPr>
        <w:spacing w:after="0" w:line="17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Annuity and insurance income decreased by $0.8 million or 40% in the first quarter of 2018 compared to the same period in 2017. This increase was primarily due to lower sales of our annuity products.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Bank-owned life insurance increased by $0.3 million or 23% in the first quarter of 2018 compared to the same period in 2017. This increase was primarily due to death benefits received during the first quarter of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noninterest income increased by $3.0 million or 78% in the first quarter of 2018 compared to the same periods in 2017 primarily due to a distribution received in the first quarter of 2018 from a low-income housing investment sale totaling $2.8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 increased by $5.8 million or 7% in the first quarter of 2018 compared to the same period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6 presents the components of noninterest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ind w:left="40"/>
              <w:spacing w:after="0"/>
              <w:rPr>
                <w:sz w:val="20"/>
                <w:szCs w:val="20"/>
                <w:color w:val="auto"/>
              </w:rPr>
            </w:pPr>
            <w:r>
              <w:rPr>
                <w:rFonts w:ascii="Arial" w:cs="Arial" w:eastAsia="Arial" w:hAnsi="Arial"/>
                <w:sz w:val="16"/>
                <w:szCs w:val="16"/>
                <w:b w:val="1"/>
                <w:bCs w:val="1"/>
                <w:color w:val="auto"/>
              </w:rPr>
              <w:t>Noninterest Expense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6</w:t>
            </w:r>
          </w:p>
        </w:tc>
      </w:tr>
      <w:tr>
        <w:trPr>
          <w:trHeight w:val="33"/>
        </w:trPr>
        <w:tc>
          <w:tcPr>
            <w:tcW w:w="8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5"/>
          </w:tcPr>
          <w:p>
            <w:pPr>
              <w:spacing w:after="0"/>
              <w:rPr>
                <w:sz w:val="2"/>
                <w:szCs w:val="2"/>
                <w:color w:val="auto"/>
              </w:rPr>
            </w:pPr>
          </w:p>
        </w:tc>
      </w:tr>
      <w:tr>
        <w:trPr>
          <w:trHeight w:val="231"/>
        </w:trPr>
        <w:tc>
          <w:tcPr>
            <w:tcW w:w="8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5"/>
          </w:tcPr>
          <w:p>
            <w:pPr>
              <w:jc w:val="right"/>
              <w:ind w:right="49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8"/>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Salaries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32,704</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29,425</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3,279</w:t>
            </w:r>
          </w:p>
        </w:tc>
      </w:tr>
      <w:tr>
        <w:trPr>
          <w:trHeight w:val="237"/>
        </w:trPr>
        <w:tc>
          <w:tcPr>
            <w:tcW w:w="8020" w:type="dxa"/>
            <w:vAlign w:val="bottom"/>
          </w:tcPr>
          <w:p>
            <w:pPr>
              <w:ind w:left="40"/>
              <w:spacing w:after="0"/>
              <w:rPr>
                <w:sz w:val="20"/>
                <w:szCs w:val="20"/>
                <w:color w:val="auto"/>
              </w:rPr>
            </w:pPr>
            <w:r>
              <w:rPr>
                <w:rFonts w:ascii="Arial" w:cs="Arial" w:eastAsia="Arial" w:hAnsi="Arial"/>
                <w:sz w:val="16"/>
                <w:szCs w:val="16"/>
                <w:color w:val="auto"/>
              </w:rPr>
              <w:t>Incentive Compensation</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5,178</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5,774</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2,081</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2,303</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37"/>
        </w:trPr>
        <w:tc>
          <w:tcPr>
            <w:tcW w:w="8020" w:type="dxa"/>
            <w:vAlign w:val="bottom"/>
          </w:tcPr>
          <w:p>
            <w:pPr>
              <w:ind w:left="40"/>
              <w:spacing w:after="0"/>
              <w:rPr>
                <w:sz w:val="20"/>
                <w:szCs w:val="20"/>
                <w:color w:val="auto"/>
              </w:rPr>
            </w:pPr>
            <w:r>
              <w:rPr>
                <w:rFonts w:ascii="Arial" w:cs="Arial" w:eastAsia="Arial" w:hAnsi="Arial"/>
                <w:sz w:val="16"/>
                <w:szCs w:val="16"/>
                <w:color w:val="auto"/>
              </w:rPr>
              <w:t>Commission Expense</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954</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1,836</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(882)</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and Other Benefits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4,841</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4,604</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r>
      <w:tr>
        <w:trPr>
          <w:trHeight w:val="237"/>
        </w:trPr>
        <w:tc>
          <w:tcPr>
            <w:tcW w:w="8020" w:type="dxa"/>
            <w:vAlign w:val="bottom"/>
          </w:tcPr>
          <w:p>
            <w:pPr>
              <w:ind w:left="40"/>
              <w:spacing w:after="0"/>
              <w:rPr>
                <w:sz w:val="20"/>
                <w:szCs w:val="20"/>
                <w:color w:val="auto"/>
              </w:rPr>
            </w:pPr>
            <w:r>
              <w:rPr>
                <w:rFonts w:ascii="Arial" w:cs="Arial" w:eastAsia="Arial" w:hAnsi="Arial"/>
                <w:sz w:val="16"/>
                <w:szCs w:val="16"/>
                <w:color w:val="auto"/>
              </w:rPr>
              <w:t>Payroll Taxes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4,172</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3,944</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228</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Dental, and Life Insurance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3,461</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3,279</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r>
      <w:tr>
        <w:trPr>
          <w:trHeight w:val="237"/>
        </w:trPr>
        <w:tc>
          <w:tcPr>
            <w:tcW w:w="8020" w:type="dxa"/>
            <w:vAlign w:val="bottom"/>
          </w:tcPr>
          <w:p>
            <w:pPr>
              <w:ind w:left="40"/>
              <w:spacing w:after="0"/>
              <w:rPr>
                <w:sz w:val="20"/>
                <w:szCs w:val="20"/>
                <w:color w:val="auto"/>
              </w:rPr>
            </w:pPr>
            <w:r>
              <w:rPr>
                <w:rFonts w:ascii="Arial" w:cs="Arial" w:eastAsia="Arial" w:hAnsi="Arial"/>
                <w:sz w:val="16"/>
                <w:szCs w:val="16"/>
                <w:color w:val="auto"/>
              </w:rPr>
              <w:t>Separation Expense</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1,031</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1,031</w:t>
            </w:r>
          </w:p>
        </w:tc>
      </w:tr>
      <w:tr>
        <w:trPr>
          <w:trHeight w:val="33"/>
        </w:trPr>
        <w:tc>
          <w:tcPr>
            <w:tcW w:w="8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5"/>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Salaries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54,422</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51,165</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3,257</w:t>
            </w:r>
          </w:p>
        </w:tc>
      </w:tr>
      <w:tr>
        <w:trPr>
          <w:trHeight w:val="231"/>
        </w:trPr>
        <w:tc>
          <w:tcPr>
            <w:tcW w:w="80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Occupancy</w:t>
            </w: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8,534</w:t>
            </w: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8,168</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366</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Equipment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5,527</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5,501</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37"/>
        </w:trPr>
        <w:tc>
          <w:tcPr>
            <w:tcW w:w="8020" w:type="dxa"/>
            <w:vAlign w:val="bottom"/>
          </w:tcPr>
          <w:p>
            <w:pPr>
              <w:ind w:left="40"/>
              <w:spacing w:after="0"/>
              <w:rPr>
                <w:sz w:val="20"/>
                <w:szCs w:val="20"/>
                <w:color w:val="auto"/>
              </w:rPr>
            </w:pPr>
            <w:r>
              <w:rPr>
                <w:rFonts w:ascii="Arial" w:cs="Arial" w:eastAsia="Arial" w:hAnsi="Arial"/>
                <w:sz w:val="16"/>
                <w:szCs w:val="16"/>
                <w:color w:val="auto"/>
              </w:rPr>
              <w:t>Data Processing</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3,891</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3,410</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481</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2,773</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2,779</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8020" w:type="dxa"/>
            <w:vAlign w:val="bottom"/>
          </w:tcPr>
          <w:p>
            <w:pPr>
              <w:ind w:left="40"/>
              <w:spacing w:after="0"/>
              <w:rPr>
                <w:sz w:val="20"/>
                <w:szCs w:val="20"/>
                <w:color w:val="auto"/>
              </w:rPr>
            </w:pPr>
            <w:r>
              <w:rPr>
                <w:rFonts w:ascii="Arial" w:cs="Arial" w:eastAsia="Arial" w:hAnsi="Arial"/>
                <w:sz w:val="16"/>
                <w:szCs w:val="16"/>
                <w:color w:val="auto"/>
              </w:rPr>
              <w:t>FDIC Insurance</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2,157</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2,209</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020" w:type="dxa"/>
            <w:vAlign w:val="bottom"/>
          </w:tcPr>
          <w:p>
            <w:pPr>
              <w:ind w:left="180"/>
              <w:spacing w:after="0"/>
              <w:rPr>
                <w:sz w:val="20"/>
                <w:szCs w:val="20"/>
                <w:color w:val="auto"/>
              </w:rPr>
            </w:pPr>
            <w:r>
              <w:rPr>
                <w:rFonts w:ascii="Arial" w:cs="Arial" w:eastAsia="Arial" w:hAnsi="Arial"/>
                <w:sz w:val="16"/>
                <w:szCs w:val="16"/>
                <w:color w:val="auto"/>
              </w:rPr>
              <w:t>Delivery and Postage Services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2,289</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2,333</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Mileage Program Travel</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1,135</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1,125</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8020" w:type="dxa"/>
            <w:vAlign w:val="bottom"/>
          </w:tcPr>
          <w:p>
            <w:pPr>
              <w:ind w:left="180"/>
              <w:spacing w:after="0"/>
              <w:rPr>
                <w:sz w:val="20"/>
                <w:szCs w:val="20"/>
                <w:color w:val="auto"/>
              </w:rPr>
            </w:pPr>
            <w:r>
              <w:rPr>
                <w:rFonts w:ascii="Arial" w:cs="Arial" w:eastAsia="Arial" w:hAnsi="Arial"/>
                <w:sz w:val="16"/>
                <w:szCs w:val="16"/>
                <w:color w:val="auto"/>
              </w:rPr>
              <w:t>Merchant Transaction and Card Processing Fees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1,328</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937</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391</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1,255</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1,282</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8020" w:type="dxa"/>
            <w:vAlign w:val="bottom"/>
          </w:tcPr>
          <w:p>
            <w:pPr>
              <w:ind w:left="180"/>
              <w:spacing w:after="0"/>
              <w:rPr>
                <w:sz w:val="20"/>
                <w:szCs w:val="20"/>
                <w:color w:val="auto"/>
              </w:rPr>
            </w:pPr>
            <w:r>
              <w:rPr>
                <w:rFonts w:ascii="Arial" w:cs="Arial" w:eastAsia="Arial" w:hAnsi="Arial"/>
                <w:sz w:val="16"/>
                <w:szCs w:val="16"/>
                <w:color w:val="auto"/>
              </w:rPr>
              <w:t>Amortization of Solar Energy Partnership Investments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916</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848</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68</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10,157</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8,811</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1,346</w:t>
            </w:r>
          </w:p>
        </w:tc>
      </w:tr>
      <w:tr>
        <w:trPr>
          <w:trHeight w:val="231"/>
        </w:trPr>
        <w:tc>
          <w:tcPr>
            <w:tcW w:w="80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Expense</w:t>
            </w: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17,080</w:t>
            </w: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15,336</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1,744</w:t>
            </w:r>
          </w:p>
        </w:tc>
      </w:tr>
      <w:tr>
        <w:trPr>
          <w:trHeight w:val="33"/>
        </w:trPr>
        <w:tc>
          <w:tcPr>
            <w:tcW w:w="8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94,384</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88,568</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5,816</w:t>
            </w:r>
          </w:p>
        </w:tc>
      </w:tr>
      <w:tr>
        <w:trPr>
          <w:trHeight w:val="20"/>
        </w:trPr>
        <w:tc>
          <w:tcPr>
            <w:tcW w:w="8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Total salaries and benefits expense increased by $3.3 million or 6% in the first quarter of 2018 compared to the same period in 2017. Salaries increased by $3.3 million primarily due to merit and minimum wage increases. In addition, separation expense increased by $1.0 million. These increases were partially offset by a $0.9 million decrease in commission expense due to a decrease in loan origination and refinancing activity coupled with lower sales of annuity products. In addition, incentive compensation decreased by $0.6 million.</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occupancy increased by 0.4 million or 4% in the first quarter of 2018 compared to the same period in 2017. This increase was primarily due to ATM lease space rental costs of $0.3 million. These costs were recorded as a reduction of ATM fee income in 2017. This accounting change was related to the 2018 adoption of the new revenue recognition accounting guidance.</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Data processing increased by $0.5 million or 14% in the first quarter of 2018 compared to the same period in 2017 due to ongoing information technology projects.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other expense increased by $1.7 million or 11% in the first quarter of 2018 compared to the same period in 2017 primarily due to a $2.0 million increase in legal reserves.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7 presents our provision for income taxes and effective tax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2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 and Effective Tax Rates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7</w:t>
            </w:r>
          </w:p>
        </w:tc>
      </w:tr>
      <w:tr>
        <w:trPr>
          <w:trHeight w:val="33"/>
        </w:trPr>
        <w:tc>
          <w:tcPr>
            <w:tcW w:w="8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r>
      <w:tr>
        <w:trPr>
          <w:trHeight w:val="209"/>
        </w:trPr>
        <w:tc>
          <w:tcPr>
            <w:tcW w:w="8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w w:val="93"/>
              </w:rPr>
              <w:t>Three Months Ended</w:t>
            </w:r>
          </w:p>
        </w:tc>
      </w:tr>
      <w:tr>
        <w:trPr>
          <w:trHeight w:val="210"/>
        </w:trPr>
        <w:tc>
          <w:tcPr>
            <w:tcW w:w="8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center"/>
              <w:ind w:left="399"/>
              <w:spacing w:after="0"/>
              <w:rPr>
                <w:sz w:val="20"/>
                <w:szCs w:val="20"/>
                <w:color w:val="auto"/>
              </w:rPr>
            </w:pPr>
            <w:r>
              <w:rPr>
                <w:rFonts w:ascii="Arial" w:cs="Arial" w:eastAsia="Arial" w:hAnsi="Arial"/>
                <w:sz w:val="16"/>
                <w:szCs w:val="16"/>
                <w:b w:val="1"/>
                <w:bCs w:val="1"/>
                <w:color w:val="auto"/>
                <w:w w:val="97"/>
              </w:rPr>
              <w:t>March 31,</w:t>
            </w:r>
          </w:p>
        </w:tc>
        <w:tc>
          <w:tcPr>
            <w:tcW w:w="800" w:type="dxa"/>
            <w:vAlign w:val="bottom"/>
          </w:tcPr>
          <w:p>
            <w:pPr>
              <w:spacing w:after="0"/>
              <w:rPr>
                <w:sz w:val="18"/>
                <w:szCs w:val="18"/>
                <w:color w:val="auto"/>
              </w:rPr>
            </w:pPr>
          </w:p>
        </w:tc>
      </w:tr>
      <w:tr>
        <w:trPr>
          <w:trHeight w:val="33"/>
        </w:trPr>
        <w:tc>
          <w:tcPr>
            <w:tcW w:w="8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8"/>
        </w:trPr>
        <w:tc>
          <w:tcPr>
            <w:tcW w:w="8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10,442</w:t>
            </w:r>
          </w:p>
        </w:tc>
        <w:tc>
          <w:tcPr>
            <w:tcW w:w="5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21,644</w:t>
            </w:r>
          </w:p>
        </w:tc>
      </w:tr>
      <w:tr>
        <w:trPr>
          <w:trHeight w:val="237"/>
        </w:trPr>
        <w:tc>
          <w:tcPr>
            <w:tcW w:w="8820" w:type="dxa"/>
            <w:vAlign w:val="bottom"/>
          </w:tcPr>
          <w:p>
            <w:pPr>
              <w:ind w:left="40"/>
              <w:spacing w:after="0"/>
              <w:rPr>
                <w:sz w:val="20"/>
                <w:szCs w:val="20"/>
                <w:color w:val="auto"/>
              </w:rPr>
            </w:pPr>
            <w:r>
              <w:rPr>
                <w:rFonts w:ascii="Arial" w:cs="Arial" w:eastAsia="Arial" w:hAnsi="Arial"/>
                <w:sz w:val="16"/>
                <w:szCs w:val="16"/>
                <w:color w:val="auto"/>
              </w:rPr>
              <w:t>Effective Tax Rates</w:t>
            </w:r>
          </w:p>
        </w:tc>
        <w:tc>
          <w:tcPr>
            <w:tcW w:w="34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16.19%</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29.72%</w:t>
            </w:r>
          </w:p>
        </w:tc>
      </w:tr>
    </w:tbl>
    <w:p>
      <w:pPr>
        <w:spacing w:after="0" w:line="23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provision for income taxes was $10.4 million in the first quarter of 2018, a decrease of $11.2 million or 52% compared to the same period in 2017. The effective tax rate was 16.19% in the first quarter of 2018 compared to 29.72% in the same period in 2017. The lower effective rate in the first quarter of 2018 was primarily due to the federal corporate tax rate changing from 35% to 21% as a result of the Tax Cuts and Jobs Act. The tax rate was also favorably impacted by a $2.0 million basis adjustment to the company’s low income housing investments in the first quarter of 2018. This was partially offset by the tax benefits from the exercise of stock options and the vesting of restricted stock being $1.1 million lower in the first quarter of 2018 compared to 2017.</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30" w:right="2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carrying value of our investment securities portfolio was $6.0 billion as of March 31, 2018, a decrease of $187.9 million or 3% compared to December 31, 2017. As of March 31, 2018, our investment securities portfolio was comprised of securities with an average base duration of approximately 3.6 years.</w:t>
      </w:r>
    </w:p>
    <w:p>
      <w:pPr>
        <w:spacing w:after="0" w:line="18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During the first three months of 2018, we reduced our positions in mortgage-backed securities issued by Ginnie Mae and Fannie Mae. We re-invested these proceeds primarily into higher yielding loan products. In addition, we increased our holdings in Small Business Administration securities and U.S. Treasury notes. Ginnie Mae mortgage-backed securities continue to be our largest concentration in our portfolio. As of March 31, 2018, our portfolio of Ginnie Mae mortgage-backed securities was primarily comprised of securities issued in 2008 or later. As of March 31, 2018, these mortgage-backed securities were all AAA-rated, with a low probability of a change in their credit ratings in the near future. As of March 31, 2018, our available-for-sale investment securities portfolio was comprised of securities with an average base duration of approximately 2.5 years.</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Gross unrealized gains in our investment securities portfolio were $26.1 million as of March 31, 2018 and $36.6 million as of December 31, 2017. Gross unrealized losses on our temporarily impaired investment securities were $120.3 million as of March 31, 2018 and $73.9 million as of December 31, 2017. The higher unrealized losses were primarily caused by the higher interest rate environment. The gross unrealized loss positions were primarily related to mortgage-backed securities issued by Ginnie Mae, Fannie Mae and Freddie Mac, and corporate debt securities. See Note 3 to the Consolidated Financial Statements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2018, included in our investment securities portfolio were debt securities issued by political subdivisions within the State of Hawaii of</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$488.4 million, representing 57% of the total fair value of the Company’s municipal debt securities. Of the entire Hawaii municipal bond portfolio, 94% were credit-rated Aa2 or better by Moody’s while the remaining Hawaii municipal bonds were credit-rated A1 or better by at least one nationally recognized statistical rating organization. Approximately 79% of our Hawaii municipal bond holdings were general obligation issuances. As of March 31, 2018, there were no other holdings of municipal debt securities that were issued by a single state or political subdivision which comprised more than 10% of the total fair value of our municipal debt securities.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130" w:right="29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8 presents the composition of our loan and lease portfolio by major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Loan and Lease Portfolio Balances</w:t>
            </w:r>
          </w:p>
        </w:tc>
        <w:tc>
          <w:tcPr>
            <w:tcW w:w="3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8</w:t>
            </w:r>
          </w:p>
        </w:tc>
      </w:tr>
      <w:tr>
        <w:trPr>
          <w:trHeight w:val="33"/>
        </w:trPr>
        <w:tc>
          <w:tcPr>
            <w:tcW w:w="5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5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2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1,329,096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1,279,347</w:t>
            </w:r>
          </w:p>
        </w:tc>
      </w:tr>
      <w:tr>
        <w:trPr>
          <w:trHeight w:val="33"/>
        </w:trPr>
        <w:tc>
          <w:tcPr>
            <w:tcW w:w="5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2,097,339</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2,103,967</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186,530</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202,253</w:t>
            </w:r>
          </w:p>
        </w:tc>
      </w:tr>
      <w:tr>
        <w:trPr>
          <w:trHeight w:val="33"/>
        </w:trPr>
        <w:tc>
          <w:tcPr>
            <w:tcW w:w="5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179,771</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180,931</w:t>
            </w:r>
          </w:p>
        </w:tc>
      </w:tr>
      <w:tr>
        <w:trPr>
          <w:trHeight w:val="231"/>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3,792,736</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3,766,498</w:t>
            </w:r>
          </w:p>
        </w:tc>
      </w:tr>
      <w:tr>
        <w:trPr>
          <w:trHeight w:val="33"/>
        </w:trPr>
        <w:tc>
          <w:tcPr>
            <w:tcW w:w="5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3,505,239</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3,466,773</w:t>
            </w:r>
          </w:p>
        </w:tc>
      </w:tr>
      <w:tr>
        <w:trPr>
          <w:trHeight w:val="33"/>
        </w:trPr>
        <w:tc>
          <w:tcPr>
            <w:tcW w:w="5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1,601,698</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1,585,455</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558,468</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528,474</w:t>
            </w:r>
          </w:p>
        </w:tc>
      </w:tr>
      <w:tr>
        <w:trPr>
          <w:trHeight w:val="33"/>
        </w:trPr>
        <w:tc>
          <w:tcPr>
            <w:tcW w:w="5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458,487</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449,747</w:t>
            </w:r>
          </w:p>
        </w:tc>
      </w:tr>
      <w:tr>
        <w:trPr>
          <w:trHeight w:val="231"/>
        </w:trPr>
        <w:tc>
          <w:tcPr>
            <w:tcW w:w="528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6,123,892</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6,030,449</w:t>
            </w:r>
          </w:p>
        </w:tc>
      </w:tr>
      <w:tr>
        <w:trPr>
          <w:trHeight w:val="33"/>
        </w:trPr>
        <w:tc>
          <w:tcPr>
            <w:tcW w:w="5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2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9,916,628</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9,796,947</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loans and leases as of March 31, 2018 increased by $119.7 million or 1% from December 31, 2017 primarily due to growth in our consumer lending portfolio.</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Commercial loans and leases as of March 31, 2018 increased by $26.2 million or 1% from December 31, 2017. Commercial and industrial loans increased by $49.7 million or 4% from December 31, 2017. Commercial mortgage loans decreased by $6.6 million or less than 1% from December 31, 2017. Although we experienced continued strong loan production in this portfolio, there were repayments of commercial mortgage loans in excess of $60.0 million resulting from increased property sales in the first three months of 2018. Construction loans decreased by $15.7 million or 8% from December 31, 2017 primarily due to paydowns and successful completion of construction projects such as condominiums and low-income housing, partially offset by increased activity in our portfolio. Lease financing remained relatively unchanged from December 31, 2017.</w:t>
      </w:r>
    </w:p>
    <w:p>
      <w:pPr>
        <w:spacing w:after="0" w:line="17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Consumer loans and leases as of March 31, 2018 increased by $93.4 million or 2% from December 31, 2017. Residential mortgage loans increased by $38.5 million or 1% from December 31, 2017 primarily due to a relatively constant level of loan originations combined with a slowdown in payoff activity. Home equity lines and loans increased by $16.2 million or 1% from December 31, 2017 as a result of continued loan demand in light of a strong Hawaii economy and healthy real estate market conditions. Additionally, utilization on new and existing home equity lines remained steady during 2018. Automobile loans increased by $30.0 million or 6% from December 31, 2017 primarily driven by competitive pricing and focus on providing exceptional service. Other consumer loans increased by $8.7 million or 2% from December 31, 2017, primarily due to growth in our automobile leasing and installment loans.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466"/>
        </w:trPr>
        <w:tc>
          <w:tcPr>
            <w:tcW w:w="8520" w:type="dxa"/>
            <w:vAlign w:val="bottom"/>
            <w:gridSpan w:val="10"/>
          </w:tcPr>
          <w:p>
            <w:pPr>
              <w:spacing w:after="0"/>
              <w:rPr>
                <w:sz w:val="20"/>
                <w:szCs w:val="20"/>
                <w:color w:val="auto"/>
              </w:rPr>
            </w:pPr>
            <w:r>
              <w:rPr>
                <w:rFonts w:ascii="Arial" w:cs="Arial" w:eastAsia="Arial" w:hAnsi="Arial"/>
                <w:sz w:val="18"/>
                <w:szCs w:val="18"/>
                <w:color w:val="auto"/>
                <w:w w:val="97"/>
              </w:rPr>
              <w:t>Table 9 presents the composition of our loan and lease portfolio by geographic area and by major categories.</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13"/>
        </w:trPr>
        <w:tc>
          <w:tcPr>
            <w:tcW w:w="4140" w:type="dxa"/>
            <w:vAlign w:val="bottom"/>
            <w:gridSpan w:val="4"/>
          </w:tcPr>
          <w:p>
            <w:pPr>
              <w:ind w:left="40"/>
              <w:spacing w:after="0"/>
              <w:rPr>
                <w:sz w:val="20"/>
                <w:szCs w:val="20"/>
                <w:color w:val="auto"/>
              </w:rPr>
            </w:pPr>
            <w:r>
              <w:rPr>
                <w:rFonts w:ascii="Arial" w:cs="Arial" w:eastAsia="Arial" w:hAnsi="Arial"/>
                <w:sz w:val="18"/>
                <w:szCs w:val="18"/>
                <w:b w:val="1"/>
                <w:bCs w:val="1"/>
                <w:color w:val="auto"/>
                <w:w w:val="91"/>
              </w:rPr>
              <w:t>Geographic Distribution of Loan and Lease Portfolio</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9</w:t>
            </w:r>
          </w:p>
        </w:tc>
      </w:tr>
      <w:tr>
        <w:trPr>
          <w:trHeight w:val="27"/>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2"/>
        </w:trPr>
        <w:tc>
          <w:tcPr>
            <w:tcW w:w="2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(dollars in thousands)</w:t>
            </w: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Hawaii</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5"/>
              </w:rPr>
              <w:t xml:space="preserve">U.S. Mainland </w:t>
            </w:r>
            <w:r>
              <w:rPr>
                <w:rFonts w:ascii="Arial" w:cs="Arial" w:eastAsia="Arial" w:hAnsi="Arial"/>
                <w:sz w:val="17"/>
                <w:szCs w:val="17"/>
                <w:b w:val="1"/>
                <w:bCs w:val="1"/>
                <w:color w:val="auto"/>
                <w:w w:val="95"/>
                <w:vertAlign w:val="superscript"/>
              </w:rPr>
              <w:t>1</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Guam</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Pacific Islands</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Foreign </w:t>
            </w:r>
            <w:r>
              <w:rPr>
                <w:rFonts w:ascii="Arial" w:cs="Arial" w:eastAsia="Arial" w:hAnsi="Arial"/>
                <w:sz w:val="17"/>
                <w:szCs w:val="17"/>
                <w:b w:val="1"/>
                <w:bCs w:val="1"/>
                <w:color w:val="auto"/>
                <w:vertAlign w:val="superscript"/>
              </w:rPr>
              <w:t>2</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5"/>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2018</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1,169,605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94,372</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63,431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689</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999</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1,329,096</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Commercial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1,803,950</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56,861</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236,528</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2,097,339</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Construction</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186,530</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186,530</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Lease Financing</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54,178</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121,784</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986</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2,823</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179,771</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6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3,214,263</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273,017</w:t>
            </w: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300,945</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689</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3,822</w:t>
            </w: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3,792,736</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Consumer</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3,422,034</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81,495</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1,710</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3,505,239</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Home Equity</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1,563,360</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697</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35,387</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1,254</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1,601,698</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445,971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108,363</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4,134</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558,468</w:t>
            </w:r>
          </w:p>
        </w:tc>
      </w:tr>
      <w:tr>
        <w:trPr>
          <w:trHeight w:val="269"/>
        </w:trPr>
        <w:tc>
          <w:tcPr>
            <w:tcW w:w="240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3</w:t>
            </w:r>
          </w:p>
        </w:tc>
        <w:tc>
          <w:tcPr>
            <w:tcW w:w="6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380,412</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48,546</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29,529</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458,487</w:t>
            </w: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5,811,777</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697</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273,791</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36,627</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6,123,892</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6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9,026,040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273,714</w:t>
            </w:r>
          </w:p>
        </w:tc>
        <w:tc>
          <w:tcPr>
            <w:tcW w:w="5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574,736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37,316</w:t>
            </w:r>
          </w:p>
        </w:tc>
        <w:tc>
          <w:tcPr>
            <w:tcW w:w="4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4,822</w:t>
            </w:r>
          </w:p>
        </w:tc>
        <w:tc>
          <w:tcPr>
            <w:tcW w:w="4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9,916,628</w:t>
            </w:r>
          </w:p>
        </w:tc>
      </w:tr>
      <w:tr>
        <w:trPr>
          <w:trHeight w:val="73"/>
        </w:trPr>
        <w:tc>
          <w:tcPr>
            <w:tcW w:w="1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51"/>
        </w:trPr>
        <w:tc>
          <w:tcPr>
            <w:tcW w:w="1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2017</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Commercial and Industrial</w:t>
            </w:r>
          </w:p>
        </w:tc>
        <w:tc>
          <w:tcPr>
            <w:tcW w:w="6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1,119,348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99,099</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59,233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762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1,279,347</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1,837,831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57,331</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208,805</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2,103,967</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Construction</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189,401</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12,852</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202,253</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Lease Financing</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53,329</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123,619</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1,071</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2,912</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180,931</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Total Commercial</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3,199,909</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280,049</w:t>
            </w: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269,109</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13,614</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3,817</w:t>
            </w: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3,766,498</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Residential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3,382,961</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82,026</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1,786</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3,466,773</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1,547,619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867</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35,718</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1,251</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1,585,455</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Automobile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423,364</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101,680</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3,430</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528,474</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9"/>
        </w:trPr>
        <w:tc>
          <w:tcPr>
            <w:tcW w:w="240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3</w:t>
            </w:r>
          </w:p>
        </w:tc>
        <w:tc>
          <w:tcPr>
            <w:tcW w:w="6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373,941</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46,703</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29,103</w:t>
            </w: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449,747</w:t>
            </w:r>
          </w:p>
        </w:tc>
      </w:tr>
      <w:tr>
        <w:trPr>
          <w:trHeight w:val="232"/>
        </w:trPr>
        <w:tc>
          <w:tcPr>
            <w:tcW w:w="2400" w:type="dxa"/>
            <w:vAlign w:val="bottom"/>
            <w:gridSpan w:val="2"/>
          </w:tcPr>
          <w:p>
            <w:pPr>
              <w:ind w:left="40"/>
              <w:spacing w:after="0"/>
              <w:rPr>
                <w:sz w:val="20"/>
                <w:szCs w:val="20"/>
                <w:color w:val="auto"/>
              </w:rPr>
            </w:pPr>
            <w:r>
              <w:rPr>
                <w:rFonts w:ascii="Arial" w:cs="Arial" w:eastAsia="Arial" w:hAnsi="Arial"/>
                <w:sz w:val="16"/>
                <w:szCs w:val="16"/>
                <w:color w:val="auto"/>
              </w:rPr>
              <w:t>Total Consumer</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5,727,885</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867</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266,127</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35,570</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6,030,449</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8,927,794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280,916</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535,236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49,184</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3,817</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9,796,947</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8"/>
          <w:szCs w:val="8"/>
          <w:color w:val="auto"/>
        </w:rPr>
      </w:pPr>
      <w:r>
        <w:rPr>
          <w:rFonts w:ascii="Arial" w:cs="Arial" w:eastAsia="Arial" w:hAnsi="Arial"/>
          <w:sz w:val="13"/>
          <w:szCs w:val="13"/>
          <w:color w:val="auto"/>
        </w:rPr>
        <w:t>For secured loans and leases, classification as U.S. Mainland is made based on where the collateral is located. For unsecured loans and leases, classification as U.S. Mainland is made based on</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location where the majority of the borrower’s business operations are conducted.</w:t>
      </w:r>
    </w:p>
    <w:p>
      <w:pPr>
        <w:spacing w:after="0" w:line="1"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9"/>
          <w:szCs w:val="9"/>
          <w:color w:val="auto"/>
        </w:rPr>
      </w:pPr>
      <w:r>
        <w:rPr>
          <w:rFonts w:ascii="Arial" w:cs="Arial" w:eastAsia="Arial" w:hAnsi="Arial"/>
          <w:sz w:val="14"/>
          <w:szCs w:val="14"/>
          <w:color w:val="auto"/>
        </w:rPr>
        <w:t>Loans and leases classified as Foreign represent those which are recorded in the Company’s international business units.</w:t>
      </w:r>
    </w:p>
    <w:p>
      <w:pPr>
        <w:spacing w:after="0" w:line="1"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commercial and consumer lending activities are concentrated primarily in Hawaii and the Pacific Islands. Our commercial loan and lease portfolio to borrowers based on the U.S. Mainland includes leveraged lease financing and participation in Shared National Credits. Our consumer loan and lease portfolio includes limited lending activities on the U.S. Mainland.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Hawaii loan and lease portfolio increased by $98.2 million or 1% from December 31, 2017, reflective of a healthy Hawaii economy.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10 presents the major components of other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2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10</w:t>
            </w:r>
          </w:p>
        </w:tc>
      </w:tr>
      <w:tr>
        <w:trPr>
          <w:trHeight w:val="33"/>
        </w:trPr>
        <w:tc>
          <w:tcPr>
            <w:tcW w:w="60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and Federal Reserve Bank Stock</w:t>
            </w:r>
          </w:p>
        </w:tc>
        <w:tc>
          <w:tcPr>
            <w:tcW w:w="2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39,745</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40,645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Derivative Financial Instruments</w:t>
            </w:r>
          </w:p>
        </w:tc>
        <w:tc>
          <w:tcPr>
            <w:tcW w:w="2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14,164</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10,518</w:t>
            </w:r>
          </w:p>
        </w:tc>
      </w:tr>
      <w:tr>
        <w:trPr>
          <w:trHeight w:val="33"/>
        </w:trPr>
        <w:tc>
          <w:tcPr>
            <w:tcW w:w="6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Low-Income Housing and Other Equity Investments</w:t>
            </w:r>
          </w:p>
        </w:tc>
        <w:tc>
          <w:tcPr>
            <w:tcW w:w="2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86,277</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87,632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Deferred Compensation Plan Assets</w:t>
            </w:r>
          </w:p>
        </w:tc>
        <w:tc>
          <w:tcPr>
            <w:tcW w:w="2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31,106</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29,230</w:t>
            </w:r>
          </w:p>
        </w:tc>
      </w:tr>
      <w:tr>
        <w:trPr>
          <w:trHeight w:val="33"/>
        </w:trPr>
        <w:tc>
          <w:tcPr>
            <w:tcW w:w="6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2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9,991</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18,440</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43,195</w:t>
            </w:r>
          </w:p>
        </w:tc>
      </w:tr>
      <w:tr>
        <w:trPr>
          <w:trHeight w:val="33"/>
        </w:trPr>
        <w:tc>
          <w:tcPr>
            <w:tcW w:w="6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5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36,107</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33,432</w:t>
            </w:r>
          </w:p>
        </w:tc>
      </w:tr>
      <w:tr>
        <w:trPr>
          <w:trHeight w:val="231"/>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Other Assets</w:t>
            </w:r>
          </w:p>
        </w:tc>
        <w:tc>
          <w:tcPr>
            <w:tcW w:w="25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235,830</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252,596</w:t>
            </w:r>
          </w:p>
        </w:tc>
      </w:tr>
      <w:tr>
        <w:trPr>
          <w:trHeight w:val="33"/>
        </w:trPr>
        <w:tc>
          <w:tcPr>
            <w:tcW w:w="60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Other assets decreased by $16.8 million or 7% from December 31, 2017. The decrease was primarily due to a $20.0 million decrease in receivables primarily related to the settlement of a matured security in the first quarter of 2018. This decrease was partially offset by a $3.6 million increase in derivative financial instruments primarily due to the fair value of our interest rate swap agreements increasing due to rising interest rates. This is due to our risk mitigating strategies in structuring these agreements and are offset with similar increases recorded in other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11 presents the composition of our deposits by major customer categories.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ind w:left="40"/>
              <w:spacing w:after="0"/>
              <w:rPr>
                <w:sz w:val="20"/>
                <w:szCs w:val="20"/>
                <w:color w:val="auto"/>
              </w:rPr>
            </w:pPr>
            <w:r>
              <w:rPr>
                <w:rFonts w:ascii="Arial" w:cs="Arial" w:eastAsia="Arial" w:hAnsi="Arial"/>
                <w:sz w:val="16"/>
                <w:szCs w:val="16"/>
                <w:b w:val="1"/>
                <w:bCs w:val="1"/>
                <w:color w:val="auto"/>
              </w:rPr>
              <w:t>Deposits</w:t>
            </w: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11</w:t>
            </w:r>
          </w:p>
        </w:tc>
      </w:tr>
      <w:tr>
        <w:trPr>
          <w:trHeight w:val="33"/>
        </w:trPr>
        <w:tc>
          <w:tcPr>
            <w:tcW w:w="47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8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7,665,926</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7,478,228</w:t>
            </w:r>
          </w:p>
        </w:tc>
      </w:tr>
      <w:tr>
        <w:trPr>
          <w:trHeight w:val="237"/>
        </w:trPr>
        <w:tc>
          <w:tcPr>
            <w:tcW w:w="47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8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5,897,194</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5,973,763</w:t>
            </w:r>
          </w:p>
        </w:tc>
      </w:tr>
      <w:tr>
        <w:trPr>
          <w:trHeight w:val="33"/>
        </w:trPr>
        <w:tc>
          <w:tcPr>
            <w:tcW w:w="47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Public and Other</w:t>
            </w:r>
          </w:p>
        </w:tc>
        <w:tc>
          <w:tcPr>
            <w:tcW w:w="38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1,394,013</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1,431,977</w:t>
            </w:r>
          </w:p>
        </w:tc>
      </w:tr>
      <w:tr>
        <w:trPr>
          <w:trHeight w:val="231"/>
        </w:trPr>
        <w:tc>
          <w:tcPr>
            <w:tcW w:w="4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Deposits</w:t>
            </w:r>
          </w:p>
        </w:tc>
        <w:tc>
          <w:tcPr>
            <w:tcW w:w="38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14,957,133</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14,883,968</w:t>
            </w:r>
          </w:p>
        </w:tc>
      </w:tr>
      <w:tr>
        <w:trPr>
          <w:trHeight w:val="33"/>
        </w:trPr>
        <w:tc>
          <w:tcPr>
            <w:tcW w:w="47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Total deposits were $15.0 billion as of March 31, 2018, an increase of $73.2 million or less than 1% from December 31, 2017. Consumer deposits increased by $187.7 million due to an increase in core and time deposits of $100.2 million and $87.5 million respectively. This increase was partially offset by a $76.6 million decrease in commercial deposits primarily due to a decrease in money market savings deposits. In addition, public and other deposits decreased by $38.0 million primarily resulting from a decline in public demand deposits during the first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Table 12 presents the composition of our savings deposits.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Savings Deposits</w:t>
            </w:r>
          </w:p>
        </w:tc>
        <w:tc>
          <w:tcPr>
            <w:tcW w:w="3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12</w:t>
            </w:r>
          </w:p>
        </w:tc>
      </w:tr>
      <w:tr>
        <w:trPr>
          <w:trHeight w:val="33"/>
        </w:trPr>
        <w:tc>
          <w:tcPr>
            <w:tcW w:w="49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Market</w:t>
            </w:r>
          </w:p>
        </w:tc>
        <w:tc>
          <w:tcPr>
            <w:tcW w:w="36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1,771,626</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1,827,090</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Regular Savings</w:t>
            </w:r>
          </w:p>
        </w:tc>
        <w:tc>
          <w:tcPr>
            <w:tcW w:w="368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3,625,665</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3,561,923</w:t>
            </w:r>
          </w:p>
        </w:tc>
      </w:tr>
      <w:tr>
        <w:trPr>
          <w:trHeight w:val="33"/>
        </w:trPr>
        <w:tc>
          <w:tcPr>
            <w:tcW w:w="49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Savings Deposits</w:t>
            </w:r>
          </w:p>
        </w:tc>
        <w:tc>
          <w:tcPr>
            <w:tcW w:w="36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5,397,291</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5,389,013</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13 presents the composition of our securities sold under agreements to repurchase.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ind w:left="40"/>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2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13</w:t>
            </w:r>
          </w:p>
        </w:tc>
      </w:tr>
      <w:tr>
        <w:trPr>
          <w:trHeight w:val="33"/>
        </w:trPr>
        <w:tc>
          <w:tcPr>
            <w:tcW w:w="6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Institutions</w:t>
            </w:r>
          </w:p>
        </w:tc>
        <w:tc>
          <w:tcPr>
            <w:tcW w:w="25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500,000</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Government Entities</w:t>
            </w:r>
          </w:p>
        </w:tc>
        <w:tc>
          <w:tcPr>
            <w:tcW w:w="25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5,293</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5,293</w:t>
            </w:r>
          </w:p>
        </w:tc>
      </w:tr>
      <w:tr>
        <w:trPr>
          <w:trHeight w:val="33"/>
        </w:trPr>
        <w:tc>
          <w:tcPr>
            <w:tcW w:w="6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Securities Sold Under Agreements to Repurchase</w:t>
            </w:r>
          </w:p>
        </w:tc>
        <w:tc>
          <w:tcPr>
            <w:tcW w:w="25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505,293</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505,293</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Securities sold under agreements to repurchase was $505.3 million as of March 31, 2018 and December 31, 2017. As of March 31, 2018, the weighted-average maturity was 184 days for our repurchase agreements with government entities and 3.4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2.4 years. As of March 31, 2018, the weighted-average interest rate for outstanding agreements with government entities and private institutions was 0.73% and 3.64%, respectively, with all rates being fixed. Each of our repurchase agreements is accounted for as a collateralized financing arrangement (i.e., a secured borrowing) and not as a sale and subsequent repurchase of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14 presents the composition of our other debt.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Other Debt</w:t>
            </w:r>
          </w:p>
        </w:tc>
        <w:tc>
          <w:tcPr>
            <w:tcW w:w="3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14</w:t>
            </w:r>
          </w:p>
        </w:tc>
      </w:tr>
      <w:tr>
        <w:trPr>
          <w:trHeight w:val="33"/>
        </w:trPr>
        <w:tc>
          <w:tcPr>
            <w:tcW w:w="53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3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Advances</w:t>
            </w:r>
          </w:p>
        </w:tc>
        <w:tc>
          <w:tcPr>
            <w:tcW w:w="33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225,000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33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10,699</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10,716</w:t>
            </w:r>
          </w:p>
        </w:tc>
      </w:tr>
      <w:tr>
        <w:trPr>
          <w:trHeight w:val="33"/>
        </w:trPr>
        <w:tc>
          <w:tcPr>
            <w:tcW w:w="53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3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235,699</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260,716</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Other debt was $235.7 million as of March 31, 2018, a decrease of $25.0 million or 10% from December 31, 2017. This decrease was primarily due to a</w:t>
      </w:r>
    </w:p>
    <w:p>
      <w:pPr>
        <w:spacing w:after="0" w:line="3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$25.0 million FHLB advance which matured during the first quarter of 2018. As of March 31, 2018, our FHLB advances had a weighted-average interest rate of 1.28% with maturity dates ranging from 2018 to 2020. These advances were primarily for asset/liability management purposes. As of March 31, 2018, our remaining unused line of credit with the FHLB was $2.1 billion.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business segments are defined as Retail Banking, Commercial Banking, Investment Services and Private Banking, and Treasury and Other.</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Table 15 summarizes net income from our business segments. Additional information about segment performance is presented in Note 10 to the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Business Segment Net Income</w:t>
            </w: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15</w:t>
            </w:r>
          </w:p>
        </w:tc>
      </w:tr>
      <w:tr>
        <w:trPr>
          <w:trHeight w:val="33"/>
        </w:trPr>
        <w:tc>
          <w:tcPr>
            <w:tcW w:w="7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tcPr>
          <w:p>
            <w:pPr>
              <w:spacing w:after="0"/>
              <w:rPr>
                <w:sz w:val="18"/>
                <w:szCs w:val="18"/>
                <w:color w:val="auto"/>
              </w:rPr>
            </w:pPr>
          </w:p>
        </w:tc>
      </w:tr>
      <w:tr>
        <w:trPr>
          <w:trHeight w:val="210"/>
        </w:trPr>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0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March 31,</w:t>
            </w:r>
          </w:p>
        </w:tc>
        <w:tc>
          <w:tcPr>
            <w:tcW w:w="8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9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Banking</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19,017</w:t>
            </w:r>
          </w:p>
        </w:tc>
        <w:tc>
          <w:tcPr>
            <w:tcW w:w="9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19,349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Commercial Banking</w:t>
            </w:r>
          </w:p>
        </w:tc>
        <w:tc>
          <w:tcPr>
            <w:tcW w:w="560" w:type="dxa"/>
            <w:vAlign w:val="bottom"/>
          </w:tcPr>
          <w:p>
            <w:pPr>
              <w:spacing w:after="0"/>
              <w:rPr>
                <w:sz w:val="20"/>
                <w:szCs w:val="20"/>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21,535</w:t>
            </w:r>
          </w:p>
        </w:tc>
        <w:tc>
          <w:tcPr>
            <w:tcW w:w="9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18,946</w:t>
            </w:r>
          </w:p>
        </w:tc>
      </w:tr>
      <w:tr>
        <w:trPr>
          <w:trHeight w:val="33"/>
        </w:trPr>
        <w:tc>
          <w:tcPr>
            <w:tcW w:w="7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Services and Private Banking</w:t>
            </w:r>
          </w:p>
        </w:tc>
        <w:tc>
          <w:tcPr>
            <w:tcW w:w="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5,456</w:t>
            </w:r>
          </w:p>
        </w:tc>
        <w:tc>
          <w:tcPr>
            <w:tcW w:w="9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w:t>
            </w:r>
          </w:p>
        </w:tc>
      </w:tr>
      <w:tr>
        <w:trPr>
          <w:trHeight w:val="217"/>
        </w:trPr>
        <w:tc>
          <w:tcPr>
            <w:tcW w:w="79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5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46,008</w:t>
            </w:r>
          </w:p>
        </w:tc>
        <w:tc>
          <w:tcPr>
            <w:tcW w:w="9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41,907</w:t>
            </w:r>
          </w:p>
        </w:tc>
      </w:tr>
      <w:tr>
        <w:trPr>
          <w:trHeight w:val="33"/>
        </w:trPr>
        <w:tc>
          <w:tcPr>
            <w:tcW w:w="7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and Other</w:t>
            </w:r>
          </w:p>
        </w:tc>
        <w:tc>
          <w:tcPr>
            <w:tcW w:w="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8,032</w:t>
            </w:r>
          </w:p>
        </w:tc>
        <w:tc>
          <w:tcPr>
            <w:tcW w:w="9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9,269</w:t>
            </w:r>
          </w:p>
        </w:tc>
      </w:tr>
      <w:tr>
        <w:trPr>
          <w:trHeight w:val="217"/>
        </w:trPr>
        <w:tc>
          <w:tcPr>
            <w:tcW w:w="79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Consolidated Total</w:t>
            </w: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54,040</w:t>
            </w:r>
          </w:p>
        </w:tc>
        <w:tc>
          <w:tcPr>
            <w:tcW w:w="92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51,176</w:t>
            </w:r>
          </w:p>
        </w:tc>
      </w:tr>
      <w:tr>
        <w:trPr>
          <w:trHeight w:val="33"/>
        </w:trPr>
        <w:tc>
          <w:tcPr>
            <w:tcW w:w="7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Net income decreased by $0.3 million or 2% in the first quarter of 2018 compared to the same period in 2017 primarily due to an increase in noninterest expense, a decrease in noninterest income and a decrease in net interest income. This was partially offset by a decrease in the effective income tax rate used to allocate the provision for income taxes. Noninterest expense increased primarily due to a $2.0 million increase in legal reserves recorded in the first quarter of 2018 and higher allocated technology expense. Noninterest income decreased primarily due to reduced sales of conforming saleable loans from our mortgage portfolio and lower margins on those sales. In addition, overdraft fees decreased in the first quarter of 2018 compared to the same period in 2017. The decrease in net interest income is primarily due to lower average balances in the segment’s deposit portfolio, partially due to the transfer of deposits and loans to the Investment Services and Private Banking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Net income increased by $2.6 million or 14% in the first quarter of 2018 compared to the same period in 2017 primarily due to increases in net interest income and noninterest income, and to a decrease in the provision for income taxes. These were partially offset by an increase in noninterest expense. The increase in net interest income was primarily due to higher earnings credits on the segment’s deposit portfolio. This increase was partially offset by lower account analysis fees as a result of higher earnings credit rates on customer accounts. The increase in noninterest expense was primarily due to higher salaries, operating and allocated expenses. The decrease in the provision for income taxes was due to the lower effective tax rate allocated to the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 and Private Banking</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Net income increased by $1.8 million or 51% in the first quarter of 2018 compared to the same period in 2017 primarily due to an increase in net interest income partially offset by lower non-interest income and increases in noninterest expense. The increase in net interest income was primarily driven by the transfer of deposits and loans from the Retail Banking segment and growth of the segment’s deposit portfolio. The decrease in non-interest revenue was driven by a drop in annuity sales. The increase in noninterest expense was primarily due to higher salaries and benefits expense and higher allocated expenses.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Net income decreased by $1.2 million or 13% in the first quarter of 2018 as compared to the first quarter of 2017 primarily due to a decrease in noninterest income and an increase in the provision for income taxes partially offset by an increase in net interest income. The decrease in noninterest income was primarily due to gains on the sale of 90,000 Visa Class B shares in the first quarter of 2017. Partially offsetting this was a $2.8 million distribution received from a low-income housing investment sale in the first quarter of 2018. The increase in net interest income was primarily due to an increase in funding income related to lending activities and interest income from investment securities resulting from an increase in associated yields. This was partially offset by higher deposit funding costs. The provision for income taxes in this business segment represents the residual amount to arrive at the total tax expense for the Company. The overall effective tax rate decreased to 16.19% in 2018 compared to 29.72% in 2017.</w:t>
      </w:r>
    </w:p>
    <w:p>
      <w:pPr>
        <w:spacing w:after="0" w:line="17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Risk Profile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As of March 31, 2018, our overall credit risk profile reflects a healthy Hawaii economy as our levels of non-performing assets and credit losses remain well controlled. The underlying risk profile of our lending portfolio continued to remain strong during the first three months of 2018.</w:t>
      </w:r>
    </w:p>
    <w:p>
      <w:pPr>
        <w:spacing w:after="0" w:line="14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actively manage exposures with deteriorating asset quality to reduce levels of potential loss exposure and closely monitor our reserves and capital to address both anticipated and unforeseen issues. Risk management activities include detailed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130" w:right="29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 and Accruing Loans and Leases Past Due 90 Days or More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16 presents information on non-performing assets (“NPAs”) and accruing loans and leases past due 90 days or more.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Non-Performing Assets and Accruing Loans and Leases Past Due 90 Days or More</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16</w:t>
            </w:r>
          </w:p>
        </w:tc>
      </w:tr>
      <w:tr>
        <w:trPr>
          <w:trHeight w:val="27"/>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2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26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Non-Performing Assets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Non-Accrual Loans and Leases</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tcPr>
          <w:p>
            <w:pPr>
              <w:ind w:left="820"/>
              <w:spacing w:after="0"/>
              <w:rPr>
                <w:sz w:val="20"/>
                <w:szCs w:val="20"/>
                <w:color w:val="auto"/>
              </w:rPr>
            </w:pPr>
            <w:r>
              <w:rPr>
                <w:rFonts w:ascii="Arial" w:cs="Arial" w:eastAsia="Arial" w:hAnsi="Arial"/>
                <w:sz w:val="16"/>
                <w:szCs w:val="16"/>
                <w:color w:val="auto"/>
              </w:rPr>
              <w:t>Commercial and Industrial</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986</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448</w:t>
            </w:r>
          </w:p>
        </w:tc>
      </w:tr>
      <w:tr>
        <w:trPr>
          <w:trHeight w:val="33"/>
        </w:trPr>
        <w:tc>
          <w:tcPr>
            <w:tcW w:w="7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Commercial Mortgage</w:t>
            </w:r>
          </w:p>
        </w:tc>
        <w:tc>
          <w:tcPr>
            <w:tcW w:w="1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1,367</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1,398</w:t>
            </w:r>
          </w:p>
        </w:tc>
      </w:tr>
      <w:tr>
        <w:trPr>
          <w:trHeight w:val="217"/>
        </w:trPr>
        <w:tc>
          <w:tcPr>
            <w:tcW w:w="72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Commercial</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2,353</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1,846</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820"/>
              <w:spacing w:after="0"/>
              <w:rPr>
                <w:sz w:val="20"/>
                <w:szCs w:val="20"/>
                <w:color w:val="auto"/>
              </w:rPr>
            </w:pPr>
            <w:r>
              <w:rPr>
                <w:rFonts w:ascii="Arial" w:cs="Arial" w:eastAsia="Arial" w:hAnsi="Arial"/>
                <w:sz w:val="16"/>
                <w:szCs w:val="16"/>
                <w:color w:val="auto"/>
              </w:rPr>
              <w:t>Residential Mortgage</w:t>
            </w:r>
          </w:p>
        </w:tc>
        <w:tc>
          <w:tcPr>
            <w:tcW w:w="1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6,725</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9,243</w:t>
            </w: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Home Equity</w:t>
            </w:r>
          </w:p>
        </w:tc>
        <w:tc>
          <w:tcPr>
            <w:tcW w:w="1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3,890</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3,991</w:t>
            </w:r>
          </w:p>
        </w:tc>
      </w:tr>
      <w:tr>
        <w:trPr>
          <w:trHeight w:val="217"/>
        </w:trPr>
        <w:tc>
          <w:tcPr>
            <w:tcW w:w="72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Consumer</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10,615</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13,234</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Non-Accrual Loans and Leases</w:t>
            </w:r>
          </w:p>
        </w:tc>
        <w:tc>
          <w:tcPr>
            <w:tcW w:w="1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12,968</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15,080</w:t>
            </w: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Foreclosed Real Estate</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2,768</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1,040</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Non-Performing Assets</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15,736</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16,120</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7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Accruing Loans and Leases Past Due 90 Days or More</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Consumer</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2,927</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2,703</w:t>
            </w: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Home Equity</w:t>
            </w:r>
          </w:p>
        </w:tc>
        <w:tc>
          <w:tcPr>
            <w:tcW w:w="1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3,013</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1,624</w:t>
            </w: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333</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886</w:t>
            </w:r>
          </w:p>
        </w:tc>
      </w:tr>
      <w:tr>
        <w:trPr>
          <w:trHeight w:val="264"/>
        </w:trPr>
        <w:tc>
          <w:tcPr>
            <w:tcW w:w="72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1,895</w:t>
            </w: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1,934</w:t>
            </w:r>
          </w:p>
        </w:tc>
      </w:tr>
      <w:tr>
        <w:trPr>
          <w:trHeight w:val="275"/>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1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8,168</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7,147</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Accruing Loans and Leases Past Due 90 Days or More</w:t>
            </w:r>
          </w:p>
        </w:tc>
        <w:tc>
          <w:tcPr>
            <w:tcW w:w="12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8,168</w:t>
            </w: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7,147</w:t>
            </w:r>
          </w:p>
        </w:tc>
      </w:tr>
      <w:tr>
        <w:trPr>
          <w:trHeight w:val="73"/>
        </w:trPr>
        <w:tc>
          <w:tcPr>
            <w:tcW w:w="72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Restructured Loans on Accrual Status and Not Past Due 90 Days or More</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56,743</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55,672</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9,916,628</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9,796,947</w:t>
            </w:r>
          </w:p>
        </w:tc>
      </w:tr>
      <w:tr>
        <w:trPr>
          <w:trHeight w:val="73"/>
        </w:trPr>
        <w:tc>
          <w:tcPr>
            <w:tcW w:w="72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Non-Accrual Loans and Leases to Total Loans and Leases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Non-Performing Assets to Total Loans and Leases and Foreclosed Real Estate</w:t>
            </w:r>
          </w:p>
        </w:tc>
        <w:tc>
          <w:tcPr>
            <w:tcW w:w="1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0.16%</w:t>
            </w: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Commercial Non-Performing Assets to Total Commercial Loans and Leases</w:t>
            </w: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4"/>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and Commercial Foreclosed Real Estate</w:t>
            </w:r>
          </w:p>
        </w:tc>
        <w:tc>
          <w:tcPr>
            <w:tcW w:w="1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13"/>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Consumer Non-Performing Assets to Total Consumer Loans and Leases</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06"/>
        </w:trPr>
        <w:tc>
          <w:tcPr>
            <w:tcW w:w="7280" w:type="dxa"/>
            <w:vAlign w:val="bottom"/>
          </w:tcPr>
          <w:p>
            <w:pPr>
              <w:ind w:left="160"/>
              <w:spacing w:after="0"/>
              <w:rPr>
                <w:sz w:val="20"/>
                <w:szCs w:val="20"/>
                <w:color w:val="auto"/>
              </w:rPr>
            </w:pPr>
            <w:r>
              <w:rPr>
                <w:rFonts w:ascii="Arial" w:cs="Arial" w:eastAsia="Arial" w:hAnsi="Arial"/>
                <w:sz w:val="16"/>
                <w:szCs w:val="16"/>
                <w:color w:val="auto"/>
              </w:rPr>
              <w:t>and Consumer Foreclosed Real Estate</w:t>
            </w:r>
          </w:p>
        </w:tc>
        <w:tc>
          <w:tcPr>
            <w:tcW w:w="1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0.22%</w:t>
            </w:r>
          </w:p>
        </w:tc>
        <w:tc>
          <w:tcPr>
            <w:tcW w:w="4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0.24%</w:t>
            </w: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Non-Performing Assets and Accruing Loans and Leases Past Due 90 Days</w:t>
            </w: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4"/>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or More to Total Loans and Leases and Foreclosed Real Estate</w:t>
            </w:r>
          </w:p>
        </w:tc>
        <w:tc>
          <w:tcPr>
            <w:tcW w:w="1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Changes in Non-Performing Assets</w:t>
            </w:r>
          </w:p>
        </w:tc>
        <w:tc>
          <w:tcPr>
            <w:tcW w:w="1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3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16,120</w:t>
            </w: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Additions</w:t>
            </w:r>
          </w:p>
        </w:tc>
        <w:tc>
          <w:tcPr>
            <w:tcW w:w="1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2,332</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Payments</w:t>
            </w:r>
          </w:p>
        </w:tc>
        <w:tc>
          <w:tcPr>
            <w:tcW w:w="12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(1,251)</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to Accrual Status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(1,270)</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Charge-offs/Write-downs</w:t>
            </w:r>
          </w:p>
        </w:tc>
        <w:tc>
          <w:tcPr>
            <w:tcW w:w="12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Reductions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(2,716)</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March 31, 2018</w:t>
            </w:r>
          </w:p>
        </w:tc>
        <w:tc>
          <w:tcPr>
            <w:tcW w:w="12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15,736</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
        </w:trPr>
        <w:tc>
          <w:tcPr>
            <w:tcW w:w="7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tabs>
          <w:tab w:leader="none" w:pos="16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14"/>
          <w:szCs w:val="14"/>
          <w:color w:val="auto"/>
        </w:rPr>
        <w:t>Comprised of other revolving credit, installment, and lease financing.</w:t>
      </w:r>
    </w:p>
    <w:p>
      <w:pPr>
        <w:sectPr>
          <w:pgSz w:w="11900" w:h="16838" w:orient="portrait"/>
          <w:cols w:equalWidth="0" w:num="1">
            <w:col w:w="11420"/>
          </w:cols>
          <w:pgMar w:left="240" w:top="130"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30" w:right="23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NPAs consist of non-accrual loans and leases, and foreclosed real estate. Changes in the level of non-accrual loans and leases typically represent increases for loans and leases that reach a specified past due status, offset by reductions for loans and leases that are charged-off, paid down, sold, transferred to foreclosed real estate, or are no longer classified as non-accrual because they have returned to accrual status.</w:t>
      </w:r>
    </w:p>
    <w:p>
      <w:pPr>
        <w:spacing w:after="0" w:line="18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Total NPAs were $15.7 million as of March 31, 2018, a decrease of $0.4 million or 2% from December 31, 2017. The decrease was experienced in our consumer lending portfolio. The ratio of our NPAs to total loans and leases and foreclosed real estate was 0.16% as of March 31, 2018, unchanged from December 31, 2017.</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Commercial and industrial non-accrual loans increased by $0.5 million or 120% from December 31, 2017 primarily due to the addition of one borrower. We have evaluated this borrower for impairment and recorded no partial charge-offs in the first quarter of 2018.</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Commercial mortgage non-accrual loans were $1.4 million as of March 31, 2018, relatively unchanged from December 31, 2017. We have evaluated the commercial mortgage non-accrual loans for impairment and recorded no charge-offs.</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largest component of our NPAs continues to be residential mortgage loans. Residential mortgage non-accrual loans decreased by $2.5 million or 27% from December 31, 2017 primarily due to transfers to foreclosed real estate and from loans returning to accrual status. Residential mortgage non-accrual loans remain at elevated levels due mainly to the lengthy judicial foreclosure process as well as residential mortgage loan modifications the Bank entered into to assist borrowers wishing to remain in their residences despite having financial challenges. As of March 31, 2018, our residential mortgage non-accrual loans were comprised of 23 loans with a weighted average current LTV ratio of 57%.</w:t>
      </w:r>
    </w:p>
    <w:p>
      <w:pPr>
        <w:spacing w:after="0" w:line="1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increased by $1.7 million or 166% from December 31, 2017 due to the addition of four residential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 Past Due 90 Days or More and Still Accruing Interest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Loans and leases in this category are 90 days or more past due, as to principal or interest, and are still accruing interest because they are well secured and in the process of collection. Loans and leases past due 90 days or more and still accruing interest were $8.2 million as of March 31, 2018, a $1.0 million or 14% increase from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Impaired loans are defined as loans for which we believe it is probable we will not collect all amounts due according to the contractual terms of the loan agreement. Included in impaired loans are all classes of commercial non-accruing loans (except lease financing and small business loans), all loans modified in a TDR (including accruing TDRs), and other loans where we believe that we will be unable to collect all amounts due according to the contractual terms of the loan agreement. Impaired loans exclude lease financing and smaller balance homogeneous loans (consumer and small business non-accruing loans) that are collectively evaluated for impairment. Impaired loans were $61.8 million as of March 31, 2018 and $61.2 million as of December 31, 2017, and had a related Allowance of $3.8 million and $3.9 million as of March 31, 2018 and December 31, 2017, respectively. As of March 31, 2018, we have recorded cumulative charge-offs of $15.9 million related to our total impaired loans. Our impaired loans are considered in management’s assessment of the overall adequacy of the Allowance.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30" w:right="25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Table 17 presents information on loans with terms that have been modified in a TDR.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ind w:left="40"/>
              <w:spacing w:after="0"/>
              <w:rPr>
                <w:sz w:val="20"/>
                <w:szCs w:val="20"/>
                <w:color w:val="auto"/>
              </w:rPr>
            </w:pPr>
            <w:r>
              <w:rPr>
                <w:rFonts w:ascii="Arial" w:cs="Arial" w:eastAsia="Arial" w:hAnsi="Arial"/>
                <w:sz w:val="16"/>
                <w:szCs w:val="16"/>
                <w:b w:val="1"/>
                <w:bCs w:val="1"/>
                <w:color w:val="auto"/>
              </w:rPr>
              <w:t>Loans Modified in a Troubled Debt Restructuring</w:t>
            </w:r>
          </w:p>
        </w:tc>
        <w:tc>
          <w:tcPr>
            <w:tcW w:w="2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17</w:t>
            </w:r>
          </w:p>
        </w:tc>
      </w:tr>
      <w:tr>
        <w:trPr>
          <w:trHeight w:val="33"/>
        </w:trPr>
        <w:tc>
          <w:tcPr>
            <w:tcW w:w="58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27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8,994</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8,486</w:t>
            </w:r>
          </w:p>
        </w:tc>
      </w:tr>
      <w:tr>
        <w:trPr>
          <w:trHeight w:val="33"/>
        </w:trPr>
        <w:tc>
          <w:tcPr>
            <w:tcW w:w="58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2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9,074</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9,205</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27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1,399</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1,416</w:t>
            </w:r>
          </w:p>
        </w:tc>
      </w:tr>
      <w:tr>
        <w:trPr>
          <w:trHeight w:val="33"/>
        </w:trPr>
        <w:tc>
          <w:tcPr>
            <w:tcW w:w="58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27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19,467</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19,107</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27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2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20,399</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21,581</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27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1,953</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1,965</w:t>
            </w:r>
          </w:p>
        </w:tc>
      </w:tr>
      <w:tr>
        <w:trPr>
          <w:trHeight w:val="33"/>
        </w:trPr>
        <w:tc>
          <w:tcPr>
            <w:tcW w:w="58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2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15,627</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14,811</w:t>
            </w:r>
          </w:p>
        </w:tc>
      </w:tr>
      <w:tr>
        <w:trPr>
          <w:trHeight w:val="270"/>
        </w:trPr>
        <w:tc>
          <w:tcPr>
            <w:tcW w:w="58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7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2,748</w:t>
            </w: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2,645</w:t>
            </w: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27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40,727</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41,002</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7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60,194</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60,109</w:t>
            </w:r>
          </w:p>
        </w:tc>
      </w:tr>
      <w:tr>
        <w:trPr>
          <w:trHeight w:val="33"/>
        </w:trPr>
        <w:tc>
          <w:tcPr>
            <w:tcW w:w="58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Loans modified in a TDR remained relatively unchanged from December 31, 2017. Residential mortgage loans remain our largest TDR loan class.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18"/>
                <w:szCs w:val="18"/>
                <w:i w:val="1"/>
                <w:iCs w:val="1"/>
                <w:color w:val="auto"/>
              </w:rPr>
              <w:t>Reserve for Credit Losses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460" w:type="dxa"/>
            <w:vAlign w:val="bottom"/>
          </w:tcPr>
          <w:p>
            <w:pPr>
              <w:spacing w:after="0"/>
              <w:rPr>
                <w:sz w:val="20"/>
                <w:szCs w:val="20"/>
                <w:color w:val="auto"/>
              </w:rPr>
            </w:pPr>
            <w:r>
              <w:rPr>
                <w:rFonts w:ascii="Arial" w:cs="Arial" w:eastAsia="Arial" w:hAnsi="Arial"/>
                <w:sz w:val="18"/>
                <w:szCs w:val="18"/>
                <w:color w:val="auto"/>
              </w:rPr>
              <w:t>Table 18 presents the activity in our reserve for credit losses.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13"/>
        </w:trPr>
        <w:tc>
          <w:tcPr>
            <w:tcW w:w="6460" w:type="dxa"/>
            <w:vAlign w:val="bottom"/>
          </w:tcPr>
          <w:p>
            <w:pPr>
              <w:ind w:left="40"/>
              <w:spacing w:after="0"/>
              <w:rPr>
                <w:sz w:val="20"/>
                <w:szCs w:val="20"/>
                <w:color w:val="auto"/>
              </w:rPr>
            </w:pPr>
            <w:r>
              <w:rPr>
                <w:rFonts w:ascii="Arial" w:cs="Arial" w:eastAsia="Arial" w:hAnsi="Arial"/>
                <w:sz w:val="18"/>
                <w:szCs w:val="18"/>
                <w:b w:val="1"/>
                <w:bCs w:val="1"/>
                <w:color w:val="auto"/>
              </w:rPr>
              <w:t>Reserve for Credit Losses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18</w:t>
            </w:r>
          </w:p>
        </w:tc>
      </w:tr>
      <w:tr>
        <w:trPr>
          <w:trHeight w:val="27"/>
        </w:trPr>
        <w:tc>
          <w:tcPr>
            <w:tcW w:w="6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6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w w:val="98"/>
              </w:rPr>
              <w:t>Three Months Ended</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March 31,</w:t>
            </w:r>
          </w:p>
        </w:tc>
        <w:tc>
          <w:tcPr>
            <w:tcW w:w="36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r>
      <w:tr>
        <w:trPr>
          <w:trHeight w:val="297"/>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114,168</w:t>
            </w:r>
          </w:p>
        </w:tc>
        <w:tc>
          <w:tcPr>
            <w:tcW w:w="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113,703</w:t>
            </w:r>
          </w:p>
        </w:tc>
        <w:tc>
          <w:tcPr>
            <w:tcW w:w="4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110,845</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Loans and Leases Charged-Off</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646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6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(206)</w:t>
            </w:r>
          </w:p>
        </w:tc>
        <w:tc>
          <w:tcPr>
            <w:tcW w:w="36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(499)</w:t>
            </w:r>
          </w:p>
        </w:tc>
        <w:tc>
          <w:tcPr>
            <w:tcW w:w="4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646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6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(97)</w:t>
            </w:r>
          </w:p>
        </w:tc>
        <w:tc>
          <w:tcPr>
            <w:tcW w:w="36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4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(183)</w:t>
            </w: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(91)</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(221)</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r>
      <w:tr>
        <w:trPr>
          <w:trHeight w:val="237"/>
        </w:trPr>
        <w:tc>
          <w:tcPr>
            <w:tcW w:w="646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6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(2,254)</w:t>
            </w:r>
          </w:p>
        </w:tc>
        <w:tc>
          <w:tcPr>
            <w:tcW w:w="36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(2,014)</w:t>
            </w:r>
          </w:p>
        </w:tc>
        <w:tc>
          <w:tcPr>
            <w:tcW w:w="4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(2,290)</w:t>
            </w: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9"/>
        </w:trPr>
        <w:tc>
          <w:tcPr>
            <w:tcW w:w="64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(3,340)</w:t>
            </w:r>
          </w:p>
        </w:tc>
        <w:tc>
          <w:tcPr>
            <w:tcW w:w="3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(3,108)</w:t>
            </w:r>
          </w:p>
        </w:tc>
        <w:tc>
          <w:tcPr>
            <w:tcW w:w="4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(2,694)</w:t>
            </w:r>
          </w:p>
        </w:tc>
      </w:tr>
      <w:tr>
        <w:trPr>
          <w:trHeight w:val="232"/>
        </w:trPr>
        <w:tc>
          <w:tcPr>
            <w:tcW w:w="6460" w:type="dxa"/>
            <w:vAlign w:val="bottom"/>
          </w:tcPr>
          <w:p>
            <w:pPr>
              <w:ind w:left="40"/>
              <w:spacing w:after="0"/>
              <w:rPr>
                <w:sz w:val="20"/>
                <w:szCs w:val="20"/>
                <w:color w:val="auto"/>
              </w:rPr>
            </w:pPr>
            <w:r>
              <w:rPr>
                <w:rFonts w:ascii="Arial" w:cs="Arial" w:eastAsia="Arial" w:hAnsi="Arial"/>
                <w:sz w:val="16"/>
                <w:szCs w:val="16"/>
                <w:b w:val="1"/>
                <w:bCs w:val="1"/>
                <w:color w:val="auto"/>
              </w:rPr>
              <w:t>Total Loans and Leases Charged-Off</w:t>
            </w:r>
          </w:p>
        </w:tc>
        <w:tc>
          <w:tcPr>
            <w:tcW w:w="36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(5,988)</w:t>
            </w:r>
          </w:p>
        </w:tc>
        <w:tc>
          <w:tcPr>
            <w:tcW w:w="36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(5,846)</w:t>
            </w:r>
          </w:p>
        </w:tc>
        <w:tc>
          <w:tcPr>
            <w:tcW w:w="4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(5,704)</w:t>
            </w:r>
          </w:p>
        </w:tc>
      </w:tr>
      <w:tr>
        <w:trPr>
          <w:trHeight w:val="33"/>
        </w:trPr>
        <w:tc>
          <w:tcPr>
            <w:tcW w:w="6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Recoveries on Loans and Leases Previously Charged-Off</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6460" w:type="dxa"/>
            <w:vAlign w:val="bottom"/>
          </w:tcPr>
          <w:p>
            <w:pPr>
              <w:ind w:left="380"/>
              <w:spacing w:after="0"/>
              <w:rPr>
                <w:sz w:val="20"/>
                <w:szCs w:val="20"/>
                <w:color w:val="auto"/>
              </w:rPr>
            </w:pPr>
            <w:r>
              <w:rPr>
                <w:rFonts w:ascii="Arial" w:cs="Arial" w:eastAsia="Arial" w:hAnsi="Arial"/>
                <w:sz w:val="16"/>
                <w:szCs w:val="16"/>
                <w:color w:val="auto"/>
              </w:rPr>
              <w:t>Commercial</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328</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284</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336</w:t>
            </w:r>
          </w:p>
        </w:tc>
      </w:tr>
      <w:tr>
        <w:trPr>
          <w:trHeight w:val="237"/>
        </w:trPr>
        <w:tc>
          <w:tcPr>
            <w:tcW w:w="6460" w:type="dxa"/>
            <w:vAlign w:val="bottom"/>
          </w:tcPr>
          <w:p>
            <w:pPr>
              <w:ind w:left="500"/>
              <w:spacing w:after="0"/>
              <w:rPr>
                <w:sz w:val="20"/>
                <w:szCs w:val="20"/>
                <w:color w:val="auto"/>
              </w:rPr>
            </w:pPr>
            <w:r>
              <w:rPr>
                <w:rFonts w:ascii="Arial" w:cs="Arial" w:eastAsia="Arial" w:hAnsi="Arial"/>
                <w:sz w:val="16"/>
                <w:szCs w:val="16"/>
                <w:color w:val="auto"/>
              </w:rPr>
              <w:t>Lease Financing</w:t>
            </w:r>
          </w:p>
        </w:tc>
        <w:tc>
          <w:tcPr>
            <w:tcW w:w="36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646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6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220</w:t>
            </w:r>
          </w:p>
        </w:tc>
        <w:tc>
          <w:tcPr>
            <w:tcW w:w="36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182</w:t>
            </w:r>
          </w:p>
        </w:tc>
        <w:tc>
          <w:tcPr>
            <w:tcW w:w="4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104</w:t>
            </w: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625</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498</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508</w:t>
            </w:r>
          </w:p>
        </w:tc>
      </w:tr>
      <w:tr>
        <w:trPr>
          <w:trHeight w:val="237"/>
        </w:trPr>
        <w:tc>
          <w:tcPr>
            <w:tcW w:w="646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6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599</w:t>
            </w:r>
          </w:p>
        </w:tc>
        <w:tc>
          <w:tcPr>
            <w:tcW w:w="36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576</w:t>
            </w:r>
          </w:p>
        </w:tc>
        <w:tc>
          <w:tcPr>
            <w:tcW w:w="4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620</w:t>
            </w: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9"/>
        </w:trPr>
        <w:tc>
          <w:tcPr>
            <w:tcW w:w="64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683</w:t>
            </w:r>
          </w:p>
        </w:tc>
        <w:tc>
          <w:tcPr>
            <w:tcW w:w="3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520</w:t>
            </w:r>
          </w:p>
        </w:tc>
        <w:tc>
          <w:tcPr>
            <w:tcW w:w="4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527</w:t>
            </w:r>
          </w:p>
        </w:tc>
      </w:tr>
      <w:tr>
        <w:trPr>
          <w:trHeight w:val="232"/>
        </w:trPr>
        <w:tc>
          <w:tcPr>
            <w:tcW w:w="6460" w:type="dxa"/>
            <w:vAlign w:val="bottom"/>
          </w:tcPr>
          <w:p>
            <w:pPr>
              <w:ind w:left="40"/>
              <w:spacing w:after="0"/>
              <w:rPr>
                <w:sz w:val="20"/>
                <w:szCs w:val="20"/>
                <w:color w:val="auto"/>
              </w:rPr>
            </w:pPr>
            <w:r>
              <w:rPr>
                <w:rFonts w:ascii="Arial" w:cs="Arial" w:eastAsia="Arial" w:hAnsi="Arial"/>
                <w:sz w:val="16"/>
                <w:szCs w:val="16"/>
                <w:b w:val="1"/>
                <w:bCs w:val="1"/>
                <w:color w:val="auto"/>
              </w:rPr>
              <w:t>Total Recoveries on Loans and Leases Previously Charged-Off</w:t>
            </w:r>
          </w:p>
        </w:tc>
        <w:tc>
          <w:tcPr>
            <w:tcW w:w="36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2,455</w:t>
            </w:r>
          </w:p>
        </w:tc>
        <w:tc>
          <w:tcPr>
            <w:tcW w:w="36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2,061</w:t>
            </w:r>
          </w:p>
        </w:tc>
        <w:tc>
          <w:tcPr>
            <w:tcW w:w="4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2,095</w:t>
            </w:r>
          </w:p>
        </w:tc>
      </w:tr>
      <w:tr>
        <w:trPr>
          <w:trHeight w:val="33"/>
        </w:trPr>
        <w:tc>
          <w:tcPr>
            <w:tcW w:w="6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Loans and Leases Charged-Off</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(3,533)</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(3,785)</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(3,609)</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6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4,125</w:t>
            </w:r>
          </w:p>
        </w:tc>
        <w:tc>
          <w:tcPr>
            <w:tcW w:w="36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4,250</w:t>
            </w:r>
          </w:p>
        </w:tc>
        <w:tc>
          <w:tcPr>
            <w:tcW w:w="4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4,400</w:t>
            </w:r>
          </w:p>
        </w:tc>
      </w:tr>
      <w:tr>
        <w:trPr>
          <w:trHeight w:val="33"/>
        </w:trPr>
        <w:tc>
          <w:tcPr>
            <w:tcW w:w="6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7"/>
                <w:szCs w:val="17"/>
                <w:b w:val="1"/>
                <w:bCs w:val="1"/>
                <w:color w:val="auto"/>
                <w:vertAlign w:val="superscript"/>
              </w:rPr>
              <w:t>2</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114,760</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114,168</w:t>
            </w:r>
          </w:p>
        </w:tc>
        <w:tc>
          <w:tcPr>
            <w:tcW w:w="4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111,636</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2"/>
        </w:trPr>
        <w:tc>
          <w:tcPr>
            <w:tcW w:w="6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Components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Allowance for Loan and Lease Losses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107,938</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107,346</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105,064</w:t>
            </w: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Reserve for Unfunded Commitments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6,822</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6,822</w:t>
            </w:r>
          </w:p>
        </w:tc>
        <w:tc>
          <w:tcPr>
            <w:tcW w:w="4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6,572</w:t>
            </w:r>
          </w:p>
        </w:tc>
      </w:tr>
      <w:tr>
        <w:trPr>
          <w:trHeight w:val="231"/>
        </w:trPr>
        <w:tc>
          <w:tcPr>
            <w:tcW w:w="64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Reserve for Credit Losses</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114,760</w:t>
            </w:r>
          </w:p>
        </w:tc>
        <w:tc>
          <w:tcPr>
            <w:tcW w:w="3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114,168</w:t>
            </w:r>
          </w:p>
        </w:tc>
        <w:tc>
          <w:tcPr>
            <w:tcW w:w="4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111,636</w:t>
            </w:r>
          </w:p>
        </w:tc>
      </w:tr>
      <w:tr>
        <w:trPr>
          <w:trHeight w:val="73"/>
        </w:trPr>
        <w:tc>
          <w:tcPr>
            <w:tcW w:w="64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116"/>
        </w:trPr>
        <w:tc>
          <w:tcPr>
            <w:tcW w:w="64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b w:val="1"/>
                <w:bCs w:val="1"/>
                <w:color w:val="auto"/>
              </w:rPr>
              <w:t>Average Loans and Leases Outstanding</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9,803,753</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9,688,710</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9,020,351</w:t>
            </w:r>
          </w:p>
        </w:tc>
      </w:tr>
      <w:tr>
        <w:trPr>
          <w:trHeight w:val="73"/>
        </w:trPr>
        <w:tc>
          <w:tcPr>
            <w:tcW w:w="64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116"/>
        </w:trPr>
        <w:tc>
          <w:tcPr>
            <w:tcW w:w="64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20"/>
        </w:trPr>
        <w:tc>
          <w:tcPr>
            <w:tcW w:w="6460" w:type="dxa"/>
            <w:vAlign w:val="bottom"/>
          </w:tcPr>
          <w:p>
            <w:pPr>
              <w:ind w:left="40"/>
              <w:spacing w:after="0"/>
              <w:rPr>
                <w:sz w:val="20"/>
                <w:szCs w:val="20"/>
                <w:color w:val="auto"/>
              </w:rPr>
            </w:pPr>
            <w:r>
              <w:rPr>
                <w:rFonts w:ascii="Arial" w:cs="Arial" w:eastAsia="Arial" w:hAnsi="Arial"/>
                <w:sz w:val="16"/>
                <w:szCs w:val="16"/>
                <w:color w:val="auto"/>
              </w:rPr>
              <w:t>Ratio of Net Loans and Leases Charged-Off to</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6460" w:type="dxa"/>
            <w:vAlign w:val="bottom"/>
          </w:tcPr>
          <w:p>
            <w:pPr>
              <w:ind w:left="140"/>
              <w:spacing w:after="0"/>
              <w:rPr>
                <w:sz w:val="20"/>
                <w:szCs w:val="20"/>
                <w:color w:val="auto"/>
              </w:rPr>
            </w:pPr>
            <w:r>
              <w:rPr>
                <w:rFonts w:ascii="Arial" w:cs="Arial" w:eastAsia="Arial" w:hAnsi="Arial"/>
                <w:sz w:val="16"/>
                <w:szCs w:val="16"/>
                <w:color w:val="auto"/>
              </w:rPr>
              <w:t>Average Loans and Leases Outstanding (annualized)</w:t>
            </w:r>
          </w:p>
        </w:tc>
        <w:tc>
          <w:tcPr>
            <w:tcW w:w="360" w:type="dxa"/>
            <w:vAlign w:val="bottom"/>
          </w:tcPr>
          <w:p>
            <w:pPr>
              <w:spacing w:after="0"/>
              <w:rPr>
                <w:sz w:val="17"/>
                <w:szCs w:val="17"/>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0.15%</w:t>
            </w:r>
          </w:p>
        </w:tc>
        <w:tc>
          <w:tcPr>
            <w:tcW w:w="360" w:type="dxa"/>
            <w:vAlign w:val="bottom"/>
          </w:tcPr>
          <w:p>
            <w:pPr>
              <w:spacing w:after="0"/>
              <w:rPr>
                <w:sz w:val="17"/>
                <w:szCs w:val="17"/>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0.15%</w:t>
            </w: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0.16%</w:t>
            </w: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0"/>
        </w:trPr>
        <w:tc>
          <w:tcPr>
            <w:tcW w:w="6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Allowance for Loan and Lease Losses to</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06"/>
        </w:trPr>
        <w:tc>
          <w:tcPr>
            <w:tcW w:w="6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Loans and Leases Outstanding</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1.09%</w:t>
            </w: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1.10%</w:t>
            </w: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33"/>
        </w:trPr>
        <w:tc>
          <w:tcPr>
            <w:tcW w:w="6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260" w:hanging="171"/>
        <w:spacing w:after="0"/>
        <w:tabs>
          <w:tab w:leader="none" w:pos="260" w:val="left"/>
        </w:tabs>
        <w:numPr>
          <w:ilvl w:val="0"/>
          <w:numId w:val="41"/>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260" w:hanging="171"/>
        <w:spacing w:after="0"/>
        <w:tabs>
          <w:tab w:leader="none" w:pos="260" w:val="left"/>
        </w:tabs>
        <w:numPr>
          <w:ilvl w:val="0"/>
          <w:numId w:val="42"/>
        </w:numPr>
        <w:rPr>
          <w:rFonts w:ascii="Arial" w:cs="Arial" w:eastAsia="Arial" w:hAnsi="Arial"/>
          <w:sz w:val="8"/>
          <w:szCs w:val="8"/>
          <w:color w:val="auto"/>
        </w:rPr>
      </w:pPr>
      <w:r>
        <w:rPr>
          <w:rFonts w:ascii="Arial" w:cs="Arial" w:eastAsia="Arial" w:hAnsi="Arial"/>
          <w:sz w:val="13"/>
          <w:szCs w:val="13"/>
          <w:color w:val="auto"/>
        </w:rPr>
        <w:t>Included in this analysis is activity related to the Company’s reserve for unfunded commitments, which is separately recorded in other liabilities in the consolidated statements of condition.</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maintain a reserve for credit losses that consists of two components, the Allowance and a reserve for unfunded commitments (the “Unfunded Reserve”). The reserve for credit losses provides for the risk of credit losses inherent in the loan and lease portfolio and is based on loss estimates derived from a comprehensive quarterly evaluation. The evaluation reflects analyses of individual borrowers and historical loss experience, supplemented as necessary by credit judgment that considers observable trends, conditions, and other relevant environmental and economic factors. The level of the Allowance is adjusted by recording an expense or recovery through the Provision. The level of the Unfunded Reserve is adjusted by recording an expense or recovery in other noninterest expense.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30" w:right="239" w:bottom="1440" w:gutter="0" w:footer="0" w:header="0"/>
          <w:type w:val="continuous"/>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March 31, 2018, the Allowance was $107.9 million or 1.09% of total loans and leases outstanding, compared with an Allowance of $107.3 million or 1.10% of total loans and leases outstanding as of December 31, 2017. The decrease in the ratio of Allowance to loans and leases outstanding was commensurate with the Company’s credit risk profile, loan growth, and a healthy Hawaii economy.</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charge-offs on loans and leases were $3.5 million or 0.15% of total average loans and leases, on an annualized basis, in the first quarter of 2018 compared to net charge-offs of $3.6 million or 0.16% of total average loans and leases, on an annualized basis, in the first quarter of 2017. Net charge-offs in our consumer portfolios were $3.7 million for the first three months of 2018 compared to $3.8 million for the same period in 2017. Net recoveries in our commercial portfolios were $0.1 million for the first three months of 2018 compared to $0.2 million for the same period in 2017.</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Although we determine the amount of each component of the Allowance separately, the Allowance as a whole was considered appropriate by management as of March 31, 2018, based on our ongoing analysis of estimated probable credit losses, credit risk profiles, economic conditions, coverage ratios, and other relevant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Reserve for Unfunded Commitments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Unfunded Reserve was $6.8 million as of March 31, 2018, unchanged from December 31, 2017. The process used to determine the Unfunded Reserve is consistent with the process for determining the Allowance, as adjusted for estimated funding probabilities.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30" w:right="25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risk exposure is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2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adjusting the balance sheet mix or altering the interest rate characteristics of assets and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changing product pricing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modifying characteristics of the investment securities portfolio;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using derivative financial instruments.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use of derivative financial instruments, as detailed in Note 12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30" w:right="27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utilize net interest income simulations to analyze short-term income sensitivities to changes in interest rates. Table 19 presents, for the twelve months subsequent to March 31, 2018 and December 31, 2017, an estimate of the change in net interest income that would result from a gradual and immediate change in interest rates, moving in a parallel fashion over the entire yield curve, relative to the measured base case scenario. The base case scenario assumes the statement of condition and interest rates are generally unchanged. Based on our net interest income simulation as of March 31, 2018, net interest income is expected to increase as interest rates rise. This is due in part to our strategy to maintain a relatively short investment portfolio duration. In addition,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Since deposit costs are already at low levels, we believe that lower interest rates are unlikely to significantly impact our funding costs. Based on our net interest income simulation as of March 31, 2018, net interest income sensitivity to changes in interest rates for the twelve months subsequent to March 31, 2018 was slightly less sensitive in comparison to the sensitivity profile for the twelve months subsequent to December 31, 2017.</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Net Interest Income Sensitivity Profile</w:t>
            </w:r>
          </w:p>
        </w:tc>
        <w:tc>
          <w:tcPr>
            <w:tcW w:w="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Table 19</w:t>
            </w:r>
          </w:p>
        </w:tc>
      </w:tr>
      <w:tr>
        <w:trPr>
          <w:trHeight w:val="33"/>
        </w:trPr>
        <w:tc>
          <w:tcPr>
            <w:tcW w:w="5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5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Impact on Future Annual Net Interest Income</w:t>
            </w:r>
          </w:p>
        </w:tc>
        <w:tc>
          <w:tcPr>
            <w:tcW w:w="820" w:type="dxa"/>
            <w:vAlign w:val="bottom"/>
          </w:tcPr>
          <w:p>
            <w:pPr>
              <w:spacing w:after="0"/>
              <w:rPr>
                <w:sz w:val="18"/>
                <w:szCs w:val="18"/>
                <w:color w:val="auto"/>
              </w:rPr>
            </w:pPr>
          </w:p>
        </w:tc>
      </w:tr>
      <w:tr>
        <w:trPr>
          <w:trHeight w:val="33"/>
        </w:trPr>
        <w:tc>
          <w:tcPr>
            <w:tcW w:w="5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2018</w:t>
            </w:r>
          </w:p>
        </w:tc>
        <w:tc>
          <w:tcPr>
            <w:tcW w:w="8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2017</w:t>
            </w:r>
          </w:p>
        </w:tc>
        <w:tc>
          <w:tcPr>
            <w:tcW w:w="820" w:type="dxa"/>
            <w:vAlign w:val="bottom"/>
            <w:tcBorders>
              <w:bottom w:val="single" w:sz="8" w:color="auto"/>
            </w:tcBorders>
          </w:tcPr>
          <w:p>
            <w:pPr>
              <w:spacing w:after="0"/>
              <w:rPr>
                <w:sz w:val="22"/>
                <w:szCs w:val="2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Gradual Change in Interest Rates (basis points)</w:t>
            </w:r>
          </w:p>
        </w:tc>
        <w:tc>
          <w:tcPr>
            <w:tcW w:w="4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+200</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979"/>
              <w:spacing w:after="0"/>
              <w:rPr>
                <w:sz w:val="20"/>
                <w:szCs w:val="20"/>
                <w:color w:val="auto"/>
              </w:rPr>
            </w:pPr>
            <w:r>
              <w:rPr>
                <w:rFonts w:ascii="Arial" w:cs="Arial" w:eastAsia="Arial" w:hAnsi="Arial"/>
                <w:sz w:val="16"/>
                <w:szCs w:val="16"/>
                <w:color w:val="auto"/>
              </w:rPr>
              <w:t>12,400</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2.5 %</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859"/>
              <w:spacing w:after="0"/>
              <w:rPr>
                <w:sz w:val="20"/>
                <w:szCs w:val="20"/>
                <w:color w:val="auto"/>
              </w:rPr>
            </w:pPr>
            <w:r>
              <w:rPr>
                <w:rFonts w:ascii="Arial" w:cs="Arial" w:eastAsia="Arial" w:hAnsi="Arial"/>
                <w:sz w:val="16"/>
                <w:szCs w:val="16"/>
                <w:color w:val="auto"/>
              </w:rPr>
              <w:t>12,420</w:t>
            </w:r>
          </w:p>
        </w:tc>
        <w:tc>
          <w:tcPr>
            <w:tcW w:w="820" w:type="dxa"/>
            <w:vAlign w:val="bottom"/>
          </w:tcPr>
          <w:p>
            <w:pPr>
              <w:jc w:val="right"/>
              <w:spacing w:after="0"/>
              <w:rPr>
                <w:sz w:val="20"/>
                <w:szCs w:val="20"/>
                <w:color w:val="auto"/>
              </w:rPr>
            </w:pPr>
            <w:r>
              <w:rPr>
                <w:rFonts w:ascii="Arial" w:cs="Arial" w:eastAsia="Arial" w:hAnsi="Arial"/>
                <w:sz w:val="16"/>
                <w:szCs w:val="16"/>
                <w:color w:val="auto"/>
              </w:rPr>
              <w:t>2.6 %</w:t>
            </w:r>
          </w:p>
        </w:tc>
      </w:tr>
      <w:tr>
        <w:trPr>
          <w:trHeight w:val="33"/>
        </w:trPr>
        <w:tc>
          <w:tcPr>
            <w:tcW w:w="5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6,521</w:t>
            </w:r>
          </w:p>
        </w:tc>
        <w:tc>
          <w:tcPr>
            <w:tcW w:w="8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1.3</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6,622</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880" w:type="dxa"/>
            <w:vAlign w:val="bottom"/>
          </w:tcPr>
          <w:p>
            <w:pPr>
              <w:jc w:val="right"/>
              <w:ind w:right="919"/>
              <w:spacing w:after="0"/>
              <w:rPr>
                <w:sz w:val="20"/>
                <w:szCs w:val="20"/>
                <w:color w:val="auto"/>
              </w:rPr>
            </w:pPr>
            <w:r>
              <w:rPr>
                <w:rFonts w:ascii="Arial" w:cs="Arial" w:eastAsia="Arial" w:hAnsi="Arial"/>
                <w:sz w:val="16"/>
                <w:szCs w:val="16"/>
                <w:color w:val="auto"/>
              </w:rPr>
              <w:t>(6,367)</w:t>
            </w: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(1.3)</w:t>
            </w:r>
          </w:p>
        </w:tc>
        <w:tc>
          <w:tcPr>
            <w:tcW w:w="600" w:type="dxa"/>
            <w:vAlign w:val="bottom"/>
          </w:tcPr>
          <w:p>
            <w:pPr>
              <w:spacing w:after="0"/>
              <w:rPr>
                <w:sz w:val="19"/>
                <w:szCs w:val="19"/>
                <w:color w:val="auto"/>
              </w:rPr>
            </w:pPr>
          </w:p>
        </w:tc>
        <w:tc>
          <w:tcPr>
            <w:tcW w:w="1760" w:type="dxa"/>
            <w:vAlign w:val="bottom"/>
          </w:tcPr>
          <w:p>
            <w:pPr>
              <w:jc w:val="right"/>
              <w:ind w:right="819"/>
              <w:spacing w:after="0"/>
              <w:rPr>
                <w:sz w:val="20"/>
                <w:szCs w:val="20"/>
                <w:color w:val="auto"/>
              </w:rPr>
            </w:pPr>
            <w:r>
              <w:rPr>
                <w:rFonts w:ascii="Arial" w:cs="Arial" w:eastAsia="Arial" w:hAnsi="Arial"/>
                <w:sz w:val="16"/>
                <w:szCs w:val="16"/>
                <w:color w:val="auto"/>
              </w:rPr>
              <w:t>(6,789)</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(1.4)</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5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Immediate Change in Interest Rates (basis points)</w:t>
            </w:r>
          </w:p>
        </w:tc>
        <w:tc>
          <w:tcPr>
            <w:tcW w:w="4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+200</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28,712</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5.8 %</w:t>
            </w:r>
          </w:p>
        </w:tc>
        <w:tc>
          <w:tcPr>
            <w:tcW w:w="6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29,876</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880" w:type="dxa"/>
            <w:vAlign w:val="bottom"/>
          </w:tcPr>
          <w:p>
            <w:pPr>
              <w:jc w:val="right"/>
              <w:ind w:right="979"/>
              <w:spacing w:after="0"/>
              <w:rPr>
                <w:sz w:val="20"/>
                <w:szCs w:val="20"/>
                <w:color w:val="auto"/>
              </w:rPr>
            </w:pPr>
            <w:r>
              <w:rPr>
                <w:rFonts w:ascii="Arial" w:cs="Arial" w:eastAsia="Arial" w:hAnsi="Arial"/>
                <w:sz w:val="16"/>
                <w:szCs w:val="16"/>
                <w:color w:val="auto"/>
              </w:rPr>
              <w:t>15,169</w:t>
            </w:r>
          </w:p>
        </w:tc>
        <w:tc>
          <w:tcPr>
            <w:tcW w:w="880" w:type="dxa"/>
            <w:vAlign w:val="bottom"/>
          </w:tcPr>
          <w:p>
            <w:pPr>
              <w:jc w:val="right"/>
              <w:ind w:right="299"/>
              <w:spacing w:after="0"/>
              <w:rPr>
                <w:sz w:val="20"/>
                <w:szCs w:val="20"/>
                <w:color w:val="auto"/>
              </w:rPr>
            </w:pPr>
            <w:r>
              <w:rPr>
                <w:rFonts w:ascii="Arial" w:cs="Arial" w:eastAsia="Arial" w:hAnsi="Arial"/>
                <w:sz w:val="16"/>
                <w:szCs w:val="16"/>
                <w:color w:val="auto"/>
              </w:rPr>
              <w:t>3.1</w:t>
            </w:r>
          </w:p>
        </w:tc>
        <w:tc>
          <w:tcPr>
            <w:tcW w:w="600" w:type="dxa"/>
            <w:vAlign w:val="bottom"/>
          </w:tcPr>
          <w:p>
            <w:pPr>
              <w:spacing w:after="0"/>
              <w:rPr>
                <w:sz w:val="19"/>
                <w:szCs w:val="19"/>
                <w:color w:val="auto"/>
              </w:rPr>
            </w:pPr>
          </w:p>
        </w:tc>
        <w:tc>
          <w:tcPr>
            <w:tcW w:w="1760" w:type="dxa"/>
            <w:vAlign w:val="bottom"/>
          </w:tcPr>
          <w:p>
            <w:pPr>
              <w:jc w:val="right"/>
              <w:ind w:right="859"/>
              <w:spacing w:after="0"/>
              <w:rPr>
                <w:sz w:val="20"/>
                <w:szCs w:val="20"/>
                <w:color w:val="auto"/>
              </w:rPr>
            </w:pPr>
            <w:r>
              <w:rPr>
                <w:rFonts w:ascii="Arial" w:cs="Arial" w:eastAsia="Arial" w:hAnsi="Arial"/>
                <w:sz w:val="16"/>
                <w:szCs w:val="16"/>
                <w:color w:val="auto"/>
              </w:rPr>
              <w:t>16,328</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3.4</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24"/>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(20,069)</w:t>
            </w:r>
          </w:p>
        </w:tc>
        <w:tc>
          <w:tcPr>
            <w:tcW w:w="8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(4.1)</w:t>
            </w:r>
          </w:p>
        </w:tc>
        <w:tc>
          <w:tcPr>
            <w:tcW w:w="6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(21,653)</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w:t>
            </w:r>
          </w:p>
        </w:tc>
      </w:tr>
      <w:tr>
        <w:trPr>
          <w:trHeight w:val="47"/>
        </w:trPr>
        <w:tc>
          <w:tcPr>
            <w:tcW w:w="50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8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were to steepen, net interest income may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Risks</w:t>
      </w:r>
    </w:p>
    <w:p>
      <w:pPr>
        <w:spacing w:after="0" w:line="22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are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Management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89" w:lineRule="exact"/>
        <w:rPr>
          <w:sz w:val="20"/>
          <w:szCs w:val="20"/>
          <w:color w:val="auto"/>
        </w:rPr>
      </w:pPr>
    </w:p>
    <w:p>
      <w:pPr>
        <w:ind w:right="2240"/>
        <w:spacing w:after="0" w:line="291" w:lineRule="auto"/>
        <w:rPr>
          <w:sz w:val="20"/>
          <w:szCs w:val="20"/>
          <w:color w:val="auto"/>
        </w:rPr>
      </w:pPr>
      <w:r>
        <w:rPr>
          <w:rFonts w:ascii="Arial" w:cs="Arial" w:eastAsia="Arial" w:hAnsi="Arial"/>
          <w:sz w:val="16"/>
          <w:szCs w:val="16"/>
          <w:color w:val="auto"/>
        </w:rPr>
        <w:t>In an effort to satisfy our liquidity needs, we actively manage our assets and liabilities. We have access to immediate liquid resources in the form of cash which is primarily on deposit with the FRB. Potential sources of liquidity also include investment</w:t>
      </w:r>
    </w:p>
    <w:p>
      <w:pPr>
        <w:ind w:right="240"/>
        <w:spacing w:after="0" w:line="261" w:lineRule="auto"/>
        <w:rPr>
          <w:sz w:val="20"/>
          <w:szCs w:val="20"/>
          <w:color w:val="auto"/>
        </w:rPr>
      </w:pPr>
      <w:r>
        <w:rPr>
          <w:rFonts w:ascii="Arial" w:cs="Arial" w:eastAsia="Arial" w:hAnsi="Arial"/>
          <w:sz w:val="18"/>
          <w:szCs w:val="18"/>
          <w:color w:val="auto"/>
        </w:rPr>
        <w:t>securities in our available-for-sale securities portfolio, our ability to sell loans in the secondary market, and to secure borrowings from the FRB and FHLB. Our held-to-maturity securities, while not intended for sale, may also be utilized in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repurchase agreements to obtain funding. Our core deposits have historically provided us with a long-term source of stable and relatively lower cost source of funding. Additional funding is available through the issuance of long-term debt or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Maturities and payments on outstanding loans and investment securities also provide a steady flow of funds. Liquidity is further</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enhanced by our ability to pledge loans to access secured borrowings from the FHLB and FRB. As of March 31, 2018, we had additional borrowing capacity of $2.1 billion from the FHLB and $516.3 million from the FRB based on the amount of collateral pledged.</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continued our focus on maintaining a strong liquidity position throughout the first three months of 2018. As of March 31, 2018, cash and cash equivalents were $565.2 million, the carrying value of our available-for-sale investment securities was $2.2 billion, and total deposits were $15.0 billion. As of March 31, 2018, our available-for-sale investment securities portfolio was comprised of securities with an average base duration of approximately 2.5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8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March 31, 2018, the Company and the Bank were considered “well capitalized” under this regulatory framework. The Company’s regulatory capital ratios are presented in Table 20 below. There have been no conditions or events since March 31, 2018 that management believes have changed either the Company’s or the Bank’s capital classifications.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March 31, 2018, shareholders’ equity was $1.2 billion, an increase of $9.3 million or 1% from December 31, 2017. For the first three months of 2018, net income of $54.0 million, common stock issuances of $2.0 million, share-based compensation of $1.9 million were partially offset by other comprehensive loss of $8.9 million, cash dividends paid of $22.1 million, and common stock repurchased of $17.5 million. In the first three months of 2018, included in the amount of common stock repurchased were 165,500 shares repurchased under our share repurchase program. These shares were repurchased at an average cost per share of $84.23 and a total cost of $13.9 million. From the beginning of our share repurchase program in July 2001 through March 31, 2018, we repurchased a total of 54.4 million shares of common stock and returned a total of $2.09 billion to our shareholders at an average cost of $38.43 per share.</w:t>
      </w:r>
    </w:p>
    <w:p>
      <w:pPr>
        <w:spacing w:after="0" w:line="16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From April 1, 2018 through April 17, 2018, the Parent repurchased an additional 48,000 shares of common stock at an average cost of $82.61 per share for a total of $4.0 million. Remaining buyback authority under our share repurchase program was $102.1 million as of April 17, 2018. The actual amount and timing of future share repurchases, if any, will depend on market and economic conditions, regulatory rules, applicable SEC rules, and various other factors.</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April 2018, the Parent’s Board of Directors declared a quarterly cash dividend of $0.60 per share on the Parent’s outstanding shares. The dividend will be payable on June 14, 2018 to shareholders of record at the close of business on May 31, 2018.</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final rules implementing the Basel Committee on Banking Supervision’s (“BCBS”) capital guidelines for U.S. banks became effective for the Company on January 1, 2015, with full compliance with all of the final rule’s requirements phased in over a multi-year schedule, to be fully phased-in by January 1, 2019. As of March 31, 2018, the Company’s capital levels remained characterized as “well-capitalized” under the new rules. See the “Regulatory Initiatives Affecting the Banking Industry” section below for further discussion on Basel III.</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30" w:right="27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Table 20 presents our regulatory capital and ratios as of March 31, 2018 and December 31, 2017.</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gridSpan w:val="5"/>
          </w:tcPr>
          <w:p>
            <w:pPr>
              <w:ind w:left="40"/>
              <w:spacing w:after="0"/>
              <w:rPr>
                <w:sz w:val="20"/>
                <w:szCs w:val="20"/>
                <w:color w:val="auto"/>
              </w:rPr>
            </w:pPr>
            <w:r>
              <w:rPr>
                <w:rFonts w:ascii="Arial" w:cs="Arial" w:eastAsia="Arial" w:hAnsi="Arial"/>
                <w:sz w:val="16"/>
                <w:szCs w:val="16"/>
                <w:b w:val="1"/>
                <w:bCs w:val="1"/>
                <w:color w:val="auto"/>
              </w:rPr>
              <w:t>Regulatory Capital and Ratios</w:t>
            </w:r>
          </w:p>
        </w:tc>
        <w:tc>
          <w:tcPr>
            <w:tcW w:w="2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Table 20</w:t>
            </w:r>
          </w:p>
        </w:tc>
      </w:tr>
      <w:tr>
        <w:trPr>
          <w:trHeight w:val="33"/>
        </w:trPr>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6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r>
      <w:tr>
        <w:trPr>
          <w:trHeight w:val="237"/>
        </w:trPr>
        <w:tc>
          <w:tcPr>
            <w:tcW w:w="61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(dollars in thousands)</w:t>
            </w:r>
          </w:p>
        </w:tc>
        <w:tc>
          <w:tcPr>
            <w:tcW w:w="20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0"/>
                <w:szCs w:val="20"/>
                <w:color w:val="auto"/>
              </w:rPr>
            </w:pPr>
          </w:p>
        </w:tc>
      </w:tr>
      <w:tr>
        <w:trPr>
          <w:trHeight w:val="202"/>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Regulatory Capital</w:t>
            </w:r>
          </w:p>
        </w:tc>
        <w:tc>
          <w:tcPr>
            <w:tcW w:w="2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Shareholders’ Equity</w:t>
            </w:r>
          </w:p>
        </w:tc>
        <w:tc>
          <w:tcPr>
            <w:tcW w:w="20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1,241,193</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1,231,868</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1</w:t>
            </w:r>
          </w:p>
        </w:tc>
        <w:tc>
          <w:tcPr>
            <w:tcW w:w="20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28,718</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28,718</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6"/>
                <w:szCs w:val="16"/>
                <w:color w:val="auto"/>
              </w:rPr>
              <w:t>Postretirement Benefit Liability Adjustments</w:t>
            </w:r>
          </w:p>
        </w:tc>
        <w:tc>
          <w:tcPr>
            <w:tcW w:w="20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(33,469)</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(27,715)</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xml:space="preserve">Net Unrealized Gains (Losses) on Investment Securities </w:t>
            </w:r>
            <w:r>
              <w:rPr>
                <w:rFonts w:ascii="Arial" w:cs="Arial" w:eastAsia="Arial" w:hAnsi="Arial"/>
                <w:sz w:val="21"/>
                <w:szCs w:val="21"/>
                <w:color w:val="auto"/>
                <w:vertAlign w:val="superscript"/>
              </w:rPr>
              <w:t>2</w:t>
            </w:r>
          </w:p>
        </w:tc>
        <w:tc>
          <w:tcPr>
            <w:tcW w:w="20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(17,628)</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6"/>
                <w:szCs w:val="16"/>
                <w:color w:val="auto"/>
              </w:rPr>
              <w:t>Other</w:t>
            </w:r>
          </w:p>
        </w:tc>
        <w:tc>
          <w:tcPr>
            <w:tcW w:w="20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20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1,263,770</w:t>
            </w: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1,238,063</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169"/>
        </w:trPr>
        <w:tc>
          <w:tcPr>
            <w:tcW w:w="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4020" w:type="dxa"/>
            <w:vAlign w:val="bottom"/>
            <w:tcBorders>
              <w:top w:val="single" w:sz="8" w:color="auto"/>
              <w:bottom w:val="single" w:sz="8" w:color="auto"/>
            </w:tcBorders>
          </w:tcPr>
          <w:p>
            <w:pPr>
              <w:spacing w:after="0"/>
              <w:rPr>
                <w:sz w:val="14"/>
                <w:szCs w:val="14"/>
                <w:color w:val="auto"/>
              </w:rPr>
            </w:pPr>
          </w:p>
        </w:tc>
        <w:tc>
          <w:tcPr>
            <w:tcW w:w="20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r>
      <w:tr>
        <w:trPr>
          <w:trHeight w:val="244"/>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Tier 1 Capital</w:t>
            </w:r>
          </w:p>
        </w:tc>
        <w:tc>
          <w:tcPr>
            <w:tcW w:w="20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1,263,770</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1,238,063</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Allowable Reserve for Credit Losses</w:t>
            </w:r>
          </w:p>
        </w:tc>
        <w:tc>
          <w:tcPr>
            <w:tcW w:w="20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114,760</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114,168</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Total Regulatory Capital</w:t>
            </w:r>
          </w:p>
        </w:tc>
        <w:tc>
          <w:tcPr>
            <w:tcW w:w="2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1,378,530</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1,352,231</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Risk-Weighted Assets</w:t>
            </w:r>
          </w:p>
        </w:tc>
        <w:tc>
          <w:tcPr>
            <w:tcW w:w="2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9,451,647</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9,348,296</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3"/>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Key Regulatory Capital Ratios</w:t>
            </w:r>
          </w:p>
        </w:tc>
        <w:tc>
          <w:tcPr>
            <w:tcW w:w="2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24"/>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Common Equity Tier 1 Capital Ratio</w:t>
            </w:r>
          </w:p>
        </w:tc>
        <w:tc>
          <w:tcPr>
            <w:tcW w:w="20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13.37</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20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13.37</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Total Capital Ratio</w:t>
            </w:r>
          </w:p>
        </w:tc>
        <w:tc>
          <w:tcPr>
            <w:tcW w:w="20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14.59</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14.46</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Tier 1 Leverage Ratio</w:t>
            </w:r>
          </w:p>
        </w:tc>
        <w:tc>
          <w:tcPr>
            <w:tcW w:w="20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c>
          <w:tcPr>
            <w:tcW w:w="6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c>
          <w:tcPr>
            <w:tcW w:w="220" w:type="dxa"/>
            <w:vAlign w:val="bottom"/>
            <w:shd w:val="clear" w:color="auto" w:fill="CCEEFF"/>
          </w:tcPr>
          <w:p>
            <w:pPr>
              <w:spacing w:after="0"/>
              <w:rPr>
                <w:sz w:val="20"/>
                <w:szCs w:val="20"/>
                <w:color w:val="auto"/>
              </w:rPr>
            </w:pPr>
          </w:p>
        </w:tc>
      </w:tr>
      <w:tr>
        <w:trPr>
          <w:trHeight w:val="33"/>
        </w:trPr>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80" w:hanging="72"/>
        <w:spacing w:after="0"/>
        <w:tabs>
          <w:tab w:leader="none" w:pos="80" w:val="left"/>
        </w:tabs>
        <w:numPr>
          <w:ilvl w:val="0"/>
          <w:numId w:val="44"/>
        </w:numPr>
        <w:rPr>
          <w:rFonts w:ascii="Arial" w:cs="Arial" w:eastAsia="Arial" w:hAnsi="Arial"/>
          <w:sz w:val="9"/>
          <w:szCs w:val="9"/>
          <w:color w:val="auto"/>
        </w:rPr>
      </w:pPr>
      <w:r>
        <w:rPr>
          <w:rFonts w:ascii="Arial" w:cs="Arial" w:eastAsia="Arial" w:hAnsi="Arial"/>
          <w:sz w:val="14"/>
          <w:szCs w:val="14"/>
          <w:color w:val="auto"/>
        </w:rPr>
        <w:t>Calculated net of deferred tax liabilities.</w:t>
      </w:r>
    </w:p>
    <w:p>
      <w:pPr>
        <w:spacing w:after="0" w:line="13" w:lineRule="exact"/>
        <w:rPr>
          <w:sz w:val="20"/>
          <w:szCs w:val="20"/>
          <w:color w:val="auto"/>
        </w:rPr>
      </w:pPr>
    </w:p>
    <w:p>
      <w:pPr>
        <w:ind w:left="80" w:hanging="72"/>
        <w:spacing w:after="0"/>
        <w:tabs>
          <w:tab w:leader="none" w:pos="80" w:val="left"/>
        </w:tabs>
        <w:numPr>
          <w:ilvl w:val="0"/>
          <w:numId w:val="45"/>
        </w:numPr>
        <w:rPr>
          <w:rFonts w:ascii="Arial" w:cs="Arial" w:eastAsia="Arial" w:hAnsi="Arial"/>
          <w:sz w:val="9"/>
          <w:szCs w:val="9"/>
          <w:color w:val="auto"/>
        </w:rPr>
      </w:pPr>
      <w:r>
        <w:rPr>
          <w:rFonts w:ascii="Arial" w:cs="Arial" w:eastAsia="Arial" w:hAnsi="Arial"/>
          <w:sz w:val="14"/>
          <w:szCs w:val="14"/>
          <w:color w:val="auto"/>
        </w:rPr>
        <w:t>Includes unrealized gains and losses related to the Company’s reclassification of available-for-sale investment securities to the held-to-maturity category.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Initiatives Affecting the Banking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 III</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FRB and the FDIC approved the final rules implementing the Basel Committee on Banking Supervision’s (“BCBS”) capital guidelines for U.S. banks. Under the final rules, minimum requirements increased for both the quantity and quality of capital held by the Company. The rules include a new common equity Tier 1 capital to risk-weighted assets minimum ratio of 4.5%, raise the minimum ratio of Tier 1 capital to risk-weighted assets from 4.0% to 6.0%, require a minimum ratio of Total Capital to risk-weighted assets of 8.0%, and require a minimum Tier 1 leverage ratio of 4.0%. A new capital conservation buffer, comprised of common equity Tier 1 capital, was also established above the regulatory minimum capital requirements. This capital conservation buffer began phasing in beginning January 1, 2016 at 0.625% of risk-weighted assets and will increase each subsequent year by an additional 0.625% until reaching its final level of 2.5% on January 1, 2019. Strict eligibility criteria for regulatory capital instruments were also implemented under the final rules. The final rules also revised the definition and calculation of Tier 1 capital, Total Capital, and risk-weighted assets.</w:t>
      </w:r>
    </w:p>
    <w:p>
      <w:pPr>
        <w:spacing w:after="0" w:line="1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phase-in period for the final rules became effective for the Company on January 1, 2015, with full compliance with all of the final rules’ requirements phased in over a multi-year schedule, to be fully implemented by January 1, 2019. As of March 31, 2018, the Company’s capital levels remained characterized as “well-capitalized” under the new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monitor regulatory developments and their potential impact to the Company’s liquidity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Stress Testing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Dodd-Frank Act required federal banking agencies to issue regulations that obligate banks with total consolidated assets of more than $10.0 billion to conduct and publish company-run annual stress tests to assess the potential impact of different scenarios on the consolidated earnings and capital of each bank and certain related items over a nine-quarter forward-looking planning horizon, taking into account all relevant exposures and activities. On October 9, 2012, the FRB published final rules implementing the stress testing requirements for banks, such as the Company, with total consolidated assets of more than $10.0 billion but less than $50.0 billion. These rules set forth the timing and type of stress test activities, as well as rules governing controls, oversight and disclosure.</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March 2014, the FRB, OCC, and FDIC issued final supervisory guidance for these stress tests. This joint final supervisory guidance discusses supervisory expectations for stress test practices, provides examples of practices that would be consistent with those expectations, and offers additional details about stress test methodologies. It also emphasizes the importance of stress testing as an ongoing risk management practice.</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submitted our latest stress testing results to the FRB on July 28, 2017 and disclosed the results to the public on October 24, 2017. The disclosure is available on our website www.boh.com, in the 2017 Financial Reports section of the Investor Relations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Insurance Fund (“DIF”) Assessment</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March 2016, the FDIC approved a final rule that imposes on banks with at least $10 billion in assets, such as the Company, a surcharge of 4.5 cents per $100 of their assessment base, after making certain adjustments. The surcharge became effective for the third quarter of 2016 and the FDIC estimates the surcharge will be imposed for approximately two years. The surcharge takes effect at the same time that the regular FDIC insurance assessment rates for all banks decline under a rule adopted by the FDIC in 2011.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30" w:right="25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5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Credit Commitments,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hold interests in several unconsolidated variable interest entities (“VIEs”). These unconsolidated VIEs are primarily low-income housing partnerships and solar energy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Contractual Obligations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credit commitments and contractual obligations have not changed materially since previously reported in our Annual Report on Form 10-K for the year ended December 31, 2017.</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“Market Risk” of this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March 31, 2018.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March 31,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quarter ended March 31, 2018 that have materially affected or are reasonably likely to materially affect the Company’s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20"/>
          </w:cols>
          <w:pgMar w:left="240" w:top="130" w:right="3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are no material changes from the risk factors set forth under Part I, Item 1A. “Risk Factors” in our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Parent’s repurchases of its common stock during the first quarter of 2018 were as follows:</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Approximate Dollar Value</w:t>
            </w:r>
          </w:p>
        </w:tc>
      </w:tr>
      <w:tr>
        <w:trPr>
          <w:trHeight w:val="203"/>
        </w:trPr>
        <w:tc>
          <w:tcPr>
            <w:tcW w:w="21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 Number of Shares</w:t>
            </w:r>
          </w:p>
        </w:tc>
        <w:tc>
          <w:tcPr>
            <w:tcW w:w="2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203"/>
        </w:trPr>
        <w:tc>
          <w:tcPr>
            <w:tcW w:w="2180" w:type="dxa"/>
            <w:vAlign w:val="bottom"/>
          </w:tcPr>
          <w:p>
            <w:pPr>
              <w:spacing w:after="0"/>
              <w:rPr>
                <w:sz w:val="17"/>
                <w:szCs w:val="17"/>
                <w:color w:val="auto"/>
              </w:rPr>
            </w:pPr>
          </w:p>
        </w:tc>
        <w:tc>
          <w:tcPr>
            <w:tcW w:w="224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 Number of</w:t>
            </w:r>
          </w:p>
        </w:tc>
        <w:tc>
          <w:tcPr>
            <w:tcW w:w="17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Average Price Paid</w:t>
            </w:r>
          </w:p>
        </w:tc>
        <w:tc>
          <w:tcPr>
            <w:tcW w:w="2440" w:type="dxa"/>
            <w:vAlign w:val="bottom"/>
          </w:tcPr>
          <w:p>
            <w:pPr>
              <w:jc w:val="right"/>
              <w:ind w:right="39"/>
              <w:spacing w:after="0"/>
              <w:rPr>
                <w:sz w:val="20"/>
                <w:szCs w:val="20"/>
                <w:color w:val="auto"/>
              </w:rPr>
            </w:pPr>
            <w:r>
              <w:rPr>
                <w:rFonts w:ascii="Arial" w:cs="Arial" w:eastAsia="Arial" w:hAnsi="Arial"/>
                <w:sz w:val="16"/>
                <w:szCs w:val="16"/>
                <w:b w:val="1"/>
                <w:bCs w:val="1"/>
                <w:color w:val="auto"/>
              </w:rPr>
              <w:t>Purchased as Part of Publicly</w:t>
            </w:r>
          </w:p>
        </w:tc>
        <w:tc>
          <w:tcPr>
            <w:tcW w:w="1180" w:type="dxa"/>
            <w:vAlign w:val="bottom"/>
          </w:tcPr>
          <w:p>
            <w:pPr>
              <w:spacing w:after="0"/>
              <w:rPr>
                <w:sz w:val="17"/>
                <w:szCs w:val="17"/>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Purchased Under the</w:t>
            </w:r>
          </w:p>
        </w:tc>
      </w:tr>
      <w:tr>
        <w:trPr>
          <w:trHeight w:val="242"/>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2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17"/>
                <w:szCs w:val="17"/>
                <w:b w:val="1"/>
                <w:bCs w:val="1"/>
                <w:color w:val="auto"/>
                <w:vertAlign w:val="superscript"/>
              </w:rPr>
              <w:t>1</w:t>
            </w:r>
          </w:p>
        </w:tc>
        <w:tc>
          <w:tcPr>
            <w:tcW w:w="5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 Share</w:t>
            </w:r>
          </w:p>
        </w:tc>
        <w:tc>
          <w:tcPr>
            <w:tcW w:w="2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7"/>
              </w:rPr>
              <w:t>Announced Plans or Programs</w:t>
            </w:r>
          </w:p>
        </w:tc>
        <w:tc>
          <w:tcPr>
            <w:tcW w:w="1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 xml:space="preserve">Plans or Programs </w:t>
            </w:r>
            <w:r>
              <w:rPr>
                <w:rFonts w:ascii="Arial" w:cs="Arial" w:eastAsia="Arial" w:hAnsi="Arial"/>
                <w:sz w:val="17"/>
                <w:szCs w:val="17"/>
                <w:b w:val="1"/>
                <w:bCs w:val="1"/>
                <w:color w:val="auto"/>
                <w:w w:val="99"/>
                <w:vertAlign w:val="superscript"/>
              </w:rPr>
              <w:t>2</w:t>
            </w:r>
          </w:p>
        </w:tc>
      </w:tr>
      <w:tr>
        <w:trPr>
          <w:trHeight w:val="245"/>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1 - 31, 2018</w:t>
            </w:r>
          </w:p>
        </w:tc>
        <w:tc>
          <w:tcPr>
            <w:tcW w:w="2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44,146</w:t>
            </w:r>
          </w:p>
        </w:tc>
        <w:tc>
          <w:tcPr>
            <w:tcW w:w="5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85.66</w:t>
            </w:r>
          </w:p>
        </w:tc>
        <w:tc>
          <w:tcPr>
            <w:tcW w:w="2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116,752,708</w:t>
            </w:r>
          </w:p>
        </w:tc>
      </w:tr>
      <w:tr>
        <w:trPr>
          <w:trHeight w:val="237"/>
        </w:trPr>
        <w:tc>
          <w:tcPr>
            <w:tcW w:w="2180" w:type="dxa"/>
            <w:vAlign w:val="bottom"/>
          </w:tcPr>
          <w:p>
            <w:pPr>
              <w:ind w:left="40"/>
              <w:spacing w:after="0"/>
              <w:rPr>
                <w:sz w:val="20"/>
                <w:szCs w:val="20"/>
                <w:color w:val="auto"/>
              </w:rPr>
            </w:pPr>
            <w:r>
              <w:rPr>
                <w:rFonts w:ascii="Arial" w:cs="Arial" w:eastAsia="Arial" w:hAnsi="Arial"/>
                <w:sz w:val="16"/>
                <w:szCs w:val="16"/>
                <w:color w:val="auto"/>
              </w:rPr>
              <w:t>February 1 - 28, 2018</w:t>
            </w:r>
          </w:p>
        </w:tc>
        <w:tc>
          <w:tcPr>
            <w:tcW w:w="2240" w:type="dxa"/>
            <w:vAlign w:val="bottom"/>
          </w:tcPr>
          <w:p>
            <w:pPr>
              <w:jc w:val="right"/>
              <w:ind w:right="99"/>
              <w:spacing w:after="0"/>
              <w:rPr>
                <w:sz w:val="20"/>
                <w:szCs w:val="20"/>
                <w:color w:val="auto"/>
              </w:rPr>
            </w:pPr>
            <w:r>
              <w:rPr>
                <w:rFonts w:ascii="Arial" w:cs="Arial" w:eastAsia="Arial" w:hAnsi="Arial"/>
                <w:sz w:val="16"/>
                <w:szCs w:val="16"/>
                <w:color w:val="auto"/>
              </w:rPr>
              <w:t>66,000</w:t>
            </w:r>
          </w:p>
        </w:tc>
        <w:tc>
          <w:tcPr>
            <w:tcW w:w="5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83.17</w:t>
            </w: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66,000</w:t>
            </w:r>
          </w:p>
        </w:tc>
        <w:tc>
          <w:tcPr>
            <w:tcW w:w="1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111,263,368</w:t>
            </w:r>
          </w:p>
        </w:tc>
      </w:tr>
      <w:tr>
        <w:trPr>
          <w:trHeight w:val="33"/>
        </w:trPr>
        <w:tc>
          <w:tcPr>
            <w:tcW w:w="2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1 - 31, 2018</w:t>
            </w:r>
          </w:p>
        </w:tc>
        <w:tc>
          <w:tcPr>
            <w:tcW w:w="2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100,160</w:t>
            </w:r>
          </w:p>
        </w:tc>
        <w:tc>
          <w:tcPr>
            <w:tcW w:w="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83.47</w:t>
            </w:r>
          </w:p>
        </w:tc>
        <w:tc>
          <w:tcPr>
            <w:tcW w:w="2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61,500</w:t>
            </w:r>
          </w:p>
        </w:tc>
        <w:tc>
          <w:tcPr>
            <w:tcW w:w="1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106,078,961</w:t>
            </w:r>
          </w:p>
        </w:tc>
      </w:tr>
      <w:tr>
        <w:trPr>
          <w:trHeight w:val="231"/>
        </w:trPr>
        <w:tc>
          <w:tcPr>
            <w:tcW w:w="2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2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210,306</w:t>
            </w:r>
          </w:p>
        </w:tc>
        <w:tc>
          <w:tcPr>
            <w:tcW w:w="5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83.83</w:t>
            </w:r>
          </w:p>
        </w:tc>
        <w:tc>
          <w:tcPr>
            <w:tcW w:w="2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165,500</w:t>
            </w:r>
          </w:p>
        </w:tc>
        <w:tc>
          <w:tcPr>
            <w:tcW w:w="1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right="40" w:hanging="172"/>
        <w:spacing w:after="0" w:line="288" w:lineRule="auto"/>
        <w:tabs>
          <w:tab w:leader="none" w:pos="180" w:val="left"/>
        </w:tabs>
        <w:numPr>
          <w:ilvl w:val="0"/>
          <w:numId w:val="46"/>
        </w:numPr>
        <w:rPr>
          <w:rFonts w:ascii="Arial" w:cs="Arial" w:eastAsia="Arial" w:hAnsi="Arial"/>
          <w:sz w:val="8"/>
          <w:szCs w:val="8"/>
          <w:color w:val="auto"/>
        </w:rPr>
      </w:pPr>
      <w:r>
        <w:rPr>
          <w:rFonts w:ascii="Arial" w:cs="Arial" w:eastAsia="Arial" w:hAnsi="Arial"/>
          <w:sz w:val="12"/>
          <w:szCs w:val="12"/>
          <w:color w:val="auto"/>
        </w:rPr>
        <w:t>During the first quarter of 2018, 44,806 shares were acquired from employees in connection with income tax withholdings related to the vesting of restricted stock and acquired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 registration requirements of the Securities Act of 1933, as amended (the “Securities</w:t>
      </w:r>
    </w:p>
    <w:p>
      <w:pPr>
        <w:spacing w:after="0" w:line="1" w:lineRule="exact"/>
        <w:rPr>
          <w:sz w:val="20"/>
          <w:szCs w:val="20"/>
          <w:color w:val="auto"/>
        </w:rPr>
      </w:pPr>
    </w:p>
    <w:p>
      <w:pPr>
        <w:jc w:val="both"/>
        <w:ind w:left="180" w:right="180"/>
        <w:spacing w:after="0" w:line="281" w:lineRule="auto"/>
        <w:rPr>
          <w:sz w:val="20"/>
          <w:szCs w:val="20"/>
          <w:color w:val="auto"/>
        </w:rPr>
      </w:pPr>
      <w:r>
        <w:rPr>
          <w:rFonts w:ascii="Arial" w:cs="Arial" w:eastAsia="Arial" w:hAnsi="Arial"/>
          <w:sz w:val="12"/>
          <w:szCs w:val="12"/>
          <w:color w:val="auto"/>
        </w:rPr>
        <w:t>Act”) by Section 4(a)(2) thereof. The trustee under the trust and the participants under the DDCP are accredited investors, as defined in Rule 501(a) under the Securities Act. These transactions did not involve a public offering and occurred without general solicitation or advertising. The shares were purchased at the closing price of the Parent’s common stock on the dates of purchase.</w:t>
      </w:r>
    </w:p>
    <w:p>
      <w:pPr>
        <w:spacing w:after="0" w:line="1" w:lineRule="exact"/>
        <w:rPr>
          <w:sz w:val="20"/>
          <w:szCs w:val="20"/>
          <w:color w:val="auto"/>
        </w:rPr>
      </w:pPr>
    </w:p>
    <w:p>
      <w:pPr>
        <w:ind w:left="180" w:right="280" w:hanging="172"/>
        <w:spacing w:after="0" w:line="255" w:lineRule="auto"/>
        <w:tabs>
          <w:tab w:leader="none" w:pos="180" w:val="left"/>
        </w:tabs>
        <w:numPr>
          <w:ilvl w:val="0"/>
          <w:numId w:val="47"/>
        </w:numPr>
        <w:rPr>
          <w:rFonts w:ascii="Arial" w:cs="Arial" w:eastAsia="Arial" w:hAnsi="Arial"/>
          <w:sz w:val="9"/>
          <w:szCs w:val="9"/>
          <w:color w:val="auto"/>
        </w:rPr>
      </w:pPr>
      <w:r>
        <w:rPr>
          <w:rFonts w:ascii="Arial" w:cs="Arial" w:eastAsia="Arial" w:hAnsi="Arial"/>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on the Exhibit Index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520" w:type="dxa"/>
            <w:vAlign w:val="bottom"/>
          </w:tcPr>
          <w:p>
            <w:pPr>
              <w:ind w:left="140"/>
              <w:spacing w:after="0"/>
              <w:rPr>
                <w:sz w:val="20"/>
                <w:szCs w:val="20"/>
                <w:color w:val="auto"/>
              </w:rPr>
            </w:pPr>
            <w:r>
              <w:rPr>
                <w:rFonts w:ascii="Arial" w:cs="Arial" w:eastAsia="Arial" w:hAnsi="Arial"/>
                <w:sz w:val="18"/>
                <w:szCs w:val="18"/>
                <w:color w:val="auto"/>
              </w:rPr>
              <w:t>April 23, 2018</w:t>
            </w:r>
          </w:p>
        </w:tc>
        <w:tc>
          <w:tcPr>
            <w:tcW w:w="5180" w:type="dxa"/>
            <w:vAlign w:val="bottom"/>
          </w:tcPr>
          <w:p>
            <w:pPr>
              <w:ind w:left="20"/>
              <w:spacing w:after="0"/>
              <w:rPr>
                <w:sz w:val="20"/>
                <w:szCs w:val="20"/>
                <w:color w:val="auto"/>
              </w:rPr>
            </w:pPr>
            <w:r>
              <w:rPr>
                <w:rFonts w:ascii="Arial" w:cs="Arial" w:eastAsia="Arial" w:hAnsi="Arial"/>
                <w:sz w:val="18"/>
                <w:szCs w:val="18"/>
                <w:color w:val="auto"/>
              </w:rPr>
              <w:t>Bank of Hawaii Corporation</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Arial" w:cs="Arial" w:eastAsia="Arial" w:hAnsi="Arial"/>
                <w:sz w:val="18"/>
                <w:szCs w:val="18"/>
                <w:color w:val="auto"/>
              </w:rPr>
              <w:t>By:</w:t>
            </w:r>
          </w:p>
        </w:tc>
        <w:tc>
          <w:tcPr>
            <w:tcW w:w="5180" w:type="dxa"/>
            <w:vAlign w:val="bottom"/>
          </w:tcPr>
          <w:p>
            <w:pPr>
              <w:ind w:left="380"/>
              <w:spacing w:after="0"/>
              <w:rPr>
                <w:sz w:val="20"/>
                <w:szCs w:val="20"/>
                <w:color w:val="auto"/>
              </w:rPr>
            </w:pPr>
            <w:r>
              <w:rPr>
                <w:rFonts w:ascii="Arial" w:cs="Arial" w:eastAsia="Arial" w:hAnsi="Arial"/>
                <w:sz w:val="18"/>
                <w:szCs w:val="18"/>
                <w:color w:val="auto"/>
              </w:rPr>
              <w:t>/s/ Peter S. Ho</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Peter S. Ho</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Chairman of the Board,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Chief Executive Officer, and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President</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Arial" w:cs="Arial" w:eastAsia="Arial" w:hAnsi="Arial"/>
                <w:sz w:val="18"/>
                <w:szCs w:val="18"/>
                <w:color w:val="auto"/>
              </w:rPr>
              <w:t>By:</w:t>
            </w:r>
          </w:p>
        </w:tc>
        <w:tc>
          <w:tcPr>
            <w:tcW w:w="5180" w:type="dxa"/>
            <w:vAlign w:val="bottom"/>
          </w:tcPr>
          <w:p>
            <w:pPr>
              <w:ind w:left="380"/>
              <w:spacing w:after="0"/>
              <w:rPr>
                <w:sz w:val="20"/>
                <w:szCs w:val="20"/>
                <w:color w:val="auto"/>
              </w:rPr>
            </w:pPr>
            <w:r>
              <w:rPr>
                <w:rFonts w:ascii="Arial" w:cs="Arial" w:eastAsia="Arial" w:hAnsi="Arial"/>
                <w:sz w:val="18"/>
                <w:szCs w:val="18"/>
                <w:color w:val="auto"/>
              </w:rPr>
              <w:t>/s/ Dean Y. Shigemura</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Dean Y. Shigemura</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80"/>
          </w:cols>
          <w:pgMar w:left="240" w:top="130" w:right="37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775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gridSpan w:val="2"/>
          </w:tcPr>
          <w:p>
            <w:pPr>
              <w:jc w:val="right"/>
              <w:ind w:right="360"/>
              <w:spacing w:after="0"/>
              <w:rPr>
                <w:rFonts w:ascii="Arial" w:cs="Arial" w:eastAsia="Arial" w:hAnsi="Arial"/>
                <w:sz w:val="18"/>
                <w:szCs w:val="18"/>
                <w:color w:val="0000FF"/>
                <w:w w:val="85"/>
              </w:rPr>
            </w:pPr>
            <w:hyperlink w:anchor="page8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0620" w:type="dxa"/>
            <w:vAlign w:val="bottom"/>
          </w:tcPr>
          <w:p>
            <w:pPr>
              <w:ind w:left="380"/>
              <w:spacing w:after="0"/>
              <w:rPr>
                <w:sz w:val="20"/>
                <w:szCs w:val="20"/>
                <w:color w:val="auto"/>
              </w:rPr>
            </w:pPr>
            <w:r>
              <w:rPr>
                <w:rFonts w:ascii="Arial" w:cs="Arial" w:eastAsia="Arial" w:hAnsi="Arial"/>
                <w:sz w:val="18"/>
                <w:szCs w:val="18"/>
                <w:color w:val="auto"/>
                <w:w w:val="92"/>
              </w:rPr>
              <w:t>Certification of Chief Executive Officer Pursuant to Rule 13a-14(a) of the Securities Exchange Act of 1934, as Amended, Adopted Pursuant</w:t>
            </w:r>
          </w:p>
        </w:tc>
      </w:tr>
      <w:tr>
        <w:trPr>
          <w:trHeight w:val="237"/>
        </w:trPr>
        <w:tc>
          <w:tcPr>
            <w:tcW w:w="30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to Section 302 of the Sarbanes Oxley Act of 2002</w:t>
            </w:r>
          </w:p>
        </w:tc>
      </w:tr>
      <w:tr>
        <w:trPr>
          <w:trHeight w:val="500"/>
        </w:trPr>
        <w:tc>
          <w:tcPr>
            <w:tcW w:w="680" w:type="dxa"/>
            <w:vAlign w:val="bottom"/>
            <w:gridSpan w:val="2"/>
          </w:tcPr>
          <w:p>
            <w:pPr>
              <w:jc w:val="right"/>
              <w:ind w:right="360"/>
              <w:spacing w:after="0"/>
              <w:rPr>
                <w:rFonts w:ascii="Arial" w:cs="Arial" w:eastAsia="Arial" w:hAnsi="Arial"/>
                <w:sz w:val="18"/>
                <w:szCs w:val="18"/>
                <w:color w:val="0000FF"/>
                <w:w w:val="85"/>
              </w:rPr>
            </w:pPr>
            <w:hyperlink w:anchor="page8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0620" w:type="dxa"/>
            <w:vAlign w:val="bottom"/>
          </w:tcPr>
          <w:p>
            <w:pPr>
              <w:ind w:left="38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Amended, Adopted Pursuant to</w:t>
            </w:r>
          </w:p>
        </w:tc>
      </w:tr>
      <w:tr>
        <w:trPr>
          <w:trHeight w:val="237"/>
        </w:trPr>
        <w:tc>
          <w:tcPr>
            <w:tcW w:w="30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Section 302 of the Sarbanes Oxley Act of 2002</w:t>
            </w:r>
          </w:p>
        </w:tc>
      </w:tr>
    </w:tbl>
    <w:p>
      <w:pPr>
        <w:spacing w:after="0" w:line="310" w:lineRule="exact"/>
        <w:rPr>
          <w:sz w:val="20"/>
          <w:szCs w:val="20"/>
          <w:color w:val="auto"/>
        </w:rPr>
      </w:pPr>
    </w:p>
    <w:p>
      <w:pPr>
        <w:ind w:left="1100" w:right="60" w:hanging="1065"/>
        <w:spacing w:after="0" w:line="277" w:lineRule="auto"/>
        <w:tabs>
          <w:tab w:leader="none" w:pos="1100" w:val="left"/>
        </w:tabs>
        <w:numPr>
          <w:ilvl w:val="0"/>
          <w:numId w:val="48"/>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79" w:lineRule="exact"/>
        <w:rPr>
          <w:sz w:val="20"/>
          <w:szCs w:val="20"/>
          <w:color w:val="auto"/>
        </w:rPr>
      </w:pPr>
    </w:p>
    <w:p>
      <w:pPr>
        <w:ind w:left="40"/>
        <w:spacing w:after="0"/>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240" w:top="130" w:right="31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Peter S. Ho, certify that:</w:t>
      </w:r>
    </w:p>
    <w:p>
      <w:pPr>
        <w:spacing w:after="0" w:line="144"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23, 2018</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Dean Y. Shigemura, certify that:</w:t>
      </w:r>
    </w:p>
    <w:p>
      <w:pPr>
        <w:spacing w:after="0" w:line="144"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23, 2018</w:t>
      </w:r>
      <w:r>
        <w:rPr>
          <w:sz w:val="20"/>
          <w:szCs w:val="20"/>
          <w:color w:val="auto"/>
        </w:rPr>
        <w:tab/>
      </w:r>
      <w:r>
        <w:rPr>
          <w:rFonts w:ascii="Arial" w:cs="Arial" w:eastAsia="Arial" w:hAnsi="Arial"/>
          <w:sz w:val="16"/>
          <w:szCs w:val="16"/>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pursuant to 18 U.S.C. Section 1350, as adopted pursuant to Section 906 of the Sarbanes-Oxley Act of 2002, that the Quarterly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10-Q of Bank of Hawaii Corporation (the “Company”) for the quarter ended March 31, 2018 (the “Report”):</w:t>
      </w:r>
    </w:p>
    <w:p>
      <w:pPr>
        <w:spacing w:after="0" w:line="130"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as applicable, of the Securities Exchange Act of 1934, as amended;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23, 2018</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1"/>
      <w:numFmt w:val="bullet"/>
      <w:start w:val="1"/>
    </w:lvl>
  </w:abstractNum>
  <w:abstractNum w:abstractNumId="3">
    <w:nsid w:val="71F32454"/>
    <w:multiLevelType w:val="hybridMultilevel"/>
    <w:lvl w:ilvl="0">
      <w:lvlJc w:val="left"/>
      <w:lvlText w:val="1"/>
      <w:numFmt w:val="bullet"/>
      <w:start w:val="1"/>
    </w:lvl>
  </w:abstractNum>
  <w:abstractNum w:abstractNumId="4">
    <w:nsid w:val="2CA88611"/>
    <w:multiLevelType w:val="hybridMultilevel"/>
    <w:lvl w:ilvl="0">
      <w:lvlJc w:val="left"/>
      <w:lvlText w:val="1"/>
      <w:numFmt w:val="bullet"/>
      <w:start w:val="1"/>
    </w:lvl>
  </w:abstractNum>
  <w:abstractNum w:abstractNumId="5">
    <w:nsid w:val="836C40E"/>
    <w:multiLevelType w:val="hybridMultilevel"/>
    <w:lvl w:ilvl="0">
      <w:lvlJc w:val="left"/>
      <w:lvlText w:val="2"/>
      <w:numFmt w:val="bullet"/>
      <w:start w:val="1"/>
    </w:lvl>
  </w:abstractNum>
  <w:abstractNum w:abstractNumId="6">
    <w:nsid w:val="2901D82"/>
    <w:multiLevelType w:val="hybridMultilevel"/>
    <w:lvl w:ilvl="0">
      <w:lvlJc w:val="left"/>
      <w:lvlText w:val="1"/>
      <w:numFmt w:val="bullet"/>
      <w:start w:val="1"/>
    </w:lvl>
  </w:abstractNum>
  <w:abstractNum w:abstractNumId="7">
    <w:nsid w:val="3A95F874"/>
    <w:multiLevelType w:val="hybridMultilevel"/>
    <w:lvl w:ilvl="0">
      <w:lvlJc w:val="left"/>
      <w:lvlText w:val="1"/>
      <w:numFmt w:val="bullet"/>
      <w:start w:val="1"/>
    </w:lvl>
  </w:abstractNum>
  <w:abstractNum w:abstractNumId="8">
    <w:nsid w:val="8138641"/>
    <w:multiLevelType w:val="hybridMultilevel"/>
    <w:lvl w:ilvl="0">
      <w:lvlJc w:val="left"/>
      <w:lvlText w:val="1"/>
      <w:numFmt w:val="bullet"/>
      <w:start w:val="1"/>
    </w:lvl>
  </w:abstractNum>
  <w:abstractNum w:abstractNumId="9">
    <w:nsid w:val="1E7FF521"/>
    <w:multiLevelType w:val="hybridMultilevel"/>
    <w:lvl w:ilvl="0">
      <w:lvlJc w:val="left"/>
      <w:lvlText w:val="1"/>
      <w:numFmt w:val="bullet"/>
      <w:start w:val="1"/>
    </w:lvl>
  </w:abstractNum>
  <w:abstractNum w:abstractNumId="10">
    <w:nsid w:val="7C3DBD3D"/>
    <w:multiLevelType w:val="hybridMultilevel"/>
    <w:lvl w:ilvl="0">
      <w:lvlJc w:val="left"/>
      <w:lvlText w:val="1"/>
      <w:numFmt w:val="bullet"/>
      <w:start w:val="1"/>
    </w:lvl>
  </w:abstractNum>
  <w:abstractNum w:abstractNumId="11">
    <w:nsid w:val="737B8DDC"/>
    <w:multiLevelType w:val="hybridMultilevel"/>
    <w:lvl w:ilvl="0">
      <w:lvlJc w:val="left"/>
      <w:lvlText w:val="2"/>
      <w:numFmt w:val="bullet"/>
      <w:start w:val="1"/>
    </w:lvl>
  </w:abstractNum>
  <w:abstractNum w:abstractNumId="12">
    <w:nsid w:val="6CEAF087"/>
    <w:multiLevelType w:val="hybridMultilevel"/>
    <w:lvl w:ilvl="0">
      <w:lvlJc w:val="left"/>
      <w:lvlText w:val="1"/>
      <w:numFmt w:val="bullet"/>
      <w:start w:val="1"/>
    </w:lvl>
  </w:abstractNum>
  <w:abstractNum w:abstractNumId="13">
    <w:nsid w:val="22221A70"/>
    <w:multiLevelType w:val="hybridMultilevel"/>
    <w:lvl w:ilvl="0">
      <w:lvlJc w:val="left"/>
      <w:lvlText w:val="1"/>
      <w:numFmt w:val="bullet"/>
      <w:start w:val="1"/>
    </w:lvl>
  </w:abstractNum>
  <w:abstractNum w:abstractNumId="14">
    <w:nsid w:val="4516DDE9"/>
    <w:multiLevelType w:val="hybridMultilevel"/>
    <w:lvl w:ilvl="0">
      <w:lvlJc w:val="left"/>
      <w:lvlText w:val="1"/>
      <w:numFmt w:val="bullet"/>
      <w:start w:val="1"/>
    </w:lvl>
  </w:abstractNum>
  <w:abstractNum w:abstractNumId="15">
    <w:nsid w:val="3006C83E"/>
    <w:multiLevelType w:val="hybridMultilevel"/>
    <w:lvl w:ilvl="0">
      <w:lvlJc w:val="left"/>
      <w:lvlText w:val="2"/>
      <w:numFmt w:val="bullet"/>
      <w:start w:val="1"/>
    </w:lvl>
  </w:abstractNum>
  <w:abstractNum w:abstractNumId="16">
    <w:nsid w:val="614FD4A1"/>
    <w:multiLevelType w:val="hybridMultilevel"/>
    <w:lvl w:ilvl="0">
      <w:lvlJc w:val="left"/>
      <w:lvlText w:val="1"/>
      <w:numFmt w:val="bullet"/>
      <w:start w:val="1"/>
    </w:lvl>
  </w:abstractNum>
  <w:abstractNum w:abstractNumId="17">
    <w:nsid w:val="419AC241"/>
    <w:multiLevelType w:val="hybridMultilevel"/>
    <w:lvl w:ilvl="0">
      <w:lvlJc w:val="left"/>
      <w:lvlText w:val="1"/>
      <w:numFmt w:val="bullet"/>
      <w:start w:val="1"/>
    </w:lvl>
  </w:abstractNum>
  <w:abstractNum w:abstractNumId="18">
    <w:nsid w:val="5577F8E1"/>
    <w:multiLevelType w:val="hybridMultilevel"/>
    <w:lvl w:ilvl="0">
      <w:lvlJc w:val="left"/>
      <w:lvlText w:val="1"/>
      <w:numFmt w:val="bullet"/>
      <w:start w:val="1"/>
    </w:lvl>
  </w:abstractNum>
  <w:abstractNum w:abstractNumId="19">
    <w:nsid w:val="440BADFC"/>
    <w:multiLevelType w:val="hybridMultilevel"/>
    <w:lvl w:ilvl="0">
      <w:lvlJc w:val="left"/>
      <w:lvlText w:val="2"/>
      <w:numFmt w:val="bullet"/>
      <w:start w:val="1"/>
    </w:lvl>
  </w:abstractNum>
  <w:abstractNum w:abstractNumId="20">
    <w:nsid w:val="5072367"/>
    <w:multiLevelType w:val="hybridMultilevel"/>
    <w:lvl w:ilvl="0">
      <w:lvlJc w:val="left"/>
      <w:lvlText w:val="1"/>
      <w:numFmt w:val="bullet"/>
      <w:start w:val="1"/>
    </w:lvl>
  </w:abstractNum>
  <w:abstractNum w:abstractNumId="21">
    <w:nsid w:val="3804823E"/>
    <w:multiLevelType w:val="hybridMultilevel"/>
    <w:lvl w:ilvl="0">
      <w:lvlJc w:val="left"/>
      <w:lvlText w:val="2"/>
      <w:numFmt w:val="bullet"/>
      <w:start w:val="1"/>
    </w:lvl>
  </w:abstractNum>
  <w:abstractNum w:abstractNumId="22">
    <w:nsid w:val="77465F01"/>
    <w:multiLevelType w:val="hybridMultilevel"/>
    <w:lvl w:ilvl="0">
      <w:lvlJc w:val="left"/>
      <w:lvlText w:val="1"/>
      <w:numFmt w:val="bullet"/>
      <w:start w:val="1"/>
    </w:lvl>
  </w:abstractNum>
  <w:abstractNum w:abstractNumId="23">
    <w:nsid w:val="7724C67E"/>
    <w:multiLevelType w:val="hybridMultilevel"/>
    <w:lvl w:ilvl="0">
      <w:lvlJc w:val="left"/>
      <w:lvlText w:val="2"/>
      <w:numFmt w:val="bullet"/>
      <w:start w:val="1"/>
    </w:lvl>
  </w:abstractNum>
  <w:abstractNum w:abstractNumId="24">
    <w:nsid w:val="5C482A97"/>
    <w:multiLevelType w:val="hybridMultilevel"/>
    <w:lvl w:ilvl="0">
      <w:lvlJc w:val="left"/>
      <w:lvlText w:val="%1)"/>
      <w:numFmt w:val="decimal"/>
      <w:start w:val="10"/>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bullet"/>
      <w:start w:val="1"/>
    </w:lvl>
  </w:abstractNum>
  <w:abstractNum w:abstractNumId="29">
    <w:nsid w:val="580BD78F"/>
    <w:multiLevelType w:val="hybridMultilevel"/>
    <w:lvl w:ilvl="0">
      <w:lvlJc w:val="left"/>
      <w:lvlText w:val="2"/>
      <w:numFmt w:val="bullet"/>
      <w:start w:val="1"/>
    </w:lvl>
  </w:abstractNum>
  <w:abstractNum w:abstractNumId="30">
    <w:nsid w:val="153EA438"/>
    <w:multiLevelType w:val="hybridMultilevel"/>
    <w:lvl w:ilvl="0">
      <w:lvlJc w:val="left"/>
      <w:lvlText w:val="3"/>
      <w:numFmt w:val="bullet"/>
      <w:start w:val="1"/>
    </w:lvl>
  </w:abstractNum>
  <w:abstractNum w:abstractNumId="31">
    <w:nsid w:val="3855585C"/>
    <w:multiLevelType w:val="hybridMultilevel"/>
    <w:lvl w:ilvl="0">
      <w:lvlJc w:val="left"/>
      <w:lvlText w:val="4"/>
      <w:numFmt w:val="bullet"/>
      <w:start w:val="1"/>
    </w:lvl>
  </w:abstractNum>
  <w:abstractNum w:abstractNumId="32">
    <w:nsid w:val="70A64E2A"/>
    <w:multiLevelType w:val="hybridMultilevel"/>
    <w:lvl w:ilvl="0">
      <w:lvlJc w:val="left"/>
      <w:lvlText w:val="1"/>
      <w:numFmt w:val="bullet"/>
      <w:start w:val="1"/>
    </w:lvl>
  </w:abstractNum>
  <w:abstractNum w:abstractNumId="33">
    <w:nsid w:val="6A2342EC"/>
    <w:multiLevelType w:val="hybridMultilevel"/>
    <w:lvl w:ilvl="0">
      <w:lvlJc w:val="left"/>
      <w:lvlText w:val="2"/>
      <w:numFmt w:val="bullet"/>
      <w:start w:val="1"/>
    </w:lvl>
  </w:abstractNum>
  <w:abstractNum w:abstractNumId="34">
    <w:nsid w:val="2A487CB0"/>
    <w:multiLevelType w:val="hybridMultilevel"/>
    <w:lvl w:ilvl="0">
      <w:lvlJc w:val="left"/>
      <w:lvlText w:val="3"/>
      <w:numFmt w:val="bullet"/>
      <w:start w:val="1"/>
    </w:lvl>
  </w:abstractNum>
  <w:abstractNum w:abstractNumId="35">
    <w:nsid w:val="1D4ED43B"/>
    <w:multiLevelType w:val="hybridMultilevel"/>
    <w:lvl w:ilvl="0">
      <w:lvlJc w:val="left"/>
      <w:lvlText w:val="1"/>
      <w:numFmt w:val="bullet"/>
      <w:start w:val="1"/>
    </w:lvl>
  </w:abstractNum>
  <w:abstractNum w:abstractNumId="36">
    <w:nsid w:val="725A06FB"/>
    <w:multiLevelType w:val="hybridMultilevel"/>
    <w:lvl w:ilvl="0">
      <w:lvlJc w:val="left"/>
      <w:lvlText w:val="2"/>
      <w:numFmt w:val="bullet"/>
      <w:start w:val="1"/>
    </w:lvl>
  </w:abstractNum>
  <w:abstractNum w:abstractNumId="37">
    <w:nsid w:val="2CD89A32"/>
    <w:multiLevelType w:val="hybridMultilevel"/>
    <w:lvl w:ilvl="0">
      <w:lvlJc w:val="left"/>
      <w:lvlText w:val="1"/>
      <w:numFmt w:val="bullet"/>
      <w:start w:val="1"/>
    </w:lvl>
  </w:abstractNum>
  <w:abstractNum w:abstractNumId="38">
    <w:nsid w:val="57E4CCAF"/>
    <w:multiLevelType w:val="hybridMultilevel"/>
    <w:lvl w:ilvl="0">
      <w:lvlJc w:val="left"/>
      <w:lvlText w:val="2"/>
      <w:numFmt w:val="bullet"/>
      <w:start w:val="1"/>
    </w:lvl>
  </w:abstractNum>
  <w:abstractNum w:abstractNumId="39">
    <w:nsid w:val="7A6D8D3C"/>
    <w:multiLevelType w:val="hybridMultilevel"/>
    <w:lvl w:ilvl="0">
      <w:lvlJc w:val="left"/>
      <w:lvlText w:val="3"/>
      <w:numFmt w:val="bullet"/>
      <w:start w:val="1"/>
    </w:lvl>
  </w:abstractNum>
  <w:abstractNum w:abstractNumId="40">
    <w:nsid w:val="4B588F54"/>
    <w:multiLevelType w:val="hybridMultilevel"/>
    <w:lvl w:ilvl="0">
      <w:lvlJc w:val="left"/>
      <w:lvlText w:val="1"/>
      <w:numFmt w:val="bullet"/>
      <w:start w:val="1"/>
    </w:lvl>
  </w:abstractNum>
  <w:abstractNum w:abstractNumId="41">
    <w:nsid w:val="542289EC"/>
    <w:multiLevelType w:val="hybridMultilevel"/>
    <w:lvl w:ilvl="0">
      <w:lvlJc w:val="left"/>
      <w:lvlText w:val="2"/>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bullet"/>
      <w:start w:val="1"/>
    </w:lvl>
  </w:abstractNum>
  <w:abstractNum w:abstractNumId="44">
    <w:nsid w:val="7644A45C"/>
    <w:multiLevelType w:val="hybridMultilevel"/>
    <w:lvl w:ilvl="0">
      <w:lvlJc w:val="left"/>
      <w:lvlText w:val="2"/>
      <w:numFmt w:val="bullet"/>
      <w:start w:val="1"/>
    </w:lvl>
  </w:abstractNum>
  <w:abstractNum w:abstractNumId="45">
    <w:nsid w:val="32FFF902"/>
    <w:multiLevelType w:val="hybridMultilevel"/>
    <w:lvl w:ilvl="0">
      <w:lvlJc w:val="left"/>
      <w:lvlText w:val="1"/>
      <w:numFmt w:val="bullet"/>
      <w:start w:val="1"/>
    </w:lvl>
  </w:abstractNum>
  <w:abstractNum w:abstractNumId="46">
    <w:nsid w:val="684A481A"/>
    <w:multiLevelType w:val="hybridMultilevel"/>
    <w:lvl w:ilvl="0">
      <w:lvlJc w:val="left"/>
      <w:lvlText w:val="2"/>
      <w:numFmt w:val="bullet"/>
      <w:start w:val="1"/>
    </w:lvl>
  </w:abstractNum>
  <w:abstractNum w:abstractNumId="47">
    <w:nsid w:val="579478FE"/>
    <w:multiLevelType w:val="hybridMultilevel"/>
    <w:lvl w:ilvl="0">
      <w:lvlJc w:val="left"/>
      <w:lvlText w:val="%1"/>
      <w:numFmt w:val="decimal"/>
      <w:start w:val="32"/>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2019-12-28T22:55:57Z</dcterms:created>
  <dcterms:modified xsi:type="dcterms:W3CDTF">2019-12-28T22:55:57Z</dcterms:modified>
</cp:coreProperties>
</file>