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542925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1-6887</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99-0148992</w:t>
            </w:r>
          </w:p>
        </w:tc>
        <w:tc>
          <w:tcPr>
            <w:tcW w:w="0" w:type="dxa"/>
            <w:vAlign w:val="bottom"/>
          </w:tcPr>
          <w:p>
            <w:pPr>
              <w:spacing w:after="0"/>
              <w:rPr>
                <w:sz w:val="1"/>
                <w:szCs w:val="1"/>
                <w:color w:val="auto"/>
              </w:rPr>
            </w:pPr>
          </w:p>
        </w:tc>
      </w:tr>
      <w:tr>
        <w:trPr>
          <w:trHeight w:val="243"/>
        </w:trPr>
        <w:tc>
          <w:tcPr>
            <w:tcW w:w="378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(State of incorporation)</w:t>
            </w: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65"/>
        </w:trPr>
        <w:tc>
          <w:tcPr>
            <w:tcW w:w="37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1280" w:type="dxa"/>
            <w:vAlign w:val="bottom"/>
          </w:tcPr>
          <w:p>
            <w:pPr>
              <w:jc w:val="center"/>
              <w:ind w:right="522"/>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64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96813</w:t>
            </w:r>
          </w:p>
        </w:tc>
        <w:tc>
          <w:tcPr>
            <w:tcW w:w="0" w:type="dxa"/>
            <w:vAlign w:val="bottom"/>
          </w:tcPr>
          <w:p>
            <w:pPr>
              <w:spacing w:after="0"/>
              <w:rPr>
                <w:sz w:val="1"/>
                <w:szCs w:val="1"/>
                <w:color w:val="auto"/>
              </w:rPr>
            </w:pPr>
          </w:p>
        </w:tc>
      </w:tr>
      <w:tr>
        <w:trPr>
          <w:trHeight w:val="212"/>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80" w:type="dxa"/>
            <w:vAlign w:val="bottom"/>
          </w:tcPr>
          <w:p>
            <w:pPr>
              <w:jc w:val="center"/>
              <w:ind w:right="502"/>
              <w:spacing w:after="0"/>
              <w:rPr>
                <w:sz w:val="20"/>
                <w:szCs w:val="20"/>
                <w:color w:val="auto"/>
              </w:rPr>
            </w:pPr>
            <w:r>
              <w:rPr>
                <w:rFonts w:ascii="Times New Roman" w:cs="Times New Roman" w:eastAsia="Times New Roman" w:hAnsi="Times New Roman"/>
                <w:sz w:val="14"/>
                <w:szCs w:val="14"/>
                <w:color w:val="auto"/>
              </w:rPr>
              <w:t>(City)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color w:val="auto"/>
              </w:rPr>
              <w:t>(State)</w:t>
            </w:r>
          </w:p>
        </w:tc>
        <w:tc>
          <w:tcPr>
            <w:tcW w:w="3640" w:type="dxa"/>
            <w:vAlign w:val="bottom"/>
          </w:tcPr>
          <w:p>
            <w:pPr>
              <w:jc w:val="center"/>
              <w:ind w:left="88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07"/>
        </w:trPr>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1-888-643-3888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Title of each class</w:t>
            </w:r>
          </w:p>
        </w:tc>
        <w:tc>
          <w:tcPr>
            <w:tcW w:w="1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jc w:val="center"/>
              <w:ind w:right="5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33"/>
        </w:trPr>
        <w:tc>
          <w:tcPr>
            <w:tcW w:w="506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4.375% Fixed Rate Non-Cumulative Perpetual Preferred Stock, Series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6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BOH.PRB</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8.000% Fixed Rate Non-Cumulative Perpetual Preferred Stock, Series 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4"/>
          <w:szCs w:val="24"/>
          <w:color w:val="auto"/>
        </w:rPr>
      </w:pPr>
    </w:p>
    <w:p>
      <w:pPr>
        <w:spacing w:after="0"/>
        <w:tabs>
          <w:tab w:leader="none" w:pos="964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87" w:lineRule="exact"/>
        <w:rPr>
          <w:sz w:val="24"/>
          <w:szCs w:val="24"/>
          <w:color w:val="auto"/>
        </w:rPr>
      </w:pPr>
    </w:p>
    <w:p>
      <w:pPr>
        <w:ind w:right="580"/>
        <w:spacing w:after="0" w:line="26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22, 2025, there were 39,767,508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8"/>
        </w:trPr>
        <w:tc>
          <w:tcPr>
            <w:tcW w:w="20" w:type="dxa"/>
            <w:vAlign w:val="bottom"/>
          </w:tcPr>
          <w:p>
            <w:pPr>
              <w:spacing w:after="0"/>
              <w:rPr>
                <w:sz w:val="24"/>
                <w:szCs w:val="24"/>
                <w:color w:val="auto"/>
              </w:rPr>
            </w:pPr>
          </w:p>
        </w:tc>
        <w:tc>
          <w:tcPr>
            <w:tcW w:w="232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b w:val="1"/>
                <w:bCs w:val="1"/>
                <w:color w:val="0E32E1"/>
                <w:w w:val="99"/>
              </w:rPr>
              <w:t>Part I - Financial Information</w:t>
            </w:r>
          </w:p>
        </w:tc>
        <w:tc>
          <w:tcPr>
            <w:tcW w:w="7300" w:type="dxa"/>
            <w:vAlign w:val="bottom"/>
            <w:gridSpan w:val="15"/>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Financial Statements (Unaudited)</w:t>
            </w:r>
          </w:p>
        </w:tc>
        <w:tc>
          <w:tcPr>
            <w:tcW w:w="6000" w:type="dxa"/>
            <w:vAlign w:val="bottom"/>
            <w:gridSpan w:val="10"/>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6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Consolidated Statements of Condition - June 30, 2025 and December 31, 2024</w:t>
            </w:r>
          </w:p>
        </w:tc>
        <w:tc>
          <w:tcPr>
            <w:tcW w:w="2760" w:type="dxa"/>
            <w:vAlign w:val="bottom"/>
            <w:gridSpan w:val="6"/>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0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Consolidated Statements of Income - Three and six months ended June 30, 2025 and 2024</w:t>
            </w:r>
          </w:p>
        </w:tc>
        <w:tc>
          <w:tcPr>
            <w:tcW w:w="1920" w:type="dxa"/>
            <w:vAlign w:val="bottom"/>
            <w:gridSpan w:val="3"/>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Income - Three and six months ended June 30, 2025 and 2024</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80" w:type="dxa"/>
            <w:vAlign w:val="bottom"/>
            <w:tcBorders>
              <w:top w:val="single" w:sz="8" w:color="0E32E1"/>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Consolidated Statements of Shareholders’ Equity - Three and six months ended June 30, 2025 and 2024</w:t>
            </w:r>
          </w:p>
        </w:tc>
        <w:tc>
          <w:tcPr>
            <w:tcW w:w="180" w:type="dxa"/>
            <w:vAlign w:val="bottom"/>
            <w:tcBorders>
              <w:top w:val="single" w:sz="8" w:color="0E32E1"/>
            </w:tcBorders>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Consolidated Statements of Cash Flows - Six months ended June 30, 2025 and 2024</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6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rPr>
              <w:t>Notes to Consolidated Financial Statements</w:t>
            </w:r>
          </w:p>
        </w:tc>
        <w:tc>
          <w:tcPr>
            <w:tcW w:w="2360" w:type="dxa"/>
            <w:vAlign w:val="bottom"/>
            <w:gridSpan w:val="5"/>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1960" w:type="dxa"/>
            <w:vAlign w:val="bottom"/>
            <w:gridSpan w:val="4"/>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42</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4060" w:type="dxa"/>
            <w:vAlign w:val="bottom"/>
            <w:gridSpan w:val="7"/>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66</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E32E1"/>
              </w:rPr>
              <w:t>Part II - Other Information</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400" w:type="dxa"/>
            <w:vAlign w:val="bottom"/>
            <w:tcBorders>
              <w:top w:val="single" w:sz="8" w:color="0E32E1"/>
            </w:tcBorders>
            <w:gridSpan w:val="3"/>
          </w:tcPr>
          <w:p>
            <w:pPr>
              <w:spacing w:after="0"/>
              <w:rPr>
                <w:sz w:val="24"/>
                <w:szCs w:val="24"/>
                <w:color w:val="auto"/>
              </w:rPr>
            </w:pPr>
          </w:p>
        </w:tc>
        <w:tc>
          <w:tcPr>
            <w:tcW w:w="7100" w:type="dxa"/>
            <w:vAlign w:val="bottom"/>
            <w:gridSpan w:val="13"/>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E32E1"/>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8"/>
              </w:rPr>
              <w:t>Defaults Upon Senior Securities</w:t>
            </w:r>
          </w:p>
        </w:tc>
        <w:tc>
          <w:tcPr>
            <w:tcW w:w="2020" w:type="dxa"/>
            <w:vAlign w:val="bottom"/>
            <w:tcBorders>
              <w:top w:val="single" w:sz="8" w:color="0E32E1"/>
            </w:tcBorders>
            <w:gridSpan w:val="3"/>
          </w:tcPr>
          <w:p>
            <w:pPr>
              <w:spacing w:after="0"/>
              <w:rPr>
                <w:sz w:val="24"/>
                <w:szCs w:val="24"/>
                <w:color w:val="auto"/>
              </w:rPr>
            </w:pPr>
          </w:p>
        </w:tc>
        <w:tc>
          <w:tcPr>
            <w:tcW w:w="4080" w:type="dxa"/>
            <w:vAlign w:val="bottom"/>
            <w:gridSpan w:val="8"/>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660" w:type="dxa"/>
            <w:vAlign w:val="bottom"/>
            <w:gridSpan w:val="12"/>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120" w:type="dxa"/>
            <w:vAlign w:val="bottom"/>
            <w:gridSpan w:val="14"/>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600" w:type="dxa"/>
            <w:vAlign w:val="bottom"/>
            <w:tcBorders>
              <w:top w:val="single" w:sz="8" w:color="0E32E1"/>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763"/>
        </w:trPr>
        <w:tc>
          <w:tcPr>
            <w:tcW w:w="20" w:type="dxa"/>
            <w:vAlign w:val="bottom"/>
          </w:tcPr>
          <w:p>
            <w:pPr>
              <w:spacing w:after="0"/>
              <w:rPr>
                <w:sz w:val="24"/>
                <w:szCs w:val="24"/>
                <w:color w:val="auto"/>
              </w:rPr>
            </w:pPr>
          </w:p>
        </w:tc>
        <w:tc>
          <w:tcPr>
            <w:tcW w:w="76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5660" w:type="dxa"/>
            <w:vAlign w:val="bottom"/>
            <w:gridSpan w:val="12"/>
          </w:tcPr>
          <w:p>
            <w:pPr>
              <w:ind w:left="43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680" w:type="dxa"/>
            <w:vAlign w:val="bottom"/>
          </w:tcPr>
          <w:p>
            <w:pPr>
              <w:spacing w:after="0"/>
              <w:rPr>
                <w:sz w:val="16"/>
                <w:szCs w:val="16"/>
                <w:color w:val="auto"/>
              </w:rPr>
            </w:pPr>
          </w:p>
        </w:tc>
        <w:tc>
          <w:tcPr>
            <w:tcW w:w="16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768,683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763,571</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3,111,504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2,689,528</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Held-to-Maturity (Fair Value of $3,754,794 and $3,820,882)</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4,441,353</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4,618,543</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14,002,178</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14,075,980</w:t>
            </w:r>
          </w:p>
        </w:tc>
      </w:tr>
      <w:tr>
        <w:trPr>
          <w:trHeight w:val="193"/>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(148,543)</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(148,528)</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Loans and Leases</w:t>
            </w:r>
          </w:p>
        </w:tc>
        <w:tc>
          <w:tcPr>
            <w:tcW w:w="6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13,853,635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13,927,452</w:t>
            </w:r>
          </w:p>
        </w:tc>
      </w:tr>
      <w:tr>
        <w:trPr>
          <w:trHeight w:val="186"/>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6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192,221</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184,480</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83,594</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80,165</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67,204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66,367</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18,362</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19,199</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31,517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31,517</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488,028</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481,184</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651,784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736,958</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23,709,752</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23,601,114</w:t>
            </w:r>
          </w:p>
        </w:tc>
      </w:tr>
      <w:tr>
        <w:trPr>
          <w:trHeight w:val="20"/>
        </w:trPr>
        <w:tc>
          <w:tcPr>
            <w:tcW w:w="7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5,424,471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5,423,562</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 Demand</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3,855,120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3,784,984</w:t>
            </w:r>
          </w:p>
        </w:tc>
      </w:tr>
      <w:tr>
        <w:trPr>
          <w:trHeight w:val="193"/>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8,481,328</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8,364,916</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3,037,995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3,059,575</w:t>
            </w:r>
          </w:p>
        </w:tc>
      </w:tr>
      <w:tr>
        <w:trPr>
          <w:trHeight w:val="186"/>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6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20,798,914</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20,633,037</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6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558,226</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558,274</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92,381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88,794</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Benefits Payable</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23,528</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23,760</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26,732</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34,799</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416,864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494,676</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21,966,645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21,933,340</w:t>
            </w:r>
          </w:p>
        </w:tc>
      </w:tr>
      <w:tr>
        <w:trPr>
          <w:trHeight w:val="186"/>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6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(Series A, $.01 par value; authorized 180,000 shares issued and outstanding)</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180,000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(Series B, $.01 par value; authorized 165,000 shares issued and outstanding)</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165,000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($.01 par value; authorized 500,000,000 shares; issued / outstanding: June 30, 2025 - 58,775,870 /</w:t>
            </w: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39,765,375); and December 31, 2024 - 58,765,907 / 39,762,255)</w:t>
            </w:r>
          </w:p>
        </w:tc>
        <w:tc>
          <w:tcPr>
            <w:tcW w:w="6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655,479</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647,403</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(299,194)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(343,389)</w:t>
            </w:r>
          </w:p>
        </w:tc>
      </w:tr>
      <w:tr>
        <w:trPr>
          <w:trHeight w:val="37"/>
        </w:trPr>
        <w:tc>
          <w:tcPr>
            <w:tcW w:w="7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2,158,450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2,133,838</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(Shares: June 30, 2025 - 19,010,495 and December 31, 2024 - 19,003,609)</w:t>
            </w:r>
          </w:p>
        </w:tc>
        <w:tc>
          <w:tcPr>
            <w:tcW w:w="6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(1,117,215)</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(1,115,663)</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6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1,743,107</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1,667,774</w:t>
            </w:r>
          </w:p>
        </w:tc>
      </w:tr>
      <w:tr>
        <w:trPr>
          <w:trHeight w:val="186"/>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23,709,752</w:t>
            </w: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23,601,114</w:t>
            </w:r>
          </w:p>
        </w:tc>
      </w:tr>
      <w:tr>
        <w:trPr>
          <w:trHeight w:val="37"/>
        </w:trPr>
        <w:tc>
          <w:tcPr>
            <w:tcW w:w="7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Fees on Loans and Leases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166,779</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163,208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329,861</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322,544</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on Investment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Available-for-Sale</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27,007</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21,468</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51,375</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43,225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Held-to-Maturity</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19,835</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21,595</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40,126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43,731</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3,817</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6,139</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9,277</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12,296</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1,097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1,120</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218,535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213,530</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432,821</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423,886</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82,476</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91,542</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164,168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180,598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491</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1,180</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Debt</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5,885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5,962</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11,881</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88,852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98,684</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177,331</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195,102</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129,683</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114,846</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255,490</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228,784</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3,250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2,400</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126,433</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112,446</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248,990</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224,384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Fees, Exchange, and Other Service Charges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14,383</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13,769</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28,820</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27,892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Trust and Asset Management</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12,097</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12,223</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23,838</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23,412</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8,119</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7,730</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15,677</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3,714</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3,396</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7,325</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6,752</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Annuity and Insurance</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1,437</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1,583</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2,992</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2,629</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Banking</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849</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1,028</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1,837</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1,979</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Losses, Net</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(1,126)</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(1,601)</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(2,733)</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5,322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3,959</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10,396</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9,129</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44,795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42,087</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88,853</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84,372</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Benefits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61,308</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57,033</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124,192</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115,248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Occupancy</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10,499</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10,559</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21,058</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21,015</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Equipment</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9,977</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10,355</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20,169</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20,458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Data Processing</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5,456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4,745</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10,723</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9,515</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4,263</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4,929</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8,527</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9,606</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FDIC Insurance</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3,640</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7,170</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10,784</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15,640</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14,435</w:t>
            </w:r>
          </w:p>
        </w:tc>
        <w:tc>
          <w:tcPr>
            <w:tcW w:w="3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31,291</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28,459</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110,783</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109,226</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221,242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215,085</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60,445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45,307</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116,601</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93,671</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12,808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11,224</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24,979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23,197</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47,637</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34,083</w:t>
            </w: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91,622</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70,474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5,269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1,969</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10,538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42,368</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32,114</w:t>
            </w: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81,084</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66,536</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0.81</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0.70</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0.70</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39,622,998</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39,450,551</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39,588,916</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39,400,452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39,895,093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39,618,705</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39,888,294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39,618,774</w:t>
            </w:r>
          </w:p>
        </w:tc>
        <w:tc>
          <w:tcPr>
            <w:tcW w:w="0" w:type="dxa"/>
            <w:vAlign w:val="bottom"/>
          </w:tcPr>
          <w:p>
            <w:pPr>
              <w:spacing w:after="0"/>
              <w:rPr>
                <w:sz w:val="1"/>
                <w:szCs w:val="1"/>
                <w:color w:val="auto"/>
              </w:rPr>
            </w:pP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47,637</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91,622</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70,474</w:t>
            </w:r>
          </w:p>
        </w:tc>
        <w:tc>
          <w:tcPr>
            <w:tcW w:w="0" w:type="dxa"/>
            <w:vAlign w:val="bottom"/>
          </w:tcPr>
          <w:p>
            <w:pPr>
              <w:spacing w:after="0"/>
              <w:rPr>
                <w:sz w:val="1"/>
                <w:szCs w:val="1"/>
                <w:color w:val="auto"/>
              </w:rPr>
            </w:pPr>
          </w:p>
        </w:tc>
      </w:tr>
      <w:tr>
        <w:trPr>
          <w:trHeight w:val="23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Gains on Investment Securities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18,970</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43,730</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21,990</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Change in Defined Benefit Plans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19,203</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44,195</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22,327</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66,840</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135,817</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92,801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11"/>
                <w:szCs w:val="11"/>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0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2"/>
                <w:szCs w:val="12"/>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2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18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6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39,734,304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586</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651,374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(318,397)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2,144,326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(1,117,954)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1,704,935</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47,637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47,637</w:t>
            </w: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19,203</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19,203</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3,837</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w:t>
            </w: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36,429</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1,025</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r>
      <w:tr>
        <w:trPr>
          <w:trHeight w:val="27"/>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(5,358)</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(28,244)</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(28,244)</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7"/>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182"/>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39,765,375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655,479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(299,194)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2,158,450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(1,117,215)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1,743,107</w:t>
            </w:r>
          </w:p>
        </w:tc>
      </w:tr>
      <w:tr>
        <w:trPr>
          <w:trHeight w:val="28"/>
        </w:trPr>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39,720,724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640,663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(383,581)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2,114,729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(1,116,418)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1,435,977</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34,083</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34,083</w:t>
            </w: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9,220</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9,220</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3,475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3,475</w:t>
            </w:r>
          </w:p>
        </w:tc>
      </w:tr>
      <w:tr>
        <w:trPr>
          <w:trHeight w:val="189"/>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 Issued, Net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(4,386)</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160,614</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36,640</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358</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737</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w:t>
            </w: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(27,423)</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w:t>
            </w:r>
          </w:p>
        </w:tc>
      </w:tr>
      <w:tr>
        <w:trPr>
          <w:trHeight w:val="28"/>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(28,061)</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(28,061)</w:t>
            </w: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r>
      <w:tr>
        <w:trPr>
          <w:trHeight w:val="28"/>
        </w:trPr>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39,729,941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639,841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(374,361)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2,119,140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1,612,849</w:t>
            </w:r>
          </w:p>
        </w:tc>
      </w:tr>
      <w:tr>
        <w:trPr>
          <w:trHeight w:val="20"/>
        </w:trPr>
        <w:tc>
          <w:tcPr>
            <w:tcW w:w="1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 (Unaudited)</w:t>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5"/>
        </w:trPr>
        <w:tc>
          <w:tcPr>
            <w:tcW w:w="17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1"/>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 except per share</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0"/>
                <w:szCs w:val="10"/>
                <w:color w:val="auto"/>
              </w:rPr>
            </w:pPr>
          </w:p>
        </w:tc>
        <w:tc>
          <w:tcPr>
            <w:tcW w:w="660" w:type="dxa"/>
            <w:vAlign w:val="bottom"/>
          </w:tcPr>
          <w:p>
            <w:pPr>
              <w:jc w:val="right"/>
              <w:ind w:right="113"/>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40" w:type="dxa"/>
            <w:vAlign w:val="bottom"/>
          </w:tcPr>
          <w:p>
            <w:pPr>
              <w:spacing w:after="0"/>
              <w:rPr>
                <w:sz w:val="10"/>
                <w:szCs w:val="10"/>
                <w:color w:val="auto"/>
              </w:rPr>
            </w:pPr>
          </w:p>
        </w:tc>
        <w:tc>
          <w:tcPr>
            <w:tcW w:w="600" w:type="dxa"/>
            <w:vAlign w:val="bottom"/>
          </w:tcPr>
          <w:p>
            <w:pPr>
              <w:jc w:val="right"/>
              <w:ind w:right="94"/>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80" w:type="dxa"/>
            <w:vAlign w:val="bottom"/>
          </w:tcPr>
          <w:p>
            <w:pPr>
              <w:spacing w:after="0"/>
              <w:rPr>
                <w:sz w:val="10"/>
                <w:szCs w:val="10"/>
                <w:color w:val="auto"/>
              </w:rPr>
            </w:pPr>
          </w:p>
        </w:tc>
        <w:tc>
          <w:tcPr>
            <w:tcW w:w="600" w:type="dxa"/>
            <w:vAlign w:val="bottom"/>
          </w:tcPr>
          <w:p>
            <w:pPr>
              <w:jc w:val="right"/>
              <w:ind w:right="154"/>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900" w:type="dxa"/>
            <w:vAlign w:val="bottom"/>
            <w:gridSpan w:val="2"/>
          </w:tcPr>
          <w:p>
            <w:pPr>
              <w:jc w:val="right"/>
              <w:ind w:right="34"/>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0"/>
                <w:szCs w:val="10"/>
                <w:color w:val="auto"/>
              </w:rPr>
            </w:pPr>
          </w:p>
        </w:tc>
        <w:tc>
          <w:tcPr>
            <w:tcW w:w="700" w:type="dxa"/>
            <w:vAlign w:val="bottom"/>
          </w:tcPr>
          <w:p>
            <w:pPr>
              <w:jc w:val="right"/>
              <w:ind w:right="154"/>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amounts)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3"/>
                <w:szCs w:val="13"/>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3"/>
                <w:szCs w:val="13"/>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20" w:type="dxa"/>
            <w:vAlign w:val="bottom"/>
          </w:tcPr>
          <w:p>
            <w:pPr>
              <w:spacing w:after="0"/>
              <w:rPr>
                <w:sz w:val="13"/>
                <w:szCs w:val="13"/>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3"/>
                <w:szCs w:val="13"/>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39,762,255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647,403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(343,389)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2,133,838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(1,115,663)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1,667,774</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91,622</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91,622</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44,195</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44,195</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7,517</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55,906</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559</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2,048</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2,609</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(52,786)</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($1.40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(56,472)</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(56,472)</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7"/>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(10,538)</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(10,538)</w:t>
            </w:r>
          </w:p>
        </w:tc>
      </w:tr>
      <w:tr>
        <w:trPr>
          <w:trHeight w:val="182"/>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39,765,375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587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655,479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(299,194)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2,158,450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(1,117,215)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1,743,107</w:t>
            </w:r>
          </w:p>
        </w:tc>
      </w:tr>
      <w:tr>
        <w:trPr>
          <w:trHeight w:val="28"/>
        </w:trPr>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39,753,138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636,422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(396,688)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2,107,569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(1,113,644)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1,414,242</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70,474</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70,474</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22,327</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22,327</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7,505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7,505</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Issued, Net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(4,386)</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160,614</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57,972</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1,152</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1,283</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(81,169)</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(4,995)</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($1.40 per</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(56,117)</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(56,117)</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r>
      <w:tr>
        <w:trPr>
          <w:trHeight w:val="28"/>
        </w:trPr>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5"/>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39,729,941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639,841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(374,361)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2,119,140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1,612,849</w:t>
            </w: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7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4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91,622</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70,474</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10,388</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Deferred Loan and Lease (Fees) Costs, Net</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and Accretion of Premiums/Discounts on Investment Securities, Net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7,505</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Benefit Plan Contributions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Gains on Sales of Loans and Leases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12,957</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21,355</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(20,750)</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(24,036)</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101,064</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148,483</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107,158</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(517,104)</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184,959</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Loans and Leases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130,649</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(142,716)</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421,566</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Deposits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165,877</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(646,542)</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(50,048)</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(50,054)</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160,614</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(56,472)</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(56,117)</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Paid on Preferred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47,828</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(598,236)</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(75,606)</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763,571</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1,000,944</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768,683</w:t>
            </w: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925,338</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185,398</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198,847</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18,735</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Transfer from Loans to Foreclosed Real Estate</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37"/>
        </w:trPr>
        <w:tc>
          <w:tcPr>
            <w:tcW w:w="74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any future period.</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2024. Significant changes to accounting policies from those disclosed in our audited Consolidated Financial Statements and related notes included in the Company’s Annual Report on Form 10-K are presented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year presentation.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ASU 2024-03 requires additional disclosure of the nature of expenses included in the income statement to be presented in a tabular format in the footnotes to the financial statements. ASU 2024-03 is 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June 30, 2025 and December 31,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248,373</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243,715</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65,960</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752,354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728,842</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1,191,950</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1,097,369</w:t>
            </w: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354,093</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(22,167)</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332,461</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35,968</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36,007</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1,582,011</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(117,636)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1,465,837</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657,288</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606,165</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657,288</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(52,035)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606,165</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3,313,974</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3,111,504</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131,932</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121,178</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2,092,255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(325,650)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1,766,608</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411,848</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(83,013)</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328,835</w:t>
            </w: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2,504,103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(408,663)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2,095,443</w:t>
            </w: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1,784,975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(263,552)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1,521,492</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1,794,964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(265,387)</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1,529,646</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4,441,353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3,754,794</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249,072</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73,208</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63,859</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703,579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671,675</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1,050,299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935,220</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306,696</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283,474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1,356,995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1,218,694</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6"/>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555,092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484,764</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555,092</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484,764</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2,947,415</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(259,135)</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2,689,528</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131,868</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116,941</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2,185,210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(377,149)</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1,808,064</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416,389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(92,211)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324,178</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2,601,599</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(469,360)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2,132,242</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1,864,591</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(309,093)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1,555,535</w:t>
            </w:r>
          </w:p>
        </w:tc>
      </w:tr>
      <w:tr>
        <w:trPr>
          <w:trHeight w:val="236"/>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1,874,586</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(311,258)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1,563,365</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4,618,543</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(797,701)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3,820,882</w:t>
            </w:r>
          </w:p>
        </w:tc>
      </w:tr>
      <w:tr>
        <w:trPr>
          <w:trHeight w:val="27"/>
        </w:trPr>
        <w:tc>
          <w:tcPr>
            <w:tcW w:w="5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 For available-for-sale (“AFS”) debt securities, AIR totaled $10.5 million and $9.0 million as of June 30, 2025 and December 31, 2024, respectively. For held-to-maturity (“HTM”) debt securities, AIR totaled $8.3 million and $8.6 million as of June 30, 2025 and December 31, 2024, respectively.</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an analysis of the contractual maturities of the Company’s investment securities as of June 30, 2025. Debt securities issued by government agencies (such as Small Business Administration securities), collateralized mortgage obligations, and mortgage-backed securities are disclosed separately in the following table as these investment securities may prepay prior to their scheduled contractual maturity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98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9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124,752</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629,712</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615,325</w:t>
            </w:r>
          </w:p>
        </w:tc>
      </w:t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208,634</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189,655</w:t>
            </w:r>
          </w:p>
        </w:tc>
      </w:tr>
      <w:tr>
        <w:trPr>
          <w:trHeight w:val="243"/>
        </w:trPr>
        <w:tc>
          <w:tcPr>
            <w:tcW w:w="59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965,202</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929,732</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109,770</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1,191,950</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1,097,369</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354,093</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332,461</w:t>
            </w:r>
          </w:p>
        </w:tc>
      </w:tr>
      <w:tr>
        <w:trPr>
          <w:trHeight w:val="237"/>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Commercial - Non-Agency</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35,968</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36,007</w:t>
            </w: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1,582,011</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1,465,837</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657,288</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606,165</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657,288</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606,165</w:t>
            </w:r>
          </w:p>
        </w:tc>
      </w:tr>
      <w:tr>
        <w:trPr>
          <w:trHeight w:val="262"/>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3,313,974</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3,111,504</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70,099</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After Five Year Through Ten Years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59,943</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52,195</w:t>
            </w:r>
          </w:p>
        </w:tc>
      </w:tr>
      <w:tr>
        <w:trPr>
          <w:trHeight w:val="233"/>
        </w:trPr>
        <w:tc>
          <w:tcPr>
            <w:tcW w:w="5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142,286</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129,705</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2,092,255</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1,766,608</w:t>
            </w:r>
          </w:p>
        </w:tc>
      </w:tr>
      <w:tr>
        <w:trPr>
          <w:trHeight w:val="246"/>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411,848</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328,835</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2,504,103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2,095,443</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1,784,975</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1,521,492</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1,794,964</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1,529,646</w:t>
            </w:r>
          </w:p>
        </w:tc>
      </w:tr>
      <w:tr>
        <w:trPr>
          <w:trHeight w:val="261"/>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4,441,353</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3,754,794</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Investment securities with carrying values of $7.3 billion and $7.2 billion as of June 30, 2025 and December 31, 2024, respectively, were pledged to secure deposits of governmental entities, securities sold under agreements to repurchase, support the Company's borrowing capacity with the Federal Reserve Bank, and secure derivative transactions.</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net realized losses on sales of investments of $1.1 million and $1.6 million, respectively. During the six months ended June 30, 2025 and 2024, the Company recognized net realized losses on sales of investments of $2.7 million and $3.1 million, respectively. The losses on sales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investment securities were due to fees paid to the counterparties of the Company's prior Visa Class B share sale transactions, which are expensed as incurred.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1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
        </w:trPr>
        <w:tc>
          <w:tcPr>
            <w:tcW w:w="4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w:t>
            </w:r>
          </w:p>
        </w:tc>
        <w:tc>
          <w:tcPr>
            <w:tcW w:w="1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44,920</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101,097</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146,017</w:t>
            </w:r>
          </w:p>
        </w:tc>
        <w:tc>
          <w:tcPr>
            <w:tcW w:w="2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(5,120)</w:t>
            </w:r>
          </w:p>
        </w:tc>
        <w:tc>
          <w:tcPr>
            <w:tcW w:w="0" w:type="dxa"/>
            <w:vAlign w:val="bottom"/>
          </w:tcPr>
          <w:p>
            <w:pPr>
              <w:spacing w:after="0"/>
              <w:rPr>
                <w:sz w:val="1"/>
                <w:szCs w:val="1"/>
                <w:color w:val="auto"/>
              </w:rPr>
            </w:pPr>
          </w:p>
        </w:tc>
      </w:tr>
      <w:tr>
        <w:trPr>
          <w:trHeight w:val="20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Agencies</w:t>
            </w:r>
          </w:p>
        </w:tc>
        <w:tc>
          <w:tcPr>
            <w:tcW w:w="180" w:type="dxa"/>
            <w:vAlign w:val="bottom"/>
            <w:tcBorders>
              <w:bottom w:val="single" w:sz="8" w:color="CCEEFF"/>
            </w:tcBorders>
            <w:vMerge w:val="continue"/>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vMerge w:val="continue"/>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94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vMerge w:val="continue"/>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940" w:type="dxa"/>
            <w:vAlign w:val="bottom"/>
            <w:tcBorders>
              <w:bottom w:val="single" w:sz="8" w:color="CCEEFF"/>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65,560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65,560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(6,983)</w:t>
            </w: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 Sponsored Enterprises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171,062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456,022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627,084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(25,152)</w:t>
            </w: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266,073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591,331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857,404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(95,458)</w:t>
            </w: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71,066</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150,308</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221,374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(22,167)</w:t>
            </w:r>
          </w:p>
        </w:tc>
        <w:tc>
          <w:tcPr>
            <w:tcW w:w="0" w:type="dxa"/>
            <w:vAlign w:val="bottom"/>
          </w:tcPr>
          <w:p>
            <w:pPr>
              <w:spacing w:after="0"/>
              <w:rPr>
                <w:sz w:val="1"/>
                <w:szCs w:val="1"/>
                <w:color w:val="auto"/>
              </w:rPr>
            </w:pPr>
          </w:p>
        </w:tc>
      </w:tr>
      <w:tr>
        <w:trPr>
          <w:trHeight w:val="208"/>
        </w:trPr>
        <w:tc>
          <w:tcPr>
            <w:tcW w:w="4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35"/>
        </w:trPr>
        <w:tc>
          <w:tcPr>
            <w:tcW w:w="4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342,128</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741,639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1,083,767</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(117,636)</w:t>
            </w: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218,210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254,994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473,204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(52,035)</w:t>
            </w:r>
          </w:p>
        </w:tc>
        <w:tc>
          <w:tcPr>
            <w:tcW w:w="0" w:type="dxa"/>
            <w:vAlign w:val="bottom"/>
          </w:tcPr>
          <w:p>
            <w:pPr>
              <w:spacing w:after="0"/>
              <w:rPr>
                <w:sz w:val="1"/>
                <w:szCs w:val="1"/>
                <w:color w:val="auto"/>
              </w:rPr>
            </w:pPr>
          </w:p>
        </w:tc>
      </w:tr>
      <w:tr>
        <w:trPr>
          <w:trHeight w:val="202"/>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218,210</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(25,635)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254,994</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(26,400)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473,204</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(52,035)</w:t>
            </w:r>
          </w:p>
        </w:tc>
        <w:tc>
          <w:tcPr>
            <w:tcW w:w="0" w:type="dxa"/>
            <w:vAlign w:val="bottom"/>
          </w:tcPr>
          <w:p>
            <w:pPr>
              <w:spacing w:after="0"/>
              <w:rPr>
                <w:sz w:val="1"/>
                <w:szCs w:val="1"/>
                <w:color w:val="auto"/>
              </w:rPr>
            </w:pPr>
          </w:p>
        </w:tc>
      </w:tr>
      <w:tr>
        <w:trPr>
          <w:trHeight w:val="35"/>
        </w:trPr>
        <w:tc>
          <w:tcPr>
            <w:tcW w:w="4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776,320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1,620,297</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(165,168)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2,396,617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(206,946)</w:t>
            </w:r>
          </w:p>
        </w:tc>
        <w:tc>
          <w:tcPr>
            <w:tcW w:w="0" w:type="dxa"/>
            <w:vAlign w:val="bottom"/>
          </w:tcPr>
          <w:p>
            <w:pPr>
              <w:spacing w:after="0"/>
              <w:rPr>
                <w:sz w:val="1"/>
                <w:szCs w:val="1"/>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w:t>
            </w: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38,854</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157,456</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(7,897)</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196,310</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(8,185)</w:t>
            </w:r>
          </w:p>
        </w:tc>
        <w:tc>
          <w:tcPr>
            <w:tcW w:w="0" w:type="dxa"/>
            <w:vAlign w:val="bottom"/>
          </w:tcPr>
          <w:p>
            <w:pPr>
              <w:spacing w:after="0"/>
              <w:rPr>
                <w:sz w:val="1"/>
                <w:szCs w:val="1"/>
                <w:color w:val="auto"/>
              </w:rPr>
            </w:pPr>
          </w:p>
        </w:tc>
      </w:tr>
      <w:tr>
        <w:trPr>
          <w:trHeight w:val="19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Agencies</w:t>
            </w:r>
          </w:p>
        </w:tc>
        <w:tc>
          <w:tcPr>
            <w:tcW w:w="1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63,644</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24,892</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546,407</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571,299</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(32,280)</w:t>
            </w: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153,104</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673,141</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826,245</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(115,401)</w:t>
            </w:r>
          </w:p>
        </w:tc>
        <w:tc>
          <w:tcPr>
            <w:tcW w:w="0" w:type="dxa"/>
            <w:vAlign w:val="bottom"/>
          </w:tcPr>
          <w:p>
            <w:pPr>
              <w:spacing w:after="0"/>
              <w:rPr>
                <w:sz w:val="1"/>
                <w:szCs w:val="1"/>
                <w:color w:val="auto"/>
              </w:rPr>
            </w:pPr>
          </w:p>
        </w:tc>
      </w:tr>
      <w:tr>
        <w:trPr>
          <w:trHeight w:val="208"/>
        </w:trPr>
        <w:tc>
          <w:tcPr>
            <w:tcW w:w="4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92,485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128,430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220,915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(23,421)</w:t>
            </w:r>
          </w:p>
        </w:tc>
        <w:tc>
          <w:tcPr>
            <w:tcW w:w="0" w:type="dxa"/>
            <w:vAlign w:val="bottom"/>
          </w:tcPr>
          <w:p>
            <w:pPr>
              <w:spacing w:after="0"/>
              <w:rPr>
                <w:sz w:val="1"/>
                <w:szCs w:val="1"/>
                <w:color w:val="auto"/>
              </w:rPr>
            </w:pPr>
          </w:p>
        </w:tc>
      </w:tr>
      <w:tr>
        <w:trPr>
          <w:trHeight w:val="35"/>
        </w:trPr>
        <w:tc>
          <w:tcPr>
            <w:tcW w:w="4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245,589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801,571</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1,047,160</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(138,822)</w:t>
            </w: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480,189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480,324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0" w:type="dxa"/>
            <w:vAlign w:val="bottom"/>
          </w:tcPr>
          <w:p>
            <w:pPr>
              <w:spacing w:after="0"/>
              <w:rPr>
                <w:sz w:val="1"/>
                <w:szCs w:val="1"/>
                <w:color w:val="auto"/>
              </w:rPr>
            </w:pPr>
          </w:p>
        </w:tc>
      </w:tr>
      <w:tr>
        <w:trPr>
          <w:trHeight w:val="201"/>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480,189</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480,324</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0" w:type="dxa"/>
            <w:vAlign w:val="bottom"/>
          </w:tcPr>
          <w:p>
            <w:pPr>
              <w:spacing w:after="0"/>
              <w:rPr>
                <w:sz w:val="1"/>
                <w:szCs w:val="1"/>
                <w:color w:val="auto"/>
              </w:rPr>
            </w:pPr>
          </w:p>
        </w:tc>
      </w:tr>
      <w:tr>
        <w:trPr>
          <w:trHeight w:val="35"/>
        </w:trPr>
        <w:tc>
          <w:tcPr>
            <w:tcW w:w="4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309,470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2,050,731</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2,360,201</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(259,135)</w:t>
            </w:r>
          </w:p>
        </w:tc>
        <w:tc>
          <w:tcPr>
            <w:tcW w:w="0" w:type="dxa"/>
            <w:vAlign w:val="bottom"/>
          </w:tcPr>
          <w:p>
            <w:pPr>
              <w:spacing w:after="0"/>
              <w:rPr>
                <w:sz w:val="1"/>
                <w:szCs w:val="1"/>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does not believe the AFS debt securities that were in an unrealized loss position represent a credit loss impairment. As of June 30, 2025 and December 31, 2024, the Company's unrealized losses from AFS debt securities were generated from 365 positions and 386 positions, respectively. As of June 30, 2025 and December 31, 2024, total gross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unrealized losses were attributable to changes in interest rates, relative to when the investment securities were purchased, and not due to the credit quality of the investment securities. Mortgage-backed securities issued by U.S. government agencies or U.S. government-sponsored enterprises carry the explicit and/or implicit guarantee of the U.S. government and have a long history of zero credit loss. Debt securities and non-agency collateralized mortgage obligations issued by corporations are of high credit quality and the issuers continue to make timely principal and interest payments. The Company does not intend to sell the investment securities that were in an unrealized loss position and it is more likely than not that the Company will not be required to sell the investment securities before recovery of their amortized cost basis, which may be at maturity.</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HTM debt securities are issued by U.S. government agencies or U.S. government-sponsored enterprises. These securities carry the explicit and/or implicit guarantee of the U.S. government and have a long history of zero credit loss. Therefore, the Company did not record an allowance for credit losses for these securities as of June 30, 2025 and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and six months ended June 30, 2025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46,385</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90,664</w:t>
            </w:r>
          </w:p>
        </w:tc>
        <w:tc>
          <w:tcPr>
            <w:tcW w:w="98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86,943</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Non-Taxable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61"/>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43,063</w:t>
            </w: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91,501</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and Leases and the 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June 30, 2025 and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80" w:type="dxa"/>
            <w:vAlign w:val="bottom"/>
          </w:tcPr>
          <w:p>
            <w:pPr>
              <w:spacing w:after="0"/>
              <w:rPr>
                <w:sz w:val="16"/>
                <w:szCs w:val="16"/>
                <w:color w:val="auto"/>
              </w:rPr>
            </w:pPr>
          </w:p>
        </w:tc>
        <w:tc>
          <w:tcPr>
            <w:tcW w:w="15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47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0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4,038,956</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4,020,622</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1,597,560</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1,705,133</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30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374,768</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308,898</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30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90,756</w:t>
            </w:r>
          </w:p>
        </w:tc>
      </w:tr>
      <w:tr>
        <w:trPr>
          <w:trHeight w:val="23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0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6,104,126</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6,125,409</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0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0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4,637,014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4,628,283</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0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2,139,025</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2,165,514</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0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715,688</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764,146</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406,325</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392,628</w:t>
            </w:r>
          </w:p>
        </w:tc>
      </w:tr>
      <w:tr>
        <w:trPr>
          <w:trHeight w:val="23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30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7,898,052</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7,950,571</w:t>
            </w:r>
          </w:p>
        </w:tc>
      </w:tr>
      <w:tr>
        <w:trPr>
          <w:trHeight w:val="261"/>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3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14,002,178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14,075,980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within the State of Hawai‘i. A substantial portion of the Company’s real estate loans are secured by real estate located within the State of Hawai‘i.</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and leases disclosed throughout this footnote. As of June 30, 2025 and December 31, 2024, AIR for loans totaled $48.2 million and $48.4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and six months ended June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80,628</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67,079</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147,707</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r>
      <w:tr>
        <w:trPr>
          <w:trHeight w:val="237"/>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78,902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69,641</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148,543</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64,628</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148,528</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w:t>
            </w:r>
          </w:p>
        </w:tc>
      </w:tr>
      <w:tr>
        <w:trPr>
          <w:trHeight w:val="237"/>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78,902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69,641</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148,543</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75,087</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72,577</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147,664</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r>
      <w:tr>
        <w:trPr>
          <w:trHeight w:val="23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67,392</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147,477</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72,329</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146,403</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(8,585)</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r>
      <w:tr>
        <w:trPr>
          <w:trHeight w:val="23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67,392</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147,477</w:t>
            </w:r>
          </w:p>
        </w:tc>
      </w:tr>
      <w:tr>
        <w:trPr>
          <w:trHeight w:val="27"/>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definitions of the Company’s credit quality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Pass:</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adversely rated, are generally contractually current as to principal and interest, and are otherwise in</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the contractual terms of the loan or lease agreement. Residential mortgage loans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are past due 90 days or more as to principal or interest may be considered Pass if the current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loan-to-value ratio is 60% or less. Home equity loans that are past due 90 days or more as to</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or interest may be considered Pass if: a) the home equity loan is in first lien position and</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current loan-to-value ratio is 60% or less; or b) the first mortgage is with the Company and the</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combined loan-to-value ratio is 60% or less.</w:t>
            </w:r>
          </w:p>
        </w:tc>
      </w:tr>
      <w:tr>
        <w:trPr>
          <w:trHeight w:val="468"/>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Special Mention:</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weaknesses that warrant management’s close attention. If not addressed, these potential weaknesses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result in deterioration of the repayment prospects for the loan or lease. The Special Mention</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quality indicator is not used for the consumer portfolio segment.</w:t>
            </w:r>
          </w:p>
        </w:tc>
      </w:tr>
      <w:tr>
        <w:trPr>
          <w:trHeight w:val="468"/>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Classified:</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a well-defined</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weakness or weaknesses and are inadequately protected by the sound worth and paying capacity of</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borrower or applicable collateral, if any. Classified loans and leases are also those in the classes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consumer portfolio segment that are past due 90 days or more as to principal or interest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(excluding residential mortgage and home equity loans which meet the criteria for being considered</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Pass).</w:t>
            </w:r>
          </w:p>
        </w:tc>
      </w:tr>
      <w:tr>
        <w:trPr>
          <w:trHeight w:val="918"/>
        </w:trPr>
        <w:tc>
          <w:tcPr>
            <w:tcW w:w="2460" w:type="dxa"/>
            <w:vAlign w:val="bottom"/>
          </w:tcPr>
          <w:p>
            <w:pPr>
              <w:spacing w:after="0"/>
              <w:rPr>
                <w:sz w:val="24"/>
                <w:szCs w:val="24"/>
                <w:color w:val="auto"/>
              </w:rPr>
            </w:pPr>
          </w:p>
        </w:tc>
        <w:tc>
          <w:tcPr>
            <w:tcW w:w="87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Pass rated credits in the commercial portfolio, most risk ratings are certified at a minimum annually. For Special Mention or Classified credits in the commercial portfolio, risk ratings are reviewed for appropriateness on an ongoing basis, monthly, or at a minimum, quarterly. The following presents by credit quality indicator, loan class, and year of origination, the amortized cost basis of the Company’s loans and leases as of June 30,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Revolving Loans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94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8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2025</w:t>
            </w:r>
            <w:r>
              <w:rPr>
                <w:rFonts w:ascii="Times New Roman" w:cs="Times New Roman" w:eastAsia="Times New Roman" w:hAnsi="Times New Roman"/>
                <w:sz w:val="15"/>
                <w:szCs w:val="15"/>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Term Loans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6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Mortgage</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311,692</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308,025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690,377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944,637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575,409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974,842</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37,965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3,842,947</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83,617</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1,845</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87,352</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35,634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26,973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3,073</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29,332</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108,657</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395,309</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343,659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704,022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973,500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578,482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1,006,019</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4,038,956</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93,593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327,519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267,249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214,822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139,078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144,580</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334,342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1,521,473</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36,338</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36,775</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5,275</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14,889</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2,328</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5,087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8,915</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39,312</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98,868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282,138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217,050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141,406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149,691</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1,597,560</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1,301</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1,605</w:t>
            </w: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24,822</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115,965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152,293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67,613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371,989</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1,296</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2,779</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Construction</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26,305</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115,965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152,293</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68,909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374,768</w:t>
            </w: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Lease Financing</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12,443</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7,229</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7,497</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7,306</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9,990</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91,931</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384</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911</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Lease Financing</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12,443</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10,374</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92,842</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532,925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835,610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1,146,115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1,266,985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729,620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1,166,084</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426,495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6,104,126</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1,301</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1,605</w:t>
            </w:r>
          </w:p>
        </w:tc>
      </w:tr>
      <w:tr>
        <w:trPr>
          <w:trHeight w:val="17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7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Residential Mortgage</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186,182</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254,373</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731,407</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1,151,789</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2,052,578</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4,630,392</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3,822</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6,622</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186,182</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255,345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733,235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1,151,789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2,056,400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4,637,014</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Home Equity</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2,073,815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60,741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2,134,595</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3,740</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4,430</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Home Equity</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2,077,555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61,431</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2,139,025</w:t>
            </w: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w:t>
            </w:r>
          </w:p>
        </w:tc>
      </w:tr>
      <w:tr>
        <w:trPr>
          <w:trHeight w:val="16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Automobile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97,287</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155,827</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168,824</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70,731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37,906</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715,007</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681</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Automobile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97,327</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155,966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168,976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70,754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37,963</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715,688</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467</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3,004</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115,458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62,036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74,522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37,821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29,852</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405,696</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629</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Other</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85,415</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115,638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62,130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74,704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37,920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29,924</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406,325</w:t>
            </w: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482</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4,881</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Consumer</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368,924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554,403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473,441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976,915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1,260,463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2,124,326</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2,078,149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61,431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7,898,052</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1,970</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949</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8,115</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Loans and Leases</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901,849</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1,390,013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1,619,556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2,243,900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1,990,083</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3,290,410</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2,504,644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61,723</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14,002,178</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Gross Charge-Offs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9,720</w:t>
            </w:r>
          </w:p>
        </w:tc>
      </w:tr>
      <w:tr>
        <w:trPr>
          <w:trHeight w:val="20"/>
        </w:trPr>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5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Loans reported as Special Mention and Classified in the 2025 column represent amendment of loans that originated in an earlier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$7.5 million of revolving loans were converted to term loans.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9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8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2024</w:t>
            </w:r>
            <w:r>
              <w:rPr>
                <w:rFonts w:ascii="Times New Roman" w:cs="Times New Roman" w:eastAsia="Times New Roman" w:hAnsi="Times New Roman"/>
                <w:sz w:val="15"/>
                <w:szCs w:val="15"/>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Term Loans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6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Mortgage</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401,415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687,580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1,091,627</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596,386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405,244</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600,386</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48,655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3,831,293</w:t>
            </w: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47,773</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3,348</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2,911</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15,148</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71,098</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35,770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24,420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3,136</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19,609</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20,805</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118,231</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437,185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1,117,965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602,870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427,764</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636,339</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4,020,622</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356,831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281,168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236,802</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146,458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135,158</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79,258</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375,135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1,611,086</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39,054</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6,427</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17,716</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54,993</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357,623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296,782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240,285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151,289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141,748</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85,685</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431,438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1,705,133</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2,609</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89,334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110,153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87,006</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16,766</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306,227</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2,671</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2,671</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89,334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89,677</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308,898</w:t>
            </w: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Financing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49,360</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9,568</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9,751</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5,244</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7,602</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89,699</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386</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1,057</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49,360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5,306</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7,988</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90,756</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933,502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1,165,444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1,457,532</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765,680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576,097</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730,012</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6,125,409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1,438</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399</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2,609</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Residential Mortgage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268,330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751,920</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1,180,191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919,280</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1,232,582</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4,624,288</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735</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1,928</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3,995</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268,330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752,778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1,180,665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920,015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1,234,510</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4,628,283</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Home Equity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2,105,833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55,963</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2,161,836</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3,092</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3,678</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Home Equity</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2,108,925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56,549</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2,165,514</w:t>
            </w: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701</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210,145</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210,207</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94,492</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34,614</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26,777</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763,371</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59</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775</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210,235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187,327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210,431</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94,646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34,671</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26,836</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764,146</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821</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5,342</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133,093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74,068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96,376</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52,152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30,580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391,951</w:t>
            </w:r>
          </w:p>
        </w:tc>
      </w:tr>
      <w:tr>
        <w:trPr>
          <w:trHeight w:val="192"/>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677</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133,144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74,297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96,622</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52,235</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30,648</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392,628</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1,421</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10,099</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611,709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533,609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1,059,831</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1,327,546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959,835</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1,292,034</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2,109,458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56,549</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7,950,571</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2,290</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16,527</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1,545,211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1,699,053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2,517,363</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2,093,226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1,535,932</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2,022,046</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2,606,317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56,832</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14,075,980</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Gross Charge-Offs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2,689</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19,136</w:t>
            </w:r>
          </w:p>
        </w:tc>
      </w:tr>
      <w:tr>
        <w:trPr>
          <w:trHeight w:val="20"/>
        </w:trPr>
        <w:tc>
          <w:tcPr>
            <w:tcW w:w="2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reported as Special Mention and Classified in the 2024 column represent amendment of loans that originated in an earlier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$12.7 million of revolving loans were converted to term loans.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June 30, 2025 and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80" w:type="dxa"/>
            <w:vAlign w:val="bottom"/>
          </w:tcPr>
          <w:p>
            <w:pPr>
              <w:spacing w:after="0"/>
              <w:rPr>
                <w:sz w:val="15"/>
                <w:szCs w:val="15"/>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60" w:type="dxa"/>
            <w:vAlign w:val="bottom"/>
          </w:tcPr>
          <w:p>
            <w:pPr>
              <w:spacing w:after="0"/>
              <w:rPr>
                <w:sz w:val="15"/>
                <w:szCs w:val="15"/>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Past Due 90</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Loans and</w:t>
            </w:r>
          </w:p>
        </w:tc>
        <w:tc>
          <w:tcPr>
            <w:tcW w:w="16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Non-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that are</w:t>
            </w: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7"/>
                <w:szCs w:val="17"/>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2,566</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2,566</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4,036,390</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4,038,956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3,744</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3,973</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1,593,587</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1,597,560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374,768</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374,768</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92,842</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92,842</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6,310</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6,539</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6,097,587</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6,104,126</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3,699</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9,070</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5,842</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21,402</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4,615,612</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4,637,014</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4,807</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2,468</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5,387</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14,529</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2,124,496</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2,139,025</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15,062</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17,103</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698,585</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715,688</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1,174</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3,833</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402,492</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406,325</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25,597</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7,794</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12,247</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11,229</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56,867</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7,841,185</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7,898,052</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25,749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7,871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12,247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17,539</w:t>
            </w:r>
          </w:p>
        </w:tc>
        <w:tc>
          <w:tcPr>
            <w:tcW w:w="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63,406</w:t>
            </w: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13,938,772</w:t>
            </w:r>
          </w:p>
        </w:tc>
        <w:tc>
          <w:tcPr>
            <w:tcW w:w="3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14,002,178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4,018,172</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4,020,622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4,627</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4,834</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1,700,299</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1,705,133</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308,898</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308,898</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90,756</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90,756</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7,077</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7,284</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6,118,125</w:t>
            </w: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6,125,409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5,184</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4,174</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3,984</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5,052</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18,394</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4,609,889</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4,628,283</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6,109</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2,753</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2,845</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4,514</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16,221</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2,149,293</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2,165,514</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93"/>
        </w:trPr>
        <w:tc>
          <w:tcPr>
            <w:tcW w:w="1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16,443</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1,661</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776</w:t>
            </w: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18,880</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745,266</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764,146</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2,565</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677</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4,318</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388,310</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392,628</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30,301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9,664</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8,282</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9,566</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57,813</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7,892,758</w:t>
            </w: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7,950,571</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30,391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16,643</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65,097</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14,010,883</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14,075,980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20"/>
        </w:trPr>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June 30, 2025 and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7"/>
                <w:szCs w:val="17"/>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180" w:type="dxa"/>
            <w:vAlign w:val="bottom"/>
          </w:tcPr>
          <w:p>
            <w:pPr>
              <w:spacing w:after="0"/>
              <w:rPr>
                <w:sz w:val="17"/>
                <w:szCs w:val="17"/>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7"/>
                <w:szCs w:val="17"/>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11,229</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16,643</w:t>
            </w:r>
          </w:p>
        </w:tc>
        <w:tc>
          <w:tcPr>
            <w:tcW w:w="0" w:type="dxa"/>
            <w:vAlign w:val="bottom"/>
          </w:tcPr>
          <w:p>
            <w:pPr>
              <w:spacing w:after="0"/>
              <w:rPr>
                <w:sz w:val="1"/>
                <w:szCs w:val="1"/>
                <w:color w:val="auto"/>
              </w:rPr>
            </w:pP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Payments received while on non-accrual status are normally applied against the principal balance of the loan or lease. Payments may be recognized as income if the full collection of principal and interest is reasonably assured.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to Borrowers Experiencing Financial Difficulty</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Classes</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Modification Types</w:t>
            </w:r>
          </w:p>
        </w:tc>
      </w:tr>
      <w:tr>
        <w:trPr>
          <w:trHeight w:val="29"/>
        </w:trPr>
        <w:tc>
          <w:tcPr>
            <w:tcW w:w="17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01"/>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interest rate reductions, other-than-insignificant payment delay, or combination thereof.</w:t>
            </w:r>
          </w:p>
        </w:tc>
      </w:tr>
      <w:tr>
        <w:trPr>
          <w:trHeight w:val="203"/>
        </w:trPr>
        <w:tc>
          <w:tcPr>
            <w:tcW w:w="1700" w:type="dxa"/>
            <w:vAlign w:val="bottom"/>
          </w:tcPr>
          <w:p>
            <w:pPr>
              <w:spacing w:after="0"/>
              <w:rPr>
                <w:sz w:val="17"/>
                <w:szCs w:val="17"/>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These modifications extend the term of the loan, lower the payment amount, or result in an other-than-</w:t>
            </w:r>
          </w:p>
        </w:tc>
      </w:tr>
      <w:tr>
        <w:trPr>
          <w:trHeight w:val="216"/>
        </w:trPr>
        <w:tc>
          <w:tcPr>
            <w:tcW w:w="170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insignificant payment delay during a defined period for the purpose of providing borrowers additional time to</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return to compliance with the original loan term.</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greater than six months. These modifications require reduced or no payments during the</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for the purpose of providing borrowers additional time to return to compliance with the</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original loan term.</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and rate adjustment. These modifications extend the term of the loan and provide for an</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to the interest rate, which reduces the monthly payment requirement.</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greater than three months. These modifications extend the term of the loan, which reduces the</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monthly payment requirement.</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 modifications made to borrowers experiencing financial difficulty during three and six months ended June 30,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Rate Reduction,</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8"/>
        </w:trPr>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Interest Rate</w:t>
            </w:r>
          </w:p>
        </w:tc>
        <w:tc>
          <w:tcPr>
            <w:tcW w:w="120" w:type="dxa"/>
            <w:vAlign w:val="bottom"/>
          </w:tcPr>
          <w:p>
            <w:pPr>
              <w:spacing w:after="0"/>
              <w:rPr>
                <w:sz w:val="13"/>
                <w:szCs w:val="13"/>
                <w:color w:val="auto"/>
              </w:rPr>
            </w:pPr>
          </w:p>
        </w:tc>
        <w:tc>
          <w:tcPr>
            <w:tcW w:w="10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of Total Class of</w:t>
            </w:r>
          </w:p>
        </w:tc>
      </w:tr>
      <w:tr>
        <w:trPr>
          <w:trHeight w:val="210"/>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Extension</w:t>
            </w:r>
            <w:r>
              <w:rPr>
                <w:rFonts w:ascii="Times New Roman" w:cs="Times New Roman" w:eastAsia="Times New Roman" w:hAnsi="Times New Roman"/>
                <w:sz w:val="17"/>
                <w:szCs w:val="17"/>
                <w:b w:val="1"/>
                <w:bCs w:val="1"/>
                <w:color w:val="auto"/>
                <w:w w:val="98"/>
                <w:vertAlign w:val="superscript"/>
              </w:rPr>
              <w:t>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Extension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Loans and Leases</w:t>
            </w:r>
          </w:p>
        </w:tc>
      </w:tr>
      <w:tr>
        <w:trPr>
          <w:trHeight w:val="203"/>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6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r>
      <w:tr>
        <w:trPr>
          <w:trHeight w:val="19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14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2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0.01 %</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6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456</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3,680</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0.51</w:t>
            </w: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0.11</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4,567</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0.06</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4,650</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0.03 %</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276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Mortgage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2,159</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0.05 %</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0.01</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2,242</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0.04</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6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527</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0.01</w:t>
            </w: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7,171</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1.00</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1,053</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0.26</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8,952</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0.11</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11,194</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0.08 %</w:t>
            </w:r>
          </w:p>
        </w:tc>
      </w:tr>
      <w:tr>
        <w:trPr>
          <w:trHeight w:val="20"/>
        </w:trPr>
        <w:tc>
          <w:tcPr>
            <w:tcW w:w="27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0.02 %</w:t>
            </w: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5,178</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0.64</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0.16</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6,343</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0.08</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6,343</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0.05 %</w:t>
            </w:r>
          </w:p>
        </w:tc>
      </w:tr>
      <w:tr>
        <w:trPr>
          <w:trHeight w:val="20"/>
        </w:trPr>
        <w:tc>
          <w:tcPr>
            <w:tcW w:w="27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4,865</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0.29 %</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4,865</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0.08</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6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14,282</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0.31</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0.05</w:t>
            </w:r>
          </w:p>
        </w:tc>
      </w:tr>
      <w:tr>
        <w:trPr>
          <w:trHeight w:val="192"/>
        </w:trPr>
        <w:tc>
          <w:tcPr>
            <w:tcW w:w="14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9,930</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1.23</w:t>
            </w:r>
          </w:p>
        </w:tc>
      </w:tr>
      <w:tr>
        <w:trPr>
          <w:trHeight w:val="37"/>
        </w:trPr>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1,105</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0.28</w:t>
            </w:r>
          </w:p>
        </w:tc>
      </w:tr>
      <w:tr>
        <w:trPr>
          <w:trHeight w:val="186"/>
        </w:trPr>
        <w:tc>
          <w:tcPr>
            <w:tcW w:w="2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15,429</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26,464</w:t>
            </w:r>
          </w:p>
        </w:tc>
        <w:tc>
          <w:tcPr>
            <w:tcW w:w="12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0.33</w:t>
            </w:r>
          </w:p>
        </w:tc>
      </w:tr>
      <w:tr>
        <w:trPr>
          <w:trHeight w:val="37"/>
        </w:trPr>
        <w:tc>
          <w:tcPr>
            <w:tcW w:w="2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15,429</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31,329</w:t>
            </w:r>
          </w:p>
        </w:tc>
        <w:tc>
          <w:tcPr>
            <w:tcW w:w="12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0.23 %</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loan modifications made to borrowers experiencing financial difficulty during the three and six months ended June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Months</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Payment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Term Extension</w:t>
            </w:r>
          </w:p>
        </w:tc>
        <w:tc>
          <w:tcPr>
            <w:tcW w:w="360" w:type="dxa"/>
            <w:vAlign w:val="bottom"/>
          </w:tcPr>
          <w:p>
            <w:pPr>
              <w:spacing w:after="0"/>
              <w:rPr>
                <w:sz w:val="17"/>
                <w:szCs w:val="17"/>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Deferral</w:t>
            </w:r>
            <w:r>
              <w:rPr>
                <w:rFonts w:ascii="Times New Roman" w:cs="Times New Roman" w:eastAsia="Times New Roman" w:hAnsi="Times New Roman"/>
                <w:sz w:val="9"/>
                <w:szCs w:val="9"/>
                <w:b w:val="1"/>
                <w:bCs w:val="1"/>
                <w:color w:val="auto"/>
              </w:rPr>
              <w:t>1</w:t>
            </w:r>
          </w:p>
        </w:tc>
        <w:tc>
          <w:tcPr>
            <w:tcW w:w="1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Rate Reduction</w:t>
            </w:r>
          </w:p>
        </w:tc>
      </w:tr>
      <w:tr>
        <w:trPr>
          <w:trHeight w:val="37"/>
        </w:trPr>
        <w:tc>
          <w:tcPr>
            <w:tcW w:w="41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3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16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3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16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16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86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9"/>
          <w:szCs w:val="9"/>
          <w:color w:val="auto"/>
        </w:rPr>
        <w:t>1</w:t>
      </w:r>
      <w:r>
        <w:rPr>
          <w:sz w:val="20"/>
          <w:szCs w:val="20"/>
          <w:color w:val="auto"/>
        </w:rPr>
        <w:tab/>
      </w:r>
      <w:r>
        <w:rPr>
          <w:rFonts w:ascii="Times New Roman" w:cs="Times New Roman" w:eastAsia="Times New Roman" w:hAnsi="Times New Roman"/>
          <w:sz w:val="14"/>
          <w:szCs w:val="14"/>
          <w:color w:val="auto"/>
        </w:rPr>
        <w:t>Includes forbearance plans.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 modifications made to borrowers experiencing financial difficulty that defaulted during the three and six months ended June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Payment Delay &amp; Term</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 Extension and Interest</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20" w:type="dxa"/>
            <w:vAlign w:val="bottom"/>
          </w:tcPr>
          <w:p>
            <w:pPr>
              <w:spacing w:after="0"/>
              <w:rPr>
                <w:sz w:val="17"/>
                <w:szCs w:val="17"/>
                <w:color w:val="auto"/>
              </w:rPr>
            </w:pPr>
          </w:p>
        </w:tc>
        <w:tc>
          <w:tcPr>
            <w:tcW w:w="15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60" w:type="dxa"/>
            <w:vAlign w:val="bottom"/>
          </w:tcPr>
          <w:p>
            <w:pPr>
              <w:spacing w:after="0"/>
              <w:rPr>
                <w:sz w:val="17"/>
                <w:szCs w:val="17"/>
                <w:color w:val="auto"/>
              </w:rPr>
            </w:pP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Extension</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7"/>
                <w:szCs w:val="17"/>
                <w:color w:val="auto"/>
              </w:rPr>
            </w:pPr>
          </w:p>
        </w:tc>
        <w:tc>
          <w:tcPr>
            <w:tcW w:w="154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42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June 30, 2025</w:t>
            </w:r>
          </w:p>
        </w:tc>
        <w:tc>
          <w:tcPr>
            <w:tcW w:w="1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c>
          <w:tcPr>
            <w:tcW w:w="1920" w:type="dxa"/>
            <w:vAlign w:val="bottom"/>
            <w:gridSpan w:val="2"/>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Residential Mortgage</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92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8"/>
        </w:trPr>
        <w:tc>
          <w:tcPr>
            <w:tcW w:w="10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1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160" w:type="dxa"/>
            <w:vAlign w:val="bottom"/>
          </w:tcPr>
          <w:p>
            <w:pPr>
              <w:spacing w:after="0"/>
              <w:rPr>
                <w:sz w:val="18"/>
                <w:szCs w:val="18"/>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01"/>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w:t>
            </w:r>
          </w:p>
        </w:tc>
      </w:tr>
      <w:tr>
        <w:trPr>
          <w:trHeight w:val="35"/>
        </w:trPr>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61"/>
        </w:trPr>
        <w:tc>
          <w:tcPr>
            <w:tcW w:w="1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w:t>
            </w:r>
          </w:p>
        </w:tc>
      </w:tr>
      <w:tr>
        <w:trPr>
          <w:trHeight w:val="20"/>
        </w:trPr>
        <w:tc>
          <w:tcPr>
            <w:tcW w:w="320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2025</w:t>
            </w:r>
          </w:p>
        </w:tc>
        <w:tc>
          <w:tcPr>
            <w:tcW w:w="1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0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c>
          <w:tcPr>
            <w:tcW w:w="1920" w:type="dxa"/>
            <w:vAlign w:val="bottom"/>
            <w:gridSpan w:val="2"/>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Residential Mortgage</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92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8"/>
        </w:trPr>
        <w:tc>
          <w:tcPr>
            <w:tcW w:w="10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1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60" w:type="dxa"/>
            <w:vAlign w:val="bottom"/>
          </w:tcPr>
          <w:p>
            <w:pPr>
              <w:spacing w:after="0"/>
              <w:rPr>
                <w:sz w:val="18"/>
                <w:szCs w:val="18"/>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r>
      <w:tr>
        <w:trPr>
          <w:trHeight w:val="201"/>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842</w:t>
            </w:r>
          </w:p>
        </w:tc>
      </w:tr>
      <w:tr>
        <w:trPr>
          <w:trHeight w:val="35"/>
        </w:trPr>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62"/>
        </w:trPr>
        <w:tc>
          <w:tcPr>
            <w:tcW w:w="1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w:t>
            </w:r>
          </w:p>
        </w:tc>
      </w:tr>
      <w:tr>
        <w:trPr>
          <w:trHeight w:val="20"/>
        </w:trPr>
        <w:tc>
          <w:tcPr>
            <w:tcW w:w="320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June 30, 2024</w:t>
            </w:r>
          </w:p>
        </w:tc>
        <w:tc>
          <w:tcPr>
            <w:tcW w:w="1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0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34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1"/>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Commercial</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34</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35"/>
        </w:trPr>
        <w:tc>
          <w:tcPr>
            <w:tcW w:w="32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1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1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60" w:type="dxa"/>
            <w:vAlign w:val="bottom"/>
          </w:tcPr>
          <w:p>
            <w:pPr>
              <w:spacing w:after="0"/>
              <w:rPr>
                <w:sz w:val="18"/>
                <w:szCs w:val="18"/>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w:t>
            </w: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201"/>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w:t>
            </w:r>
          </w:p>
        </w:tc>
      </w:tr>
      <w:tr>
        <w:trPr>
          <w:trHeight w:val="35"/>
        </w:trPr>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61"/>
        </w:trPr>
        <w:tc>
          <w:tcPr>
            <w:tcW w:w="1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57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r>
      <w:tr>
        <w:trPr>
          <w:trHeight w:val="20"/>
        </w:trPr>
        <w:tc>
          <w:tcPr>
            <w:tcW w:w="320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tc>
        <w:tc>
          <w:tcPr>
            <w:tcW w:w="1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0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34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2"/>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Commercial</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34</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35"/>
        </w:trPr>
        <w:tc>
          <w:tcPr>
            <w:tcW w:w="32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1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1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160" w:type="dxa"/>
            <w:vAlign w:val="bottom"/>
          </w:tcPr>
          <w:p>
            <w:pPr>
              <w:spacing w:after="0"/>
              <w:rPr>
                <w:sz w:val="18"/>
                <w:szCs w:val="18"/>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w:t>
            </w:r>
          </w:p>
        </w:tc>
      </w:tr>
      <w:tr>
        <w:trPr>
          <w:trHeight w:val="35"/>
        </w:trPr>
        <w:tc>
          <w:tcPr>
            <w:tcW w:w="1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201"/>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863</w:t>
            </w:r>
          </w:p>
        </w:tc>
      </w:tr>
      <w:tr>
        <w:trPr>
          <w:trHeight w:val="35"/>
        </w:trPr>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62"/>
        </w:trPr>
        <w:tc>
          <w:tcPr>
            <w:tcW w:w="1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57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loans that have been modified in the last 12 months made to borrowers experiencing financial difficulty as of June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30 - 59 Days Past 60 - 89 Days Past Past Due 90 Days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tcPr>
          <w:p>
            <w:pPr>
              <w:spacing w:after="0"/>
              <w:rPr>
                <w:sz w:val="17"/>
                <w:szCs w:val="17"/>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Due</w:t>
            </w:r>
          </w:p>
        </w:tc>
        <w:tc>
          <w:tcPr>
            <w:tcW w:w="280" w:type="dxa"/>
            <w:vAlign w:val="bottom"/>
          </w:tcPr>
          <w:p>
            <w:pPr>
              <w:spacing w:after="0"/>
              <w:rPr>
                <w:sz w:val="17"/>
                <w:szCs w:val="17"/>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7"/>
                <w:szCs w:val="17"/>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7"/>
                <w:szCs w:val="17"/>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7"/>
                <w:szCs w:val="17"/>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w:t>
            </w: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w:t>
            </w:r>
          </w:p>
        </w:tc>
      </w:tr>
      <w:tr>
        <w:trPr>
          <w:trHeight w:val="23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13,731</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18,772</w:t>
            </w: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3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w:t>
            </w: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3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25,329</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26,464</w:t>
            </w:r>
          </w:p>
        </w:tc>
      </w:tr>
      <w:tr>
        <w:trPr>
          <w:trHeight w:val="23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30,194</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31,329</w:t>
            </w:r>
          </w:p>
        </w:tc>
      </w:tr>
      <w:tr>
        <w:trPr>
          <w:trHeight w:val="27"/>
        </w:trPr>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(residential mortgage and home equity) that are in the process of foreclosure totaled $7.2 million and $9.6 million as of June 30, 2025 and December 31,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$2.4 billion as of June 30, 2025 and $2.5 billion as of December 31, 2024.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 w:cs="Times New Roman" w:eastAsia="Times New Roman" w:hAnsi="Times New Roman"/>
          <w:sz w:val="18"/>
          <w:szCs w:val="18"/>
          <w:i w:val="1"/>
          <w:iCs w:val="1"/>
          <w:color w:val="auto"/>
        </w:rPr>
        <w:t>Fair Value of Assets and Liabilities</w:t>
      </w:r>
      <w:r>
        <w:rPr>
          <w:rFonts w:ascii="Times New Roman" w:cs="Times New Roman" w:eastAsia="Times New Roman" w:hAnsi="Times New Roman"/>
          <w:sz w:val="18"/>
          <w:szCs w:val="18"/>
          <w:color w:val="auto"/>
        </w:rPr>
        <w:t xml:space="preserve"> for more information). Changes to the balance of mortgage servicing rights are recorded in noninterest income under Mortgage Banking in the Company’s unaudited consolidated statements of income.</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$1.3 million and $1.4 million for the three months ended June 30, 2025 and 2024, respectively, and $2.6 million and $2.8 million for the six months ended June 30, 2025 and 2024, respectively.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change in the carrying value of the Company’s mortgage servicing rights accounted for under the fair value measurement method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580" w:type="dxa"/>
            <w:vAlign w:val="bottom"/>
            <w:gridSpan w:val="3"/>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647</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678</w:t>
            </w:r>
          </w:p>
        </w:tc>
      </w:tr>
      <w:tr>
        <w:trPr>
          <w:trHeight w:val="237"/>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 Due to Payoffs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(10)</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619</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668</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change in the carrying value of the Company’s mortgage servicing rights accounted for under the amortization method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18,141</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20,201</w:t>
            </w:r>
          </w:p>
        </w:tc>
        <w:tc>
          <w:tcPr>
            <w:tcW w:w="0" w:type="dxa"/>
            <w:vAlign w:val="bottom"/>
          </w:tcPr>
          <w:p>
            <w:pPr>
              <w:spacing w:after="0"/>
              <w:rPr>
                <w:sz w:val="1"/>
                <w:szCs w:val="1"/>
                <w:color w:val="auto"/>
              </w:rPr>
            </w:pP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19,286</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 Under the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Method</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24,569</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26,173</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24,218</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24,218</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June 30, 2025 and December 31, 2024,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ind w:left="79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00" w:type="dxa"/>
            <w:vAlign w:val="bottom"/>
          </w:tcPr>
          <w:p>
            <w:pPr>
              <w:spacing w:after="0"/>
              <w:rPr>
                <w:sz w:val="16"/>
                <w:szCs w:val="16"/>
                <w:color w:val="auto"/>
              </w:rPr>
            </w:pPr>
          </w:p>
        </w:tc>
        <w:tc>
          <w:tcPr>
            <w:tcW w:w="17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6"/>
        </w:trPr>
        <w:tc>
          <w:tcPr>
            <w:tcW w:w="88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4.12 %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r>
      <w:tr>
        <w:trPr>
          <w:trHeight w:val="23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5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Note Rate</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3.76 %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r>
      <w:tr>
        <w:trPr>
          <w:trHeight w:val="294"/>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9.55 %</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9.92 %</w:t>
            </w:r>
          </w:p>
        </w:tc>
      </w:tr>
    </w:tbl>
    <w:p>
      <w:pPr>
        <w:ind w:left="80" w:hanging="72"/>
        <w:spacing w:after="0" w:line="222" w:lineRule="auto"/>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annualized loan prepayment rate assumption.</w:t>
      </w:r>
    </w:p>
    <w:p>
      <w:pPr>
        <w:ind w:left="80" w:hanging="72"/>
        <w:spacing w:after="0" w:line="200" w:lineRule="auto"/>
        <w:tabs>
          <w:tab w:leader="none" w:pos="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67"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June 30, 2025 and December 31, 2024, is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40" w:type="dxa"/>
            <w:vAlign w:val="bottom"/>
          </w:tcPr>
          <w:p>
            <w:pPr>
              <w:spacing w:after="0"/>
              <w:rPr>
                <w:sz w:val="16"/>
                <w:szCs w:val="16"/>
                <w:color w:val="auto"/>
              </w:rPr>
            </w:pP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61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8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18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bl>
    <w:p>
      <w:pPr>
        <w:spacing w:after="0" w:line="27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$224.4 million and $233.2 million as of June 30, 2025 and December 31, 2024, respectively, and are included in Other Assets in the unaudited consolidated statements of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expected payments for unfunded affordable housing commitments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35,076</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61,293</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36"/>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15,070</w:t>
            </w:r>
          </w:p>
        </w:tc>
      </w:tr>
      <w:tr>
        <w:trPr>
          <w:trHeight w:val="262"/>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3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113,814</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and six months ended June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Yield Method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17,688</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w:t>
            </w:r>
          </w:p>
        </w:tc>
      </w:tr>
      <w:tr>
        <w:trPr>
          <w:trHeight w:val="22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during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Securities Sold Under Agreements to Repurchase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June 30, 2025 and December 31, 2024, by collateral pledged.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880" w:type="dxa"/>
            <w:vAlign w:val="bottom"/>
            <w:tcBorders>
              <w:bottom w:val="single" w:sz="8" w:color="auto"/>
            </w:tcBorders>
          </w:tcPr>
          <w:p>
            <w:pPr>
              <w:spacing w:after="0"/>
              <w:rPr>
                <w:sz w:val="19"/>
                <w:szCs w:val="19"/>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Up to 90 days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91-365 days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After 3 Years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bl>
    <w:p>
      <w:pPr>
        <w:spacing w:after="0" w:line="2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assets and liabilities subject to an enforceable master netting arrangement, or repurchase agreements as of June 30, 2025 and December 31, 2024.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on swap agreements.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(ii)</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(iii) = (i)-(ii)</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(iv)</w:t>
            </w: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 = (iii)-(iv)</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Gross Amounts Not Offset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the Statements of Condition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60" w:type="dxa"/>
            <w:vAlign w:val="bottom"/>
          </w:tcPr>
          <w:p>
            <w:pPr>
              <w:spacing w:after="0"/>
              <w:rPr>
                <w:sz w:val="16"/>
                <w:szCs w:val="16"/>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40" w:type="dxa"/>
            <w:vAlign w:val="bottom"/>
          </w:tcPr>
          <w:p>
            <w:pPr>
              <w:spacing w:after="0"/>
              <w:rPr>
                <w:sz w:val="16"/>
                <w:szCs w:val="16"/>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Net Amounts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Pr>
          <w:p>
            <w:pPr>
              <w:spacing w:after="0"/>
              <w:rPr>
                <w:sz w:val="16"/>
                <w:szCs w:val="16"/>
                <w:color w:val="auto"/>
              </w:rPr>
            </w:pPr>
          </w:p>
        </w:tc>
        <w:tc>
          <w:tcPr>
            <w:tcW w:w="11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Fair Value of</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Recognized in the</w:t>
            </w:r>
          </w:p>
        </w:tc>
        <w:tc>
          <w:tcPr>
            <w:tcW w:w="16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Offset in the</w:t>
            </w:r>
          </w:p>
        </w:tc>
        <w:tc>
          <w:tcPr>
            <w:tcW w:w="140" w:type="dxa"/>
            <w:vAlign w:val="bottom"/>
          </w:tcPr>
          <w:p>
            <w:pPr>
              <w:spacing w:after="0"/>
              <w:rPr>
                <w:sz w:val="15"/>
                <w:szCs w:val="15"/>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Presented in the</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Adjustments per</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6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40" w:type="dxa"/>
            <w:vAlign w:val="bottom"/>
          </w:tcPr>
          <w:p>
            <w:pPr>
              <w:spacing w:after="0"/>
              <w:rPr>
                <w:sz w:val="15"/>
                <w:szCs w:val="15"/>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Master Netting</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Collateral Pledged/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60" w:type="dxa"/>
            <w:vAlign w:val="bottom"/>
          </w:tcPr>
          <w:p>
            <w:pPr>
              <w:spacing w:after="0"/>
              <w:rPr>
                <w:sz w:val="18"/>
                <w:szCs w:val="18"/>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40" w:type="dxa"/>
            <w:vAlign w:val="bottom"/>
          </w:tcPr>
          <w:p>
            <w:pPr>
              <w:spacing w:after="0"/>
              <w:rPr>
                <w:sz w:val="18"/>
                <w:szCs w:val="18"/>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00" w:type="dxa"/>
            <w:vAlign w:val="bottom"/>
          </w:tcPr>
          <w:p>
            <w:pPr>
              <w:spacing w:after="0"/>
              <w:rPr>
                <w:sz w:val="18"/>
                <w:szCs w:val="18"/>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Arrangements</w:t>
            </w:r>
          </w:p>
        </w:tc>
        <w:tc>
          <w:tcPr>
            <w:tcW w:w="220" w:type="dxa"/>
            <w:vAlign w:val="bottom"/>
          </w:tcPr>
          <w:p>
            <w:pPr>
              <w:spacing w:after="0"/>
              <w:rPr>
                <w:sz w:val="18"/>
                <w:szCs w:val="18"/>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xml:space="preserve">Received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Net Amount</w:t>
            </w:r>
          </w:p>
        </w:tc>
        <w:tc>
          <w:tcPr>
            <w:tcW w:w="0" w:type="dxa"/>
            <w:vAlign w:val="bottom"/>
          </w:tcPr>
          <w:p>
            <w:pPr>
              <w:spacing w:after="0"/>
              <w:rPr>
                <w:sz w:val="1"/>
                <w:szCs w:val="1"/>
                <w:color w:val="auto"/>
              </w:rPr>
            </w:pP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94,597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94,597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141,571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40" w:hanging="412"/>
        <w:spacing w:after="0" w:line="230" w:lineRule="auto"/>
        <w:tabs>
          <w:tab w:leader="none" w:pos="41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$56.0 million and $109.5 million as of June 30, 2025 and December 31, 2024,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for the three and six months ended June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19,927</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14,646</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4"/>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25,811</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18,970</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4"/>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26,128</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3"/>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12,316</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9,052</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8"/>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12,546</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9,220</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47,920</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12,699</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35,221</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5"/>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11,578</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8,509</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59,498</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15,768</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43,730</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5"/>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60,130</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15,935</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44,195</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12,807</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12,496</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9,183</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3"/>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29,922</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8"/>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22,327</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amortization of unrealized holding losses on HTM securities relate to the Company’s reclassification of AFS investment securities to the HTM category and will be amortized over the remaining life of the investment securities as an adjustment of yield.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net of tax,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4"/>
                <w:szCs w:val="14"/>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62"/>
        </w:trPr>
        <w:tc>
          <w:tcPr>
            <w:tcW w:w="532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Securities-Available-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Securities-Held-to-</w:t>
            </w:r>
          </w:p>
        </w:tc>
        <w:tc>
          <w:tcPr>
            <w:tcW w:w="16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60" w:type="dxa"/>
            <w:vAlign w:val="bottom"/>
          </w:tcPr>
          <w:p>
            <w:pPr>
              <w:spacing w:after="0"/>
              <w:rPr>
                <w:sz w:val="17"/>
                <w:szCs w:val="17"/>
                <w:color w:val="auto"/>
              </w:rPr>
            </w:pPr>
          </w:p>
        </w:tc>
        <w:tc>
          <w:tcPr>
            <w:tcW w:w="11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for-Sale</w:t>
            </w:r>
          </w:p>
        </w:tc>
        <w:tc>
          <w:tcPr>
            <w:tcW w:w="220" w:type="dxa"/>
            <w:vAlign w:val="bottom"/>
          </w:tcPr>
          <w:p>
            <w:pPr>
              <w:spacing w:after="0"/>
              <w:rPr>
                <w:sz w:val="17"/>
                <w:szCs w:val="17"/>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7"/>
                <w:szCs w:val="17"/>
                <w:color w:val="auto"/>
              </w:rPr>
            </w:pPr>
          </w:p>
        </w:tc>
        <w:tc>
          <w:tcPr>
            <w:tcW w:w="11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7"/>
                <w:szCs w:val="17"/>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37"/>
        </w:trPr>
        <w:tc>
          <w:tcPr>
            <w:tcW w:w="5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(168,655)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(318,397)</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w:t>
            </w:r>
          </w:p>
        </w:tc>
      </w:tr>
      <w:tr>
        <w:trPr>
          <w:trHeight w:val="237"/>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w:t>
            </w:r>
          </w:p>
        </w:tc>
      </w:tr>
      <w:tr>
        <w:trPr>
          <w:trHeight w:val="23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19,203</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(154,009)</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(299,194)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(216,027)</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(383,581)</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9,220</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(374,361)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(189,230)</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35,221</w:t>
            </w:r>
          </w:p>
        </w:tc>
      </w:tr>
      <w:tr>
        <w:trPr>
          <w:trHeight w:val="23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8,974</w:t>
            </w:r>
          </w:p>
        </w:tc>
      </w:tr>
      <w:tr>
        <w:trPr>
          <w:trHeight w:val="23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35,221</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44,195</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(154,009)</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(299,194)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(224,407)</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(396,688)</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22,327</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(374,361)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for the three and six months ended June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3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6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30"/>
        </w:trPr>
        <w:tc>
          <w:tcPr>
            <w:tcW w:w="4320" w:type="dxa"/>
            <w:vAlign w:val="bottom"/>
          </w:tcPr>
          <w:p>
            <w:pPr>
              <w:spacing w:after="0"/>
              <w:rPr>
                <w:sz w:val="20"/>
                <w:szCs w:val="20"/>
                <w:color w:val="auto"/>
              </w:rPr>
            </w:pPr>
          </w:p>
        </w:tc>
        <w:tc>
          <w:tcPr>
            <w:tcW w:w="30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Borders>
              <w:bottom w:val="single" w:sz="8" w:color="auto"/>
            </w:tcBorders>
          </w:tcPr>
          <w:p>
            <w:pPr>
              <w:spacing w:after="0"/>
              <w:rPr>
                <w:sz w:val="20"/>
                <w:szCs w:val="20"/>
                <w:color w:val="auto"/>
              </w:rPr>
            </w:pPr>
          </w:p>
        </w:tc>
        <w:tc>
          <w:tcPr>
            <w:tcW w:w="326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11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4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1,560</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43"/>
        </w:trPr>
        <w:tc>
          <w:tcPr>
            <w:tcW w:w="4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5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Prior Service Credit </w:t>
            </w:r>
            <w:r>
              <w:rPr>
                <w:rFonts w:ascii="Times New Roman" w:cs="Times New Roman" w:eastAsia="Times New Roman" w:hAnsi="Times New Roman"/>
                <w:sz w:val="21"/>
                <w:szCs w:val="21"/>
                <w:color w:val="auto"/>
                <w:vertAlign w:val="superscript"/>
              </w:rPr>
              <w:t>2</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60" w:type="dxa"/>
            <w:vAlign w:val="bottom"/>
            <w:shd w:val="clear" w:color="auto" w:fill="CCEEFF"/>
          </w:tcPr>
          <w:p>
            <w:pPr>
              <w:spacing w:after="0"/>
              <w:rPr>
                <w:sz w:val="21"/>
                <w:szCs w:val="21"/>
                <w:color w:val="auto"/>
              </w:rPr>
            </w:pPr>
          </w:p>
        </w:tc>
      </w:tr>
      <w:tr>
        <w:trPr>
          <w:trHeight w:val="243"/>
        </w:trPr>
        <w:tc>
          <w:tcPr>
            <w:tcW w:w="4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Net Actuarial Losses </w:t>
            </w:r>
            <w:r>
              <w:rPr>
                <w:rFonts w:ascii="Times New Roman" w:cs="Times New Roman" w:eastAsia="Times New Roman" w:hAnsi="Times New Roman"/>
                <w:sz w:val="21"/>
                <w:szCs w:val="21"/>
                <w:color w:val="auto"/>
                <w:vertAlign w:val="superscript"/>
              </w:rPr>
              <w:t>2</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260" w:type="dxa"/>
            <w:vAlign w:val="bottom"/>
            <w:tcBorders>
              <w:bottom w:val="single" w:sz="8" w:color="auto"/>
            </w:tcBorders>
          </w:tcPr>
          <w:p>
            <w:pPr>
              <w:spacing w:after="0"/>
              <w:rPr>
                <w:sz w:val="21"/>
                <w:szCs w:val="21"/>
                <w:color w:val="auto"/>
              </w:rPr>
            </w:pPr>
          </w:p>
        </w:tc>
      </w:tr>
      <w:tr>
        <w:trPr>
          <w:trHeight w:val="237"/>
        </w:trPr>
        <w:tc>
          <w:tcPr>
            <w:tcW w:w="4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37"/>
        </w:trPr>
        <w:tc>
          <w:tcPr>
            <w:tcW w:w="4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5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18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gridSpan w:val="4"/>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r>
      <w:tr>
        <w:trPr>
          <w:trHeight w:val="424"/>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3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6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30"/>
        </w:trPr>
        <w:tc>
          <w:tcPr>
            <w:tcW w:w="4320" w:type="dxa"/>
            <w:vAlign w:val="bottom"/>
          </w:tcPr>
          <w:p>
            <w:pPr>
              <w:spacing w:after="0"/>
              <w:rPr>
                <w:sz w:val="20"/>
                <w:szCs w:val="20"/>
                <w:color w:val="auto"/>
              </w:rPr>
            </w:pPr>
          </w:p>
        </w:tc>
        <w:tc>
          <w:tcPr>
            <w:tcW w:w="300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c>
          <w:tcPr>
            <w:tcW w:w="326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1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4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3,069</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43"/>
        </w:trPr>
        <w:tc>
          <w:tcPr>
            <w:tcW w:w="4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5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Prior Service Credit </w:t>
            </w:r>
            <w:r>
              <w:rPr>
                <w:rFonts w:ascii="Times New Roman" w:cs="Times New Roman" w:eastAsia="Times New Roman" w:hAnsi="Times New Roman"/>
                <w:sz w:val="21"/>
                <w:szCs w:val="21"/>
                <w:color w:val="auto"/>
                <w:vertAlign w:val="superscript"/>
              </w:rPr>
              <w:t>2</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260" w:type="dxa"/>
            <w:vAlign w:val="bottom"/>
            <w:shd w:val="clear" w:color="auto" w:fill="CCEEFF"/>
          </w:tcPr>
          <w:p>
            <w:pPr>
              <w:spacing w:after="0"/>
              <w:rPr>
                <w:sz w:val="21"/>
                <w:szCs w:val="21"/>
                <w:color w:val="auto"/>
              </w:rPr>
            </w:pPr>
          </w:p>
        </w:tc>
      </w:tr>
      <w:tr>
        <w:trPr>
          <w:trHeight w:val="243"/>
        </w:trPr>
        <w:tc>
          <w:tcPr>
            <w:tcW w:w="4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Net Actuarial Losses </w:t>
            </w:r>
            <w:r>
              <w:rPr>
                <w:rFonts w:ascii="Times New Roman" w:cs="Times New Roman" w:eastAsia="Times New Roman" w:hAnsi="Times New Roman"/>
                <w:sz w:val="21"/>
                <w:szCs w:val="21"/>
                <w:color w:val="auto"/>
                <w:vertAlign w:val="superscript"/>
              </w:rPr>
              <w:t>2</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3260" w:type="dxa"/>
            <w:vAlign w:val="bottom"/>
            <w:tcBorders>
              <w:bottom w:val="single" w:sz="8" w:color="auto"/>
            </w:tcBorders>
          </w:tcPr>
          <w:p>
            <w:pPr>
              <w:spacing w:after="0"/>
              <w:rPr>
                <w:sz w:val="21"/>
                <w:szCs w:val="21"/>
                <w:color w:val="auto"/>
              </w:rPr>
            </w:pPr>
          </w:p>
        </w:tc>
      </w:tr>
      <w:tr>
        <w:trPr>
          <w:trHeight w:val="237"/>
        </w:trPr>
        <w:tc>
          <w:tcPr>
            <w:tcW w:w="4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37"/>
        </w:trPr>
        <w:tc>
          <w:tcPr>
            <w:tcW w:w="4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5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18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 parentheses indicate reductions to net income.</w:t>
      </w:r>
    </w:p>
    <w:p>
      <w:pPr>
        <w:spacing w:after="0" w:line="21" w:lineRule="exact"/>
        <w:rPr>
          <w:sz w:val="20"/>
          <w:szCs w:val="20"/>
          <w:color w:val="auto"/>
        </w:rPr>
      </w:pPr>
    </w:p>
    <w:p>
      <w:pPr>
        <w:ind w:left="500" w:right="180" w:hanging="492"/>
        <w:spacing w:after="0" w:line="225" w:lineRule="auto"/>
        <w:tabs>
          <w:tab w:leader="none" w:pos="493"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accumulated other comprehensive income components are included in the computation of net periodic benefit cost and are included in other noninterest expense in the unaudited consolidated statements of income.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and six months ended June 30,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42,368</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81,084</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66,536</w:t>
            </w:r>
          </w:p>
        </w:tc>
      </w:tr>
      <w:tr>
        <w:trPr>
          <w:trHeight w:val="280"/>
        </w:trPr>
        <w:tc>
          <w:tcPr>
            <w:tcW w:w="5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39,622,998</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39,450,551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39,588,916</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39,400,452</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272,095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168,154</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299,378</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218,322</w:t>
            </w:r>
          </w:p>
        </w:tc>
      </w:tr>
      <w:tr>
        <w:trPr>
          <w:trHeight w:val="261"/>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39,895,093</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39,618,705</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39,888,294</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39,618,774</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70"/>
        </w:trPr>
        <w:tc>
          <w:tcPr>
            <w:tcW w:w="5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Restricted Stock Outstanding</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49,572</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31,992</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8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Company’s business segments are defined as Consumer Banking, Commercial Banking, and Treasury and Other. The Company’s chief operating decision maker (“CODM”) is the Chairman and Chief Executive Officer. The CODM uses income from operations to evaluate the performance of the overall business and to allocate resources to each of the segments.</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4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4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spacing w:after="0" w:line="1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51 branch locations and 317 ATMs throughout Hawai‘i and the West Pacific, a customer service center, and online and mobile banking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8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following table.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and six months ended June 30, 2025 and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104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129,683</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126,433</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44,795</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35,339</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61,308</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10,499</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58,629</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(33,188)</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38,976</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86,803</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18,874</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110,783</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(20,693)</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60,445</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12,808</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47,637</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June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8,228,766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6,139,748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9,341,238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23,709,752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 ¹</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114,846</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112,446</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42,087</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31,791</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57,033</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60,106</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41,634</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87,011</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109,226</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(35,767)</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45,307</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10,685</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11,224</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34,083</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June 30, 2024</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8,357,830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5,835,399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9,107,539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23,300,768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190,963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255,490</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185,049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(44,475)</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248,990</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67,479</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88,853</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124,192</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14,209</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21,058</w:t>
            </w: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116,831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27,417</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75,992</w:t>
            </w:r>
          </w:p>
        </w:tc>
      </w:tr>
      <w:tr>
        <w:trPr>
          <w:trHeight w:val="234"/>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173,177</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38,516</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221,242</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116,601</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24,979</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91,622</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June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8,228,766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6,139,748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9,341,238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23,709,752</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 ¹</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195,199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102,378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228,784</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190,039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(67,566)</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224,384</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65,635</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84,372</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63,573</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115,248</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21,015</w:t>
            </w: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115,030</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25,184</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(61,392)</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78,822</w:t>
            </w:r>
          </w:p>
        </w:tc>
      </w:tr>
      <w:tr>
        <w:trPr>
          <w:trHeight w:val="234"/>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169,716</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36,653</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215,085</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85,958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(71,037)</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93,671</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21,865</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(18,563)</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23,197</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70,474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June 30, 2024</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8,357,830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5,835,399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9,107,539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23,300,768</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June 30, 2025, and December 31, 2024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Interest Rate Swap Agreements </w:t>
            </w:r>
            <w:r>
              <w:rPr>
                <w:rFonts w:ascii="Times New Roman" w:cs="Times New Roman" w:eastAsia="Times New Roman" w:hAnsi="Times New Roman"/>
                <w:sz w:val="21"/>
                <w:szCs w:val="2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2,165,596</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(136,218)</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2,165,596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136,125</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Conversion Rate Swap Agreements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108,069</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96,466</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81"/>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Makewhole Agreements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49,161</w:t>
            </w:r>
          </w:p>
        </w:tc>
        <w:tc>
          <w:tcPr>
            <w:tcW w:w="26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65,763</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1" w:lineRule="exact"/>
        <w:rPr>
          <w:sz w:val="20"/>
          <w:szCs w:val="20"/>
          <w:color w:val="auto"/>
        </w:rPr>
      </w:pPr>
    </w:p>
    <w:p>
      <w:pPr>
        <w:ind w:left="80" w:right="160" w:hanging="72"/>
        <w:spacing w:after="0" w:line="266" w:lineRule="auto"/>
        <w:tabs>
          <w:tab w:leader="none" w:pos="73"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June 30, 2025 and December 31, 2024, the amounts presented in the table above exclude forward starting swaps with notional values of $600 million and $300 million, respectively, and fair values of $1.3 million and $4.7 million, respectively. These swaps are scheduled to begin between August 2025 and August 2026.</w:t>
      </w:r>
    </w:p>
    <w:p>
      <w:pPr>
        <w:ind w:left="80" w:hanging="72"/>
        <w:spacing w:after="0" w:line="200" w:lineRule="auto"/>
        <w:tabs>
          <w:tab w:leader="none" w:pos="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conversion rate swap agreements were valued at zero as further reductions to the conversion rate were not reasonably estimable.</w:t>
      </w:r>
    </w:p>
    <w:p>
      <w:pPr>
        <w:spacing w:after="0" w:line="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makewhole agreements were valued at zero as the likelihood of a payment required to the buyer was not reasonably estimable.</w:t>
      </w:r>
    </w:p>
    <w:p>
      <w:pPr>
        <w:spacing w:after="0" w:line="1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unaudited consolidated statements of condition as of June 30, 2025 and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3"/>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4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146,923</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147,016</w:t>
            </w:r>
          </w:p>
        </w:tc>
      </w:tr>
      <w:tr>
        <w:trPr>
          <w:trHeight w:val="246"/>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Designated as Hedging Instruments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w:t>
            </w:r>
          </w:p>
        </w:tc>
      </w:tr>
      <w:tr>
        <w:trPr>
          <w:trHeight w:val="233"/>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108,186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154,055</w:t>
            </w: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161,473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154,058</w:t>
            </w:r>
          </w:p>
        </w:tc>
      </w:tr>
      <w:tr>
        <w:trPr>
          <w:trHeight w:val="27"/>
        </w:trPr>
        <w:tc>
          <w:tcPr>
            <w:tcW w:w="5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80" w:right="280" w:hanging="72"/>
        <w:spacing w:after="0" w:line="230" w:lineRule="auto"/>
        <w:tabs>
          <w:tab w:leader="none" w:pos="7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Asset derivatives are included in other assets and liability derivatives are included in other liabilities in the unaudited consolidated statements of condition. Derivatives are recognized on the Company's unaudited consolidated statements of condition at fair value.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unaudited consolidated statements of income for the three and six months ended June 30, 2025 and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31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Location of Net Gains (Losses)</w:t>
            </w:r>
          </w:p>
        </w:tc>
        <w:tc>
          <w:tcPr>
            <w:tcW w:w="26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314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Recognized in the Statements of Income</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Securities Available-for-Sale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(20,147)</w:t>
            </w: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26,824</w:t>
            </w:r>
          </w:p>
        </w:tc>
        <w:tc>
          <w:tcPr>
            <w:tcW w:w="0" w:type="dxa"/>
            <w:vAlign w:val="bottom"/>
          </w:tcPr>
          <w:p>
            <w:pPr>
              <w:spacing w:after="0"/>
              <w:rPr>
                <w:sz w:val="1"/>
                <w:szCs w:val="1"/>
                <w:color w:val="auto"/>
              </w:rPr>
            </w:pPr>
          </w:p>
        </w:tc>
      </w:tr>
      <w:tr>
        <w:trPr>
          <w:trHeight w:val="233"/>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11,789</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(27,060)</w:t>
            </w: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0" w:type="dxa"/>
            <w:vAlign w:val="bottom"/>
          </w:tcPr>
          <w:p>
            <w:pPr>
              <w:spacing w:after="0"/>
              <w:rPr>
                <w:sz w:val="1"/>
                <w:szCs w:val="1"/>
                <w:color w:val="auto"/>
              </w:rPr>
            </w:pPr>
          </w:p>
        </w:tc>
      </w:tr>
      <w:tr>
        <w:trPr>
          <w:trHeight w:val="233"/>
        </w:trPr>
        <w:tc>
          <w:tcPr>
            <w:tcW w:w="5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Mortgage Banking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33"/>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Commitments</w:t>
            </w: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Mortgage Banking</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Conversion Rate Swap Agreements</w:t>
            </w:r>
          </w:p>
        </w:tc>
        <w:tc>
          <w:tcPr>
            <w:tcW w:w="3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Investment Securities Gains (Losses),</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Net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2"/>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unaudited consolidated statements of condition related to the cumulative basis adjustment for fair value hedges as of June 30, 2025 and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in the Unaudited Consolidated Statements of Condition</w:t>
            </w:r>
          </w:p>
        </w:tc>
        <w:tc>
          <w:tcPr>
            <w:tcW w:w="280" w:type="dxa"/>
            <w:vAlign w:val="bottom"/>
          </w:tcPr>
          <w:p>
            <w:pPr>
              <w:spacing w:after="0"/>
              <w:rPr>
                <w:sz w:val="16"/>
                <w:szCs w:val="16"/>
                <w:color w:val="auto"/>
              </w:rPr>
            </w:pPr>
          </w:p>
        </w:tc>
        <w:tc>
          <w:tcPr>
            <w:tcW w:w="33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Assets</w:t>
            </w: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Included In the Carrying Amount of the Hedged Assets</w:t>
            </w: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Investment Securities, Available-for-Sale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1,207,091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7,091 $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9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and Leases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1,604,459</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1,292,670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4,459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0" w:right="40" w:hanging="172"/>
        <w:spacing w:after="0" w:line="221" w:lineRule="auto"/>
        <w:tabs>
          <w:tab w:leader="none" w:pos="17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June 30, 2025 and December 31, 2024, the fair value of the closed portfolios used in these hedging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relationships was $1.6 billion and $1.7 billion, respectively.</w:t>
      </w:r>
    </w:p>
    <w:p>
      <w:pPr>
        <w:spacing w:after="0" w:line="9" w:lineRule="exact"/>
        <w:rPr>
          <w:sz w:val="20"/>
          <w:szCs w:val="20"/>
          <w:color w:val="auto"/>
        </w:rPr>
      </w:pPr>
    </w:p>
    <w:p>
      <w:pPr>
        <w:jc w:val="both"/>
        <w:ind w:left="180" w:right="300" w:hanging="172"/>
        <w:spacing w:after="0" w:line="236" w:lineRule="auto"/>
        <w:tabs>
          <w:tab w:leader="none" w:pos="17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June 30, 2025 and December 31, 2024, the amortized cost basis of the closed portfolios used in these hedging relationships was $2.9 billion and $3.0 billion,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Commitments/Forward Commitments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with changes recorded in the mortgage banking component of noninterest income in the Company’s consolidated statements of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interest rate swap agreements to facilitate the risk management strategies of a small number of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$82.8 million and $136.1 million as of June 30, 2025 and December 31,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 Swap Agreements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certain sales of Visa Class B restricted shares were completed, the Company entered into conversion rate swap agreements with the buyers that require payment to the buyers in the event Visa further reduces the conversion ratio of Class B into Class A unrestricted common shares. In the event of Visa increasing the conversion ratio, the buyers would be required to make payment to the Company. As of June 30, 2025 and December 31, 2024, the conversion rate swap agreements were valued at zero (i.e., no contingent liability recorded) as further reductions to the conversion ratio were deemed not reasonably estimable by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Makewhole Agreements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makewhole agreements with certain buyers of its Visa Class B restricted shares that reduces the payments that would be required pursuant to the conversion rate swap agreements described above, but would require payment to the buyer in the event Visa requires additional legal reserves to settle ongoing litigation. As of June 30, 2025 and December 31, 2024, the makewhole agreements were valued at zero (i.e., no contingent liability recorded) as the likelihood of the Company being required to make a payment to the buyer is not reasonably estimable by management.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June 30, 2025 and December 31, 2024,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3,096,145</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3,128,272</w:t>
            </w: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6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93,256</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96,484</w:t>
            </w:r>
          </w:p>
        </w:tc>
      </w:tr>
      <w:tr>
        <w:trPr>
          <w:trHeight w:val="246"/>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6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9,432</w:t>
            </w: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r>
      <w:tr>
        <w:trPr>
          <w:trHeight w:val="23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Credit Commitments</w:t>
            </w:r>
          </w:p>
        </w:tc>
        <w:tc>
          <w:tcPr>
            <w:tcW w:w="2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3,198,833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3,234,095</w:t>
            </w:r>
          </w:p>
        </w:tc>
      </w:tr>
      <w:tr>
        <w:trPr>
          <w:trHeight w:val="27"/>
        </w:trPr>
        <w:tc>
          <w:tcPr>
            <w:tcW w:w="5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$77.7 million secured certain specifically identified standby letters of credit as of June 30, 2025. As of June 30, 2025, the standby and commercial letters of credit had remaining terms ranging from 1 to 13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89" w:lineRule="exact"/>
        <w:rPr>
          <w:sz w:val="20"/>
          <w:szCs w:val="20"/>
          <w:color w:val="auto"/>
        </w:rPr>
      </w:pPr>
    </w:p>
    <w:p>
      <w:pPr>
        <w:ind w:left="2160" w:right="144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180" w:lineRule="exact"/>
        <w:rPr>
          <w:sz w:val="20"/>
          <w:szCs w:val="20"/>
          <w:color w:val="auto"/>
        </w:rPr>
      </w:pPr>
    </w:p>
    <w:p>
      <w:pPr>
        <w:ind w:left="2160" w:right="158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180" w:lineRule="exact"/>
        <w:rPr>
          <w:sz w:val="20"/>
          <w:szCs w:val="20"/>
          <w:color w:val="auto"/>
        </w:rPr>
      </w:pPr>
    </w:p>
    <w:p>
      <w:pPr>
        <w:ind w:left="2160" w:right="1820" w:hanging="998"/>
        <w:spacing w:after="0" w:line="281" w:lineRule="auto"/>
        <w:tabs>
          <w:tab w:leader="none" w:pos="2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4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to the fair value measurement. Our assessment of the significance of an input requires judgment and considers factors specific to the instrument.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 party pricing service, fair value may be estimated by the use of secondary pricing services or through the use of non-binding third party broker quotes.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18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Deferred Compensation Plan Assets are recorded at fair value on a recurring basis and are primarily comprised of mutual funds that are valued using quoted prices available in active markets. Thus, the Company’s investments related to deferred compensation arrangements are classified as Level 1 measurements in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IRLCs, forward commitments, interest rate swap agreements,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fair values of interest rate swap agreements are calculated using a discounted cash flow approach and utilize Level 2 observable inputs such as a market yield curve, effective date, maturity date, notional amount, and stated interest rate. The valuation methodology for interest rate swaps with financial institution counterparties (and the related customer interest rate swaps) is based on the Secured Overnight Financing Rate (“SOFR”). Thus,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2025 and December 31, 2024, the conversion rate swap agreements were valued at zero as reductions to the conversion ratio were not reasonably estimable by management.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The fair value of the makewhole agreements represent the amount owed by the Company to the buyer of the Visa Class B shares in the event Visa requires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legal reserves to settle ongoing litigation. As of June 30, 2025, the makewhole agreements were valued at zero as the likelihood of the Company being required to make a payment to the buyer is not reasonably estimable by management.</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assets and liabilities measured at fair value on a recurring basis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80" w:type="dxa"/>
            <w:vAlign w:val="bottom"/>
          </w:tcPr>
          <w:p>
            <w:pPr>
              <w:spacing w:after="0"/>
              <w:rPr>
                <w:sz w:val="14"/>
                <w:szCs w:val="14"/>
                <w:color w:val="auto"/>
              </w:rPr>
            </w:pPr>
          </w:p>
        </w:tc>
        <w:tc>
          <w:tcPr>
            <w:tcW w:w="128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Markets for Identical</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7"/>
              </w:rPr>
              <w:t>Assets or Liabilities</w:t>
            </w:r>
          </w:p>
        </w:tc>
        <w:tc>
          <w:tcPr>
            <w:tcW w:w="180" w:type="dxa"/>
            <w:vAlign w:val="bottom"/>
          </w:tcPr>
          <w:p>
            <w:pPr>
              <w:spacing w:after="0"/>
              <w:rPr>
                <w:sz w:val="12"/>
                <w:szCs w:val="12"/>
                <w:color w:val="auto"/>
              </w:rPr>
            </w:pP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320" w:type="dxa"/>
            <w:vAlign w:val="bottom"/>
          </w:tcPr>
          <w:p>
            <w:pPr>
              <w:spacing w:after="0"/>
              <w:rPr>
                <w:sz w:val="12"/>
                <w:szCs w:val="12"/>
                <w:color w:val="auto"/>
              </w:rPr>
            </w:pPr>
          </w:p>
        </w:tc>
        <w:tc>
          <w:tcPr>
            <w:tcW w:w="114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80" w:type="dxa"/>
            <w:vAlign w:val="bottom"/>
          </w:tcPr>
          <w:p>
            <w:pPr>
              <w:spacing w:after="0"/>
              <w:rPr>
                <w:sz w:val="14"/>
                <w:szCs w:val="14"/>
                <w:color w:val="auto"/>
              </w:rPr>
            </w:pP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4"/>
                <w:szCs w:val="14"/>
                <w:color w:val="auto"/>
              </w:rPr>
            </w:pPr>
          </w:p>
        </w:tc>
        <w:tc>
          <w:tcPr>
            <w:tcW w:w="114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3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the U.S. Treasury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109,769</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243,715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65,960</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65,960</w:t>
            </w:r>
          </w:p>
        </w:tc>
        <w:tc>
          <w:tcPr>
            <w:tcW w:w="0" w:type="dxa"/>
            <w:vAlign w:val="bottom"/>
          </w:tcPr>
          <w:p>
            <w:pPr>
              <w:spacing w:after="0"/>
              <w:rPr>
                <w:sz w:val="1"/>
                <w:szCs w:val="1"/>
                <w:color w:val="auto"/>
              </w:rPr>
            </w:pPr>
          </w:p>
        </w:tc>
      </w:tr>
      <w:tr>
        <w:trPr>
          <w:trHeight w:val="193"/>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U.S. Government-Sponsored Enterprises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728,842</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728,842</w:t>
            </w:r>
          </w:p>
        </w:tc>
        <w:tc>
          <w:tcPr>
            <w:tcW w:w="0" w:type="dxa"/>
            <w:vAlign w:val="bottom"/>
          </w:tcPr>
          <w:p>
            <w:pPr>
              <w:spacing w:after="0"/>
              <w:rPr>
                <w:sz w:val="1"/>
                <w:szCs w:val="1"/>
                <w:color w:val="auto"/>
              </w:rPr>
            </w:pPr>
          </w:p>
        </w:tc>
      </w:tr>
      <w:tr>
        <w:trPr>
          <w:trHeight w:val="193"/>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Collateralized Mortgage Obligations Issued by:</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1,097,369</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1,097,369</w:t>
            </w:r>
          </w:p>
        </w:tc>
        <w:tc>
          <w:tcPr>
            <w:tcW w:w="0" w:type="dxa"/>
            <w:vAlign w:val="bottom"/>
          </w:tcPr>
          <w:p>
            <w:pPr>
              <w:spacing w:after="0"/>
              <w:rPr>
                <w:sz w:val="1"/>
                <w:szCs w:val="1"/>
                <w:color w:val="auto"/>
              </w:rPr>
            </w:pPr>
          </w:p>
        </w:tc>
      </w:tr>
      <w:tr>
        <w:trPr>
          <w:trHeight w:val="193"/>
        </w:trPr>
        <w:tc>
          <w:tcPr>
            <w:tcW w:w="5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 Government Agencies or Sponsored Enterprises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332,461</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332,461</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 Non Agency</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36,007</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36,007</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Collateralized Mortgage Obligations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1,465,837</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1,465,837</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606,165</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133,946</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2,977,558</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3,111,504</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14,569</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14,569</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108,186</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108,223</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Measured at Fair Value on a Recurring Basis as of June 30,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148,515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3,087,611</w:t>
            </w:r>
          </w:p>
        </w:tc>
        <w:tc>
          <w:tcPr>
            <w:tcW w:w="3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3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3,236,782</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120,147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120,147</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 on a Recurring Basis as of June 30,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120,147</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120,147</w:t>
            </w:r>
          </w:p>
        </w:tc>
        <w:tc>
          <w:tcPr>
            <w:tcW w:w="0" w:type="dxa"/>
            <w:vAlign w:val="bottom"/>
          </w:tcPr>
          <w:p>
            <w:pPr>
              <w:spacing w:after="0"/>
              <w:rPr>
                <w:sz w:val="1"/>
                <w:szCs w:val="1"/>
                <w:color w:val="auto"/>
              </w:rPr>
            </w:pP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the U.S. Treasury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98,683</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249,072</w:t>
            </w:r>
          </w:p>
        </w:tc>
        <w:tc>
          <w:tcPr>
            <w:tcW w:w="0" w:type="dxa"/>
            <w:vAlign w:val="bottom"/>
          </w:tcPr>
          <w:p>
            <w:pPr>
              <w:spacing w:after="0"/>
              <w:rPr>
                <w:sz w:val="1"/>
                <w:szCs w:val="1"/>
                <w:color w:val="auto"/>
              </w:rPr>
            </w:pPr>
          </w:p>
        </w:tc>
      </w:tr>
      <w:tr>
        <w:trPr>
          <w:trHeight w:val="193"/>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U.S. Government-Sponsored Enterprises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3"/>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671,675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671,675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Collateralized Mortgage Obligations Issued by:</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935,220</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935,220</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 Government Agencies or Sponsored Enterprises</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283,474</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283,474</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Collateralized Mortgage Obligations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1,218,694</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1,218,694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Mortgage-Backed Securities Issued by:</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484,764</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484,764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150,389</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2,539,139</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2,689,528</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161,439</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161,473</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Measured at Fair Value on a Recurring Basis as of December 31, 2024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168,544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2,702,728</w:t>
            </w:r>
          </w:p>
        </w:tc>
        <w:tc>
          <w:tcPr>
            <w:tcW w:w="3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3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2,871,953</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 on a Recurring Basis as of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0" w:type="dxa"/>
            <w:vAlign w:val="bottom"/>
          </w:tcPr>
          <w:p>
            <w:pPr>
              <w:spacing w:after="0"/>
              <w:rPr>
                <w:sz w:val="1"/>
                <w:szCs w:val="1"/>
                <w:color w:val="auto"/>
              </w:rPr>
            </w:pP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each class of derivatives is shown in Note 10.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June 30, 2025 and December 31, 2024, there were no assets or liabilities with nonrecurring fair value adjustments. Additionally, there were no nonrecurring fair value adjustments during the three and six months ended June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June 30, 2025 and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 Fair Value Less</w:t>
            </w: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80" w:type="dxa"/>
            <w:vAlign w:val="bottom"/>
          </w:tcPr>
          <w:p>
            <w:pPr>
              <w:spacing w:after="0"/>
              <w:rPr>
                <w:sz w:val="17"/>
                <w:szCs w:val="17"/>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r>
      <w:tr>
        <w:trPr>
          <w:trHeight w:val="37"/>
        </w:trPr>
        <w:tc>
          <w:tcPr>
            <w:tcW w:w="36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1,867</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1,832</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2,150</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2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unaudited consolidated statements of income. For the three and six months ended June 30, 2025 and 2024, the net gains or losses from the change in fair value of the Company’s residential mortgage loans held for sale were immaterial.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June 30, 2025 and December 31, 2024.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or to another member institution. For financial liabilities such as noninterest-bearing demand, interest-bearing demand, and savings deposits, the carrying amount is the estimate of fair value due to these products having no stated maturity.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100" w:type="dxa"/>
            <w:vAlign w:val="bottom"/>
            <w:tcBorders>
              <w:bottom w:val="single" w:sz="8" w:color="auto"/>
            </w:tcBorders>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Identical Assets or</w:t>
            </w:r>
          </w:p>
        </w:tc>
        <w:tc>
          <w:tcPr>
            <w:tcW w:w="240" w:type="dxa"/>
            <w:vAlign w:val="bottom"/>
          </w:tcPr>
          <w:p>
            <w:pPr>
              <w:spacing w:after="0"/>
              <w:rPr>
                <w:sz w:val="15"/>
                <w:szCs w:val="15"/>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4,441,353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3,754,794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121,178</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3,633,616</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13,700,594</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13,073,565</w:t>
            </w:r>
          </w:p>
        </w:tc>
        <w:tc>
          <w:tcPr>
            <w:tcW w:w="1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13,073,565</w:t>
            </w: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3,037,995</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3,028,864</w:t>
            </w:r>
          </w:p>
        </w:tc>
        <w:tc>
          <w:tcPr>
            <w:tcW w:w="1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3,028,864</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51,619</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51,619</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545,556</w:t>
            </w:r>
          </w:p>
        </w:tc>
        <w:tc>
          <w:tcPr>
            <w:tcW w:w="14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545,556</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6"/>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4,618,543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3,820,882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116,941</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3,703,941</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13,777,756</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12,908,626</w:t>
            </w:r>
          </w:p>
        </w:tc>
        <w:tc>
          <w:tcPr>
            <w:tcW w:w="1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12,908,626</w:t>
            </w: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3,059,575</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3,050,583</w:t>
            </w:r>
          </w:p>
        </w:tc>
        <w:tc>
          <w:tcPr>
            <w:tcW w:w="1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3,050,583</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101,478</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101,478</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4"/>
                <w:szCs w:val="2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538,808</w:t>
            </w:r>
          </w:p>
        </w:tc>
        <w:tc>
          <w:tcPr>
            <w:tcW w:w="140" w:type="dxa"/>
            <w:vAlign w:val="bottom"/>
          </w:tcPr>
          <w:p>
            <w:pPr>
              <w:spacing w:after="0"/>
              <w:rPr>
                <w:sz w:val="24"/>
                <w:szCs w:val="24"/>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538,808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(“MD&amp;A”) of Financial Condition and Results of Operations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financial results for the second quarter of 2025, including comparisons of year-to-year performance, trends, and updates from the Company’s most recent 10-K filing. Discussion and analysis of our 2024 fiscal year, as well as the year-to-year comparison between fiscal years 2024 and 2023, are included in Part II, Item 7. “Management's Discussion and Analysis of Financial Condition and Results of Operations,” of our Annual Report on Form 10-K for the fiscal year ended December 31, 2024, filed with the SEC on March 4,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spacing w:after="0" w:line="14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forward-looking statements are based on numerous assumptions, any of which could prove to be inaccurate, and actual results may differ materially from those projected because of a variety of risks and uncertainties, including, but not limited to: (1) Our business is sensitive to regional business and economic conditions, in particular those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Guam and other Pacific Islands; (2) Our loan portfolio is largely secured by real estate, and a downturn in the real estate market may adversely affect our results of operations; (3) 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 (5) 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could adversely impact the economy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 party vendors and other service providers, may result in financial losses, loss of customers, or damage to our reputation; (18) An interruption or breach in security of our information systems or those related to merchants and third 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may negatively affect real estate property values and our operations (25) Competition may adversely affect our business; (26) Our future performance will depend on our ability to respond timely to technological change; (27) Negative public opinion could damage our reputation and adversely impact our earnings and liquidity (28) We are subject to certain litigation, and our expenses related to this litigation may adversely affect our results; (29) Our performance depends on attracting and retaining key employees and skilled personnel to operate our business effectively; (30) The soundness of other financial institutions may adversely impact our financial condition or results of operations; (31) We have experienced increases in FDIC insurance assessments; and (32) Significant changes to the size, structure, powers and operations of the federal government, changes to U.S. economic policies,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uncertainties regarding the potential for these changes may cause economic disruptions that could, in turn, adversely impact our business, results of operations and financial condition.</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 SEC filings, including our Quarterly Report on Form 10-Q for the quarter ended March 31, 2025.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Announcements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2024. There have been no significant changes in the Company’s application of critical accounting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Hawai‘i’s economy began the year with modest gains in tourism and labor growth, as of June 30, 2025 we believe that expansive changes to federal policy may negatively impact our local economy. The impact of actual and threatened US tariffs, large-scale federal layoffs, and volatile immigration and fiscal policies have weakened consumer confidence and are expected to create headwinds in the Hawai‘i tourism sector. Construction remains a relative bright spot as of June 30, 2025, but tariffs on imported materials and labor are expected to cause construction employment to recede in the coming years. Hawai‘i’s unemployment rate was 2.8% in June 2025, which was below the U.S. unemployment rate of 4.1%.</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first six months of 2025, the median price of single-family home and condominium sales on Oahu increased by 6.0% and decreased by 0.5%, respectively, compared to the same period in 2024. The volume of single-family homes sales on Oahu decreased 2.1% and condominium sales decreased 6.0% compared to the same period in 2024. Inventory of single-family homes and condominiums on Oahu was 3.7 months and 7.0 months, respectively, for the second quarter of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of 2025 was $47.6 million, an increase of $13.6 million or 40% compared to the same period in 2024. Diluted earnings per common share was $1.06 for the second quarter of 2025, an increase of $0.25 or 31% compared to the same period in 2024.</w:t>
      </w:r>
    </w:p>
    <w:p>
      <w:pPr>
        <w:spacing w:after="0" w:line="121" w:lineRule="exact"/>
        <w:rPr>
          <w:sz w:val="20"/>
          <w:szCs w:val="20"/>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average common equity for the second quarter of 2025 was 12.50% compared with 10.41% in the same quarter of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second quarter of 2025 was $129.7 million, an increase of 13%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was 2.39% in the second quarter of 2025, an increase of 24 basis points from the same period in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for the second quarter of 2025 and 2024 was $3.3 million and $2.4 million, respectively.</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$44.8 million in the second quarter of 2025, an increase of 6%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$110.8 million in the second quarter of 2025, an increase of 1%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for the second quarter of 2025 was 21.19% compared with 24.77% compared to the same period last year.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remained stable during the second quarter of 2025. We experienced a modest decline in loans, while deposits slightly increased.</w:t>
      </w:r>
    </w:p>
    <w:p>
      <w:pPr>
        <w:spacing w:after="0" w:line="117" w:lineRule="exact"/>
        <w:rPr>
          <w:sz w:val="20"/>
          <w:szCs w:val="20"/>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$23.7 billion as of June 30, 2025, an increase of 0.5% from December 31,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$14.0 billion as of June 30, 2025, a decrease of 0.52% from December 31, 2024.</w:t>
      </w:r>
    </w:p>
    <w:p>
      <w:pPr>
        <w:spacing w:after="0" w:line="63" w:lineRule="exact"/>
        <w:rPr>
          <w:rFonts w:ascii="Times New Roman" w:cs="Times New Roman" w:eastAsia="Times New Roman" w:hAnsi="Times New Roman"/>
          <w:sz w:val="18"/>
          <w:szCs w:val="18"/>
          <w:color w:val="auto"/>
        </w:rPr>
      </w:pPr>
    </w:p>
    <w:p>
      <w:pPr>
        <w:ind w:left="1140" w:right="40" w:hanging="484"/>
        <w:spacing w:after="0" w:line="28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on loans and leases was $148.5 million as of June 30, 2025, flat from December 31, 2024. The ratio of the allowance for credit losses to total loans and leases outstanding was 1.06% at the end of the quarter, flat from December 31, 2024.</w:t>
      </w:r>
    </w:p>
    <w:p>
      <w:pPr>
        <w:spacing w:after="0" w:line="1" w:lineRule="exact"/>
        <w:rPr>
          <w:rFonts w:ascii="Times New Roman" w:cs="Times New Roman" w:eastAsia="Times New Roman" w:hAnsi="Times New Roman"/>
          <w:sz w:val="18"/>
          <w:szCs w:val="18"/>
          <w:color w:val="auto"/>
        </w:rPr>
      </w:pPr>
    </w:p>
    <w:p>
      <w:pPr>
        <w:ind w:left="1140" w:right="40" w:hanging="484"/>
        <w:spacing w:after="0" w:line="26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and lease charge-offs during the second quarter of 2025 were $2.6 million or 7 basis points annualized of total average loans and leases outstanding. Net loan and lease charge-offs for the second quarter of 2025 were comprised of charge-offs of $4.0 million partially offset by recoveries of $1.4 million. Compared to the same quarter of 2024, net loan and lease charge-offs decreased by $0.8 million or 3 basis points annualized on total average loans and leases outstanding.</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right="60" w:hanging="484"/>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non-performing assets (“NPAs”) were $17.9 million as of June 30, 2025, down $1.4 million from December 31, 2024. NPAs were 13 basis points of total loans and leases and foreclosed real estate at the end of the quarter, down 1 basis point from December 31, 2024.</w:t>
      </w:r>
    </w:p>
    <w:p>
      <w:pPr>
        <w:spacing w:after="0" w:line="1" w:lineRule="exact"/>
        <w:rPr>
          <w:rFonts w:ascii="Times New Roman" w:cs="Times New Roman" w:eastAsia="Times New Roman" w:hAnsi="Times New Roman"/>
          <w:sz w:val="18"/>
          <w:szCs w:val="18"/>
          <w:color w:val="auto"/>
        </w:rPr>
      </w:pPr>
    </w:p>
    <w:p>
      <w:pPr>
        <w:ind w:left="1140" w:right="20" w:hanging="484"/>
        <w:spacing w:after="0" w:line="26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securities portfolio was $7.6 billion as of June 30, 2025, an increase of 3.3% from December 31, 2024. The investment portfolio remains largely comprised of securities issued by U.S. government agencies and U.S. government-sponsored enterprises. Floating rate securities represented 18.8% of the investment securities portfolio as of June 30, 2025, compared to 16.5% as of December 31, 2024.</w:t>
      </w:r>
    </w:p>
    <w:p>
      <w:pPr>
        <w:spacing w:after="0" w:line="1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$20.8 billion as of June 30, 2025 and $20.6 billion as of December 31,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$1.7 billion as of June 30, 2025, an increase of 4.5% from December 31, 2024.</w:t>
      </w:r>
    </w:p>
    <w:p>
      <w:pPr>
        <w:spacing w:after="0" w:line="63" w:lineRule="exact"/>
        <w:rPr>
          <w:rFonts w:ascii="Times New Roman" w:cs="Times New Roman" w:eastAsia="Times New Roman" w:hAnsi="Times New Roman"/>
          <w:sz w:val="18"/>
          <w:szCs w:val="18"/>
          <w:color w:val="auto"/>
        </w:rPr>
      </w:pPr>
    </w:p>
    <w:p>
      <w:pPr>
        <w:ind w:left="1140" w:right="80" w:hanging="484"/>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common stock were repurchased under the share repurchase program in the second quarter of 2025. Total remaining buyback authority under the share repurchase program was $126.0 million at June 30, 2025.</w:t>
      </w:r>
    </w:p>
    <w:p>
      <w:pPr>
        <w:spacing w:after="0" w:line="1" w:lineRule="exact"/>
        <w:rPr>
          <w:rFonts w:ascii="Times New Roman" w:cs="Times New Roman" w:eastAsia="Times New Roman" w:hAnsi="Times New Roman"/>
          <w:sz w:val="18"/>
          <w:szCs w:val="18"/>
          <w:color w:val="auto"/>
        </w:rPr>
      </w:pPr>
    </w:p>
    <w:p>
      <w:pPr>
        <w:ind w:left="1140" w:right="220" w:hanging="484"/>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declared a quarterly cash dividend of $0.70 per share on the Company’s outstanding common shares. The dividend will be payable on September 15, 2025 to shareholders of record at the close of business on August 29, 2025.</w:t>
      </w:r>
    </w:p>
    <w:p>
      <w:pPr>
        <w:spacing w:after="0" w:line="1" w:lineRule="exact"/>
        <w:rPr>
          <w:rFonts w:ascii="Times New Roman" w:cs="Times New Roman" w:eastAsia="Times New Roman" w:hAnsi="Times New Roman"/>
          <w:sz w:val="18"/>
          <w:szCs w:val="18"/>
          <w:color w:val="auto"/>
        </w:rPr>
      </w:pPr>
    </w:p>
    <w:p>
      <w:pPr>
        <w:ind w:left="1140" w:hanging="484"/>
        <w:spacing w:after="0" w:line="277" w:lineRule="auto"/>
        <w:tabs>
          <w:tab w:leader="none" w:pos="11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 2025, the Company announced that the Board of Directors declared quarterly dividend payments of $10.94 per share, equivalent to $0.2735 per depositary share, on its preferred stock, Series A, and $20.00 per share, equivalent to $0.5000 per depositary share, on its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August 1, 2025 to shareholders of record of the preferred stock as of the close of business on July 17, 2025.</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Income</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Average Balances and Interest Rates - Taxable-Equivalent Basis ¹</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w w:val="93"/>
              </w:rPr>
              <w:t>Table 1</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0" w:type="dxa"/>
            <w:vAlign w:val="bottom"/>
          </w:tcPr>
          <w:p>
            <w:pPr>
              <w:spacing w:after="0"/>
              <w:rPr>
                <w:sz w:val="1"/>
                <w:szCs w:val="1"/>
                <w:color w:val="auto"/>
              </w:rPr>
            </w:pPr>
          </w:p>
        </w:tc>
      </w:tr>
      <w:tr>
        <w:trPr>
          <w:trHeight w:val="189"/>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(dollars in millions)</w:t>
            </w:r>
          </w:p>
        </w:tc>
        <w:tc>
          <w:tcPr>
            <w:tcW w:w="140" w:type="dxa"/>
            <w:vAlign w:val="bottom"/>
          </w:tcPr>
          <w:p>
            <w:pPr>
              <w:spacing w:after="0"/>
              <w:rPr>
                <w:sz w:val="16"/>
                <w:szCs w:val="16"/>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6"/>
                <w:szCs w:val="16"/>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6"/>
                <w:szCs w:val="16"/>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8"/>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Earning Assets</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353.7</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7"/>
              </w:rPr>
              <w:t>4.27 %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5.28 %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7"/>
              </w:rPr>
              <w:t>4.33 %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460.4</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w w:val="97"/>
              </w:rPr>
              <w:t>5.28 %</w:t>
            </w: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Equivalents</w:t>
            </w: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2,308.3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2,889.3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2,344.3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73"/>
        </w:trPr>
        <w:tc>
          <w:tcPr>
            <w:tcW w:w="1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4,462.1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4,882.0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64"/>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Investment</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7,510.7</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7,181.7</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7,452.8</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7,262.7</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74"/>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Loans and Leases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8"/>
              </w:rPr>
              <w:t>Commercial Mortgage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4,025.2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3,723.6</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4,020.3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3,720.1</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171"/>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and</w:t>
            </w: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1,668.1</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1,692.7</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1,685.8</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1,678.0</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172"/>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Industrial</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7.85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71"/>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Lease</w:t>
            </w: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72"/>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Residential Mortgage</w:t>
            </w:r>
          </w:p>
        </w:tc>
        <w:tc>
          <w:tcPr>
            <w:tcW w:w="1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4,626.5</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4,595.2</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4,621.6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73"/>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Home Equity</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2,147.9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Automobile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730.1</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5.19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813.5</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173"/>
        </w:trPr>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30"/>
        </w:trPr>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Loans and Leases</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14,049.0</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13,831.8</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14,055.6</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13,850.3</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323.9</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67"/>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6.70</w:t>
            </w:r>
          </w:p>
        </w:tc>
        <w:tc>
          <w:tcPr>
            <w:tcW w:w="0" w:type="dxa"/>
            <w:vAlign w:val="bottom"/>
          </w:tcPr>
          <w:p>
            <w:pPr>
              <w:spacing w:after="0"/>
              <w:rPr>
                <w:sz w:val="1"/>
                <w:szCs w:val="1"/>
                <w:color w:val="auto"/>
              </w:rPr>
            </w:pPr>
          </w:p>
        </w:tc>
      </w:tr>
      <w:tr>
        <w:trPr>
          <w:trHeight w:val="30"/>
        </w:trPr>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Earning Assets</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21,980.8</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21,537.5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22,002.2</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21,637.6</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67"/>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Non-Earning Assets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1,616.2</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1,607.6</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1,615.2</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1,575.7</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23,597.0</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23,145.1</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23,617.4</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23,213.3</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Interest-Bearing Liabilities</w:t>
            </w: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Interest-Bearing Deposits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Demand</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3,705.5</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7"/>
              </w:rPr>
              <w:t>0.82 %</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3,788.5</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0.94 %</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3,739.2</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7"/>
              </w:rPr>
              <w:t>0.79 %</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3,776.3</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w w:val="97"/>
              </w:rPr>
              <w:t>0.88 %</w:t>
            </w:r>
          </w:p>
        </w:tc>
        <w:tc>
          <w:tcPr>
            <w:tcW w:w="0" w:type="dxa"/>
            <w:vAlign w:val="bottom"/>
          </w:tcPr>
          <w:p>
            <w:pPr>
              <w:spacing w:after="0"/>
              <w:rPr>
                <w:sz w:val="1"/>
                <w:szCs w:val="1"/>
                <w:color w:val="auto"/>
              </w:rPr>
            </w:pPr>
          </w:p>
        </w:tc>
      </w:tr>
      <w:tr>
        <w:trPr>
          <w:trHeight w:val="173"/>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Savings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8,578.6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8,259.2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8,561.7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8,195.3</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2.49</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Time</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3,050.0</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2,935.9</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3,043.7</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3,008.5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64"/>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Interest-Bearing</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15,334.1</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14,983.6</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8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15,344.6</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80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14,980.1</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74"/>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Securities Sold Under</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Agreements to</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3.83</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73"/>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Debt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568.2</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30"/>
        </w:trPr>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Interest-Bearing</w:t>
            </w:r>
          </w:p>
        </w:tc>
        <w:tc>
          <w:tcPr>
            <w:tcW w:w="14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15,942.4</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80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15,668.9</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82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15,976.1</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80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15,678.1</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76"/>
        </w:trPr>
        <w:tc>
          <w:tcPr>
            <w:tcW w:w="1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tcBorders>
              <w:bottom w:val="single" w:sz="8" w:color="CFF0FC"/>
            </w:tcBorders>
            <w:shd w:val="clear" w:color="auto" w:fill="CFF0FC"/>
          </w:tcPr>
          <w:p>
            <w:pPr>
              <w:ind w:left="140"/>
              <w:spacing w:after="0" w:line="140" w:lineRule="exact"/>
              <w:rPr>
                <w:sz w:val="20"/>
                <w:szCs w:val="20"/>
                <w:color w:val="auto"/>
              </w:rPr>
            </w:pPr>
            <w:r>
              <w:rPr>
                <w:rFonts w:ascii="Times New Roman" w:cs="Times New Roman" w:eastAsia="Times New Roman" w:hAnsi="Times New Roman"/>
                <w:sz w:val="13"/>
                <w:szCs w:val="13"/>
                <w:color w:val="auto"/>
              </w:rPr>
              <w:t>Interest Rate Spread</w:t>
            </w:r>
          </w:p>
        </w:tc>
        <w:tc>
          <w:tcPr>
            <w:tcW w:w="14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420"/>
              <w:spacing w:after="0" w:line="140" w:lineRule="exact"/>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ind w:left="420"/>
              <w:spacing w:after="0" w:line="140"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420"/>
              <w:spacing w:after="0" w:line="140" w:lineRule="exact"/>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ind w:left="440"/>
              <w:spacing w:after="0" w:line="140" w:lineRule="exact"/>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3"/>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Interest Margin</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Noninterest-Bearing</w:t>
            </w:r>
          </w:p>
        </w:tc>
        <w:tc>
          <w:tcPr>
            <w:tcW w:w="14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5,365.6</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5,374.8</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5,340.1</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5,470.9</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Demand Deposits</w:t>
            </w:r>
          </w:p>
        </w:tc>
        <w:tc>
          <w:tcPr>
            <w:tcW w:w="14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584.6</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662.9</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637.0</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1,704.4</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1,690.1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1,427.3</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23,597.0</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23,145.1</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23,617.4</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23,213.3</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Due to rounding, the amounts presented in this table may not tie to other amounts presented elsewhere in this report.</w:t>
      </w:r>
    </w:p>
    <w:p>
      <w:pPr>
        <w:ind w:left="420" w:right="260" w:hanging="412"/>
        <w:spacing w:after="0" w:line="213" w:lineRule="auto"/>
        <w:tabs>
          <w:tab w:leader="none" w:pos="407"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income includes taxable-equivalent basis adjustments, based upon a federal statutory tax rate of 21%, of $1.6 million and $3.1 million for the three and six months ended June 30, 2025, respectively, and $0.8 million and $1.5 million for the three and six months ended June 30, 2024, respectively.</w:t>
      </w:r>
    </w:p>
    <w:p>
      <w:pPr>
        <w:ind w:left="400" w:hanging="392"/>
        <w:spacing w:after="0" w:line="216" w:lineRule="auto"/>
        <w:tabs>
          <w:tab w:leader="none" w:pos="40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Non-performing loans and leases are included in the respective average loan and lease balances.</w:t>
      </w:r>
    </w:p>
    <w:p>
      <w:pPr>
        <w:sectPr>
          <w:pgSz w:w="11900" w:h="16838" w:orient="portrait"/>
          <w:cols w:equalWidth="0" w:num="1">
            <w:col w:w="11240"/>
          </w:cols>
          <w:pgMar w:left="320" w:top="117"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2</w:t>
            </w: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80" w:type="dxa"/>
            <w:vAlign w:val="bottom"/>
          </w:tcPr>
          <w:p>
            <w:pPr>
              <w:spacing w:after="0"/>
              <w:rPr>
                <w:sz w:val="16"/>
                <w:szCs w:val="16"/>
                <w:color w:val="auto"/>
              </w:rPr>
            </w:pPr>
          </w:p>
        </w:tc>
        <w:tc>
          <w:tcPr>
            <w:tcW w:w="3140" w:type="dxa"/>
            <w:vAlign w:val="bottom"/>
            <w:gridSpan w:val="5"/>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Compared to June 30, 2024</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4"/>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Compared to June 30, 2024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3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8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360" w:type="dxa"/>
            <w:vAlign w:val="bottom"/>
          </w:tcPr>
          <w:p>
            <w:pPr>
              <w:spacing w:after="0"/>
              <w:rPr>
                <w:sz w:val="16"/>
                <w:szCs w:val="16"/>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(1.3)</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6.1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3"/>
        </w:trPr>
        <w:tc>
          <w:tcPr>
            <w:tcW w:w="4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Pr>
          <w:p>
            <w:pPr>
              <w:spacing w:after="0"/>
              <w:rPr>
                <w:sz w:val="20"/>
                <w:szCs w:val="20"/>
                <w:color w:val="auto"/>
              </w:rPr>
            </w:pPr>
          </w:p>
        </w:tc>
        <w:tc>
          <w:tcPr>
            <w:tcW w:w="90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0.4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tcPr>
          <w:p>
            <w:pPr>
              <w:spacing w:after="0"/>
              <w:rPr>
                <w:sz w:val="20"/>
                <w:szCs w:val="20"/>
                <w:color w:val="auto"/>
              </w:rPr>
            </w:pPr>
          </w:p>
        </w:tc>
        <w:tc>
          <w:tcPr>
            <w:tcW w:w="9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(1.7)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46"/>
        </w:trPr>
        <w:tc>
          <w:tcPr>
            <w:tcW w:w="450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w w:val="99"/>
              </w:rPr>
              <w:t>4.8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4.2</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3"/>
        </w:trPr>
        <w:tc>
          <w:tcPr>
            <w:tcW w:w="4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20"/>
                <w:szCs w:val="20"/>
                <w:color w:val="auto"/>
              </w:rPr>
            </w:pPr>
          </w:p>
        </w:tc>
        <w:tc>
          <w:tcPr>
            <w:tcW w:w="9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(0.3)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3"/>
        </w:trPr>
        <w:tc>
          <w:tcPr>
            <w:tcW w:w="4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200" w:type="dxa"/>
            <w:vAlign w:val="bottom"/>
          </w:tcPr>
          <w:p>
            <w:pPr>
              <w:spacing w:after="0"/>
              <w:rPr>
                <w:sz w:val="20"/>
                <w:szCs w:val="20"/>
                <w:color w:val="auto"/>
              </w:rPr>
            </w:pPr>
          </w:p>
        </w:tc>
        <w:tc>
          <w:tcPr>
            <w:tcW w:w="90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0.5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0.3</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4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20"/>
                <w:szCs w:val="20"/>
                <w:color w:val="auto"/>
              </w:rPr>
            </w:pPr>
          </w:p>
        </w:tc>
        <w:tc>
          <w:tcPr>
            <w:tcW w:w="9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7"/>
              </w:rPr>
              <w:t>(0.9)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w w:val="97"/>
              </w:rPr>
              <w:t>(1.0)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w w:val="99"/>
              </w:rPr>
              <w:t>0.1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3.8</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w w:val="99"/>
              </w:rPr>
              <w:t>0.2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7.5</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Demand</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w w:val="97"/>
              </w:rPr>
              <w:t>(0.2)</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3"/>
        </w:trPr>
        <w:tc>
          <w:tcPr>
            <w:tcW w:w="4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20"/>
                <w:szCs w:val="20"/>
                <w:color w:val="auto"/>
              </w:rPr>
            </w:pPr>
          </w:p>
        </w:tc>
        <w:tc>
          <w:tcPr>
            <w:tcW w:w="90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9"/>
              </w:rPr>
              <w:t>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46"/>
        </w:trPr>
        <w:tc>
          <w:tcPr>
            <w:tcW w:w="45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1.2</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w w:val="9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w w:val="97"/>
              </w:rPr>
              <w:t>(0.7)</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2.3</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57"/>
        </w:trPr>
        <w:tc>
          <w:tcPr>
            <w:tcW w:w="4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center"/>
              <w:ind w:left="500"/>
              <w:spacing w:after="0"/>
              <w:rPr>
                <w:sz w:val="20"/>
                <w:szCs w:val="20"/>
                <w:color w:val="auto"/>
              </w:rPr>
            </w:pPr>
            <w:r>
              <w:rPr>
                <w:rFonts w:ascii="Times New Roman" w:cs="Times New Roman" w:eastAsia="Times New Roman" w:hAnsi="Times New Roman"/>
                <w:sz w:val="16"/>
                <w:szCs w:val="16"/>
                <w:color w:val="auto"/>
                <w:w w:val="99"/>
              </w:rPr>
              <w:t>5.2</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right="100" w:hanging="412"/>
        <w:spacing w:after="0" w:line="230" w:lineRule="auto"/>
        <w:tabs>
          <w:tab w:leader="none" w:pos="413"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change in interest income or expense due to both rate and volume has been allocated between the factors in proportion to the relationship of the absolute dollar amounts of the change in each.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8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average balance of our earning assets for the three and six months ended June 30, 2025 increased by $443.3 million or 2% and $364.6 million or 2%, respectively, compared to the same periods in 2024. These increases were due to increases in the average balances of available-for-sale investment securities and commercial mortgage loans. As compared to the same periods last year, yields on our investment securities portfolio increased by 10 and 7 basis points during the three and six months ended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June 30, 2025, respectively, primarily due to the amortization of lower yielding investments being reinvested into new investments at higher current interest rates. This increase was partially offset by lower income earned from interest rate swaps that hedge a portion of our available-for-sale (“AFS”) securities portfolio. Yields on our loan and lease portfolio increased by 4 and 6 basis points during the three and six months ended June 30, 2025, respectively, primarily due to higher rates on home equity lines and residential mortgages originated partially offset by the impact of interest rate swaps that hedge our residential mortgage portfolio.</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average balance of our interest-bearing liabilities for the three and six months ended June 30, 2025 increased by $273.5 million or 2% and $364.5 million or 2%, respectively, compared to the same periods in 2024 primarily due to an increase in savings deposits. As compared to the same periods last year, the cost of our interest-bearing liabilities decreased by 29 and 26 basis points during the three and six months ended June 30, 2025, respectively, primarily due to a decrease in the prevailing interest rate environment, which was driven by 100 basis points of interest rate cuts by the Federal Open Market Committee in late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components of noninterest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6"/>
                <w:szCs w:val="16"/>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3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13,769</w:t>
            </w:r>
          </w:p>
        </w:tc>
        <w:tc>
          <w:tcPr>
            <w:tcW w:w="3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23,838</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23,412</w:t>
            </w: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3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573</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and Insurance</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4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1,267</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58"/>
        </w:trPr>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42,087</w:t>
            </w:r>
          </w:p>
        </w:tc>
        <w:tc>
          <w:tcPr>
            <w:tcW w:w="320" w:type="dxa"/>
            <w:vAlign w:val="bottom"/>
            <w:tcBorders>
              <w:bottom w:val="single" w:sz="8" w:color="auto"/>
            </w:tcBorders>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84,372</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income increased by $1.4 million or 34.4% in the second quarter of 2025 and $1.3 million or 13.9% for the first six months of 2025 compared to the same periods last year. These increases were primarily due to a gain on sale of an other real estate owned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OREO”) property and the recovery of a previously charge-off bank-owned life insurance policy.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components of noninterest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4</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3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38,662</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76,693</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Taxes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Separation Expense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4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61,308</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57,033</w:t>
            </w: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4,275</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124,192</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115,248</w:t>
            </w:r>
          </w:p>
        </w:tc>
        <w:tc>
          <w:tcPr>
            <w:tcW w:w="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21,015</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Equipment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Insurance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5"/>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Merchant Transaction and Card Processing</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40"/>
        </w:trPr>
        <w:tc>
          <w:tcPr>
            <w:tcW w:w="3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Mileage Program Travel</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0"/>
        </w:trPr>
        <w:tc>
          <w:tcPr>
            <w:tcW w:w="3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Charges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w:t>
            </w: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15,640</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14,435</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1,205</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28,459</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58"/>
        </w:trPr>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109,226</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215,085</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Total salaries and benefits expense increased by $4.3 million or 7.5% in the second quarter of 2025, primarily due to an increase in incentive compensation, base salaries, and separation expense. Total salaries and benefits expense increased by $8.9 million or 7.8% for the first six months ended June 30, 2025, compared to the same period in 2024 primarily due to an increase in incentive compensation, medical, dental, and life insurance, and base salaries.</w:t>
      </w:r>
    </w:p>
    <w:p>
      <w:pPr>
        <w:spacing w:after="0" w:line="1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Data processing fees increased by $0.7 million or 15.0% in the second quarter of 2025 and by $1.2 million or 12.7% for the first six months of 2025 compared to the same periods in 2024, primarily due to an increase in data service fees, the commencement of amortization of our online banking platform, and an increase in debit card transactions.</w:t>
      </w: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Professional fees decreased by $0.7 million or 13.5% in the second quarter of 2025 and by $1.1 million or 11.2% for the first six months of 2025 compared to the same periods in 2024, primarily due to a decrease in consulting fees and reduction in outsourcing of various support functions.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FDIC insurance expense decreased by $3.5 million or 49.2% in the second quarter of 2025 compared to the same period in 2024, primarily due to a FDIC special assessment charge in the second quarter of 2024. For the first six months of 2025, FDIC insurance expense decreased by $5.5 million or 51.0% compared to the same period in 2024, primarily due to a partial recovery of the FDIC special assessment in the first quarter of 2025.</w:t>
      </w:r>
    </w:p>
    <w:p>
      <w:pPr>
        <w:spacing w:after="0" w:line="1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other expense increased by $1.2 million or 8.3% in the second quarter of 2025 and by $2.8 million or 10.0% for the first six months ended June 30, 2025, compared to the same periods in 2024, primarily due to an increase in operational losses, advertising expenses, and broker's charges.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5</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6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12,808</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11,224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24,979</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23,197</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provision for income taxes was $12.8 million in the second quarter of 2025, an increase of $1.6 million compared to the same period in 2024. The effective tax rate for the second quarter of 2025 was 21.2%, a decrease from 24.8% for the same period in 2024. The lower effective tax rate in the second quarter of 2025 compared to the same period in 2024 was primarily due to a decrease in tax expense from discrete items and an increase in tax-exempt investment income.</w:t>
      </w:r>
    </w:p>
    <w:p>
      <w:pPr>
        <w:spacing w:after="0" w:line="39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$25.0 million in the first six months of 2025, an increase of $1.8 million compared to the same period in 2024. The effective tax rate for the first six months of 2025 was 21.4%, a decrease from 24.8% for the same period in 2024. The lower effective tax rate for the first six months of 2025 compared to the same period in 2024 was due to a decrease in tax expense from discrete items and an increase in tax-exempt investment income.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$7.6 billion and $7.3 billion as of June 30, 2025 and December 31, 2024, respectively. The increase was primarily due to the purchase of $517.1 million in available-for-sale investment securities during the six months ended June 30, 2025, of which $259.1 million were floating rate securities. The increase was partially offset by the amortization of existing securities. Floating rate securities represented 18.8% of the investment securities portfolio as of June 30, 2025, compared to 16.5% as of December 31, 2024.</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held-to-maturity (“HTM”) investment categories.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represent the largest concentration in our portfolio. As of June 30, 2025, the issuers of these securities carry credit ratings equivalent to those of the U.S. Government, reflecting the explicit and/or implicit guarantees provided.</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Net unrealized losses in our AFS and HTM investment securities were $0.9 billion as of June 30, 2025 and $1.1 billion as of December 31, 2024. See Note 2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to the unaudited Consolidated Financial Statements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composition of our loan and lease portfolio by major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Table 6</w:t>
            </w:r>
          </w:p>
        </w:tc>
      </w:tr>
      <w:tr>
        <w:trPr>
          <w:trHeight w:val="18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40" w:type="dxa"/>
            <w:vAlign w:val="bottom"/>
          </w:tcPr>
          <w:p>
            <w:pPr>
              <w:spacing w:after="0"/>
              <w:rPr>
                <w:sz w:val="16"/>
                <w:szCs w:val="16"/>
                <w:color w:val="auto"/>
              </w:rPr>
            </w:pPr>
          </w:p>
        </w:tc>
        <w:tc>
          <w:tcPr>
            <w:tcW w:w="14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4,038,956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4,020,622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18,334</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1,597,560</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1,705,133</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(107,573)</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(6.3)</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374,768</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308,898</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65,870</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1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90,756</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2,086</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6,104,126</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6,125,409</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(21,283)</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(0.3)</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4,637,014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4,628,283</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8,731</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2,139,025</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2,165,514</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(26,489)</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(1.2)</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715,688</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764,146</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(48,458)</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(6.3)</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406,325</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392,628</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13,697</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r>
      <w:tr>
        <w:trPr>
          <w:trHeight w:val="23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7,898,052</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7,950,571</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(52,519)</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(0.7)</w:t>
            </w:r>
          </w:p>
        </w:tc>
      </w:tr>
      <w:tr>
        <w:trPr>
          <w:trHeight w:val="262"/>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14,002,178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14,075,980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(73,802)</w:t>
            </w:r>
          </w:p>
        </w:tc>
        <w:tc>
          <w:tcPr>
            <w:tcW w:w="16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loans and leases as of June 30, 2025 decreased by $73.8 million or 0.5% from December 31, 2024 due to reductions in both our commercial and consumer loans.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Commercial loans and leases as of June 30, 2025 decreased by $21.3 million or 0.3% from December 31, 2024, primarily due to a decline in commercial and industrial loans, which decreased by $107.6 million or 6.3% largely as a result of paydowns. This was partially offset by construction loans, which increased by $65.9 million or 21.3%, primarily due to increased construction activity during the quarter. Consumer loans and leases as of June 30, 2025 decreased by $52.5 million or 0.7% from December 31, 2024, primarily due to paydowns in our home equity portfolio and a slowdown in production for our automobile loans.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6a presents an additional breakdown of the Company’s commercial mortgage portfolio.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Breakdown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w w:val="98"/>
              </w:rPr>
              <w:t>Table 6a</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1"/>
                <w:szCs w:val="11"/>
                <w:color w:val="auto"/>
              </w:rPr>
            </w:pPr>
          </w:p>
        </w:tc>
        <w:tc>
          <w:tcPr>
            <w:tcW w:w="9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b w:val="1"/>
                <w:bCs w:val="1"/>
                <w:color w:val="auto"/>
              </w:rPr>
              <w:t>% Owner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b w:val="1"/>
                <w:bCs w:val="1"/>
                <w:color w:val="auto"/>
              </w:rPr>
              <w:t>% Owner</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989,140</w:t>
            </w:r>
          </w:p>
        </w:tc>
        <w:tc>
          <w:tcPr>
            <w:tcW w:w="1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25 %</w:t>
            </w:r>
          </w:p>
        </w:tc>
        <w:tc>
          <w:tcPr>
            <w:tcW w:w="10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1,025,247</w:t>
            </w:r>
          </w:p>
        </w:tc>
        <w:tc>
          <w:tcPr>
            <w:tcW w:w="13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25 %</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740,203</w:t>
            </w: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724,645</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722,915</w:t>
            </w:r>
          </w:p>
        </w:tc>
        <w:tc>
          <w:tcPr>
            <w:tcW w:w="1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18</w:t>
            </w: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676,350</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700,139</w:t>
            </w: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17</w:t>
            </w:r>
          </w:p>
        </w:tc>
        <w:tc>
          <w:tcPr>
            <w:tcW w:w="1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704,780</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1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9</w:t>
            </w: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371,474</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510,022</w:t>
            </w:r>
          </w:p>
        </w:tc>
        <w:tc>
          <w:tcPr>
            <w:tcW w:w="13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13</w:t>
            </w: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518,126</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Commercial Mortgage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4,038,956</w:t>
            </w: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100 %</w:t>
            </w:r>
          </w:p>
        </w:tc>
        <w:tc>
          <w:tcPr>
            <w:tcW w:w="10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4,020,622</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includes unamortized loan origination fees.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the composition of our loan and lease portfolio by geographic area and by major categories.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Distribution of Loan and Lease Portfolio</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7</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Hawai</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i</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Other Pacific</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U.S. Mainland </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Guam</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Islands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3,607,929</w:t>
            </w:r>
          </w:p>
        </w:tc>
        <w:tc>
          <w:tcPr>
            <w:tcW w:w="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255,719</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174,883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4,038,956</w:t>
            </w:r>
          </w:p>
        </w:tc>
        <w:tc>
          <w:tcPr>
            <w:tcW w:w="0" w:type="dxa"/>
            <w:vAlign w:val="bottom"/>
          </w:tcPr>
          <w:p>
            <w:pPr>
              <w:spacing w:after="0"/>
              <w:rPr>
                <w:sz w:val="1"/>
                <w:szCs w:val="1"/>
                <w:color w:val="auto"/>
              </w:rPr>
            </w:pP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1,381,481</w:t>
            </w:r>
          </w:p>
        </w:tc>
        <w:tc>
          <w:tcPr>
            <w:tcW w:w="42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137,052</w:t>
            </w:r>
          </w:p>
        </w:tc>
        <w:tc>
          <w:tcPr>
            <w:tcW w:w="3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68,422</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10,605</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1,597,560</w:t>
            </w: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374,768</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374,768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92,499</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343</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92,842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5,456,677</w:t>
            </w: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392,771</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243,648</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11,030</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6,104,126</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4,560,931</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5,429</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70,361</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4,637,014</w:t>
            </w:r>
          </w:p>
        </w:tc>
        <w:tc>
          <w:tcPr>
            <w:tcW w:w="0" w:type="dxa"/>
            <w:vAlign w:val="bottom"/>
          </w:tcPr>
          <w:p>
            <w:pPr>
              <w:spacing w:after="0"/>
              <w:rPr>
                <w:sz w:val="1"/>
                <w:szCs w:val="1"/>
                <w:color w:val="auto"/>
              </w:rPr>
            </w:pP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2,094,326</w:t>
            </w:r>
          </w:p>
        </w:tc>
        <w:tc>
          <w:tcPr>
            <w:tcW w:w="42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44,661</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2,139,025</w:t>
            </w: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568,571</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114,921</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32,196</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715,688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350,262</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53,706</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406,325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7,574,090</w:t>
            </w: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5,467</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283,649</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34,846</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7,898,052</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13,030,767</w:t>
            </w:r>
          </w:p>
        </w:tc>
        <w:tc>
          <w:tcPr>
            <w:tcW w:w="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398,238</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527,297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45,876</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14,002,178</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4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3,534,658</w:t>
            </w:r>
          </w:p>
        </w:tc>
        <w:tc>
          <w:tcPr>
            <w:tcW w:w="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297,758</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187,777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429</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4,020,622</w:t>
            </w:r>
          </w:p>
        </w:tc>
        <w:tc>
          <w:tcPr>
            <w:tcW w:w="0" w:type="dxa"/>
            <w:vAlign w:val="bottom"/>
          </w:tcPr>
          <w:p>
            <w:pPr>
              <w:spacing w:after="0"/>
              <w:rPr>
                <w:sz w:val="1"/>
                <w:szCs w:val="1"/>
                <w:color w:val="auto"/>
              </w:rPr>
            </w:pP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1,493,386</w:t>
            </w:r>
          </w:p>
        </w:tc>
        <w:tc>
          <w:tcPr>
            <w:tcW w:w="42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139,968</w:t>
            </w:r>
          </w:p>
        </w:tc>
        <w:tc>
          <w:tcPr>
            <w:tcW w:w="3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62,824</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8,955</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1,705,133</w:t>
            </w: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308,898</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308,898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90,260</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90,756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5,427,202</w:t>
            </w: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437,726</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251,097</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9,384</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6,125,409</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4,553,553</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5,469</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68,932</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329</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4,628,283</w:t>
            </w:r>
          </w:p>
        </w:tc>
        <w:tc>
          <w:tcPr>
            <w:tcW w:w="0" w:type="dxa"/>
            <w:vAlign w:val="bottom"/>
          </w:tcPr>
          <w:p>
            <w:pPr>
              <w:spacing w:after="0"/>
              <w:rPr>
                <w:sz w:val="1"/>
                <w:szCs w:val="1"/>
                <w:color w:val="auto"/>
              </w:rPr>
            </w:pP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2,119,548</w:t>
            </w:r>
          </w:p>
        </w:tc>
        <w:tc>
          <w:tcPr>
            <w:tcW w:w="42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45,925</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2,165,514</w:t>
            </w:r>
          </w:p>
        </w:tc>
        <w:tc>
          <w:tcPr>
            <w:tcW w:w="0" w:type="dxa"/>
            <w:vAlign w:val="bottom"/>
          </w:tcPr>
          <w:p>
            <w:pPr>
              <w:spacing w:after="0"/>
              <w:rPr>
                <w:sz w:val="1"/>
                <w:szCs w:val="1"/>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601,359</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125,331</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37,456</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764,146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336,718</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47,279</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8,631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392,628</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7,611,178</w:t>
            </w: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5,510</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287,467</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46,416</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7,950,571</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13,038,380</w:t>
            </w:r>
          </w:p>
        </w:tc>
        <w:tc>
          <w:tcPr>
            <w:tcW w:w="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443,236</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538,564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55,800</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14,075,980</w:t>
            </w:r>
          </w:p>
        </w:tc>
        <w:tc>
          <w:tcPr>
            <w:tcW w:w="0" w:type="dxa"/>
            <w:vAlign w:val="bottom"/>
          </w:tcPr>
          <w:p>
            <w:pPr>
              <w:spacing w:after="0"/>
              <w:rPr>
                <w:sz w:val="1"/>
                <w:szCs w:val="1"/>
                <w:color w:val="auto"/>
              </w:rPr>
            </w:pPr>
          </w:p>
        </w:tc>
      </w:tr>
      <w:tr>
        <w:trPr>
          <w:trHeight w:val="261"/>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4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420" w:right="40" w:hanging="412"/>
        <w:spacing w:after="0" w:line="302" w:lineRule="auto"/>
        <w:tabs>
          <w:tab w:leader="none" w:pos="413"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secured loans and leases, classification is made based on where the collateral is located. For unsecured loans and leases, classification is made based on the location where the majority of the borrower’s business operations are conducted.</w:t>
      </w:r>
    </w:p>
    <w:p>
      <w:pPr>
        <w:spacing w:after="0" w:line="1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major components of other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Table 8</w:t>
            </w:r>
          </w:p>
        </w:tc>
      </w:tr>
      <w:tr>
        <w:trPr>
          <w:trHeight w:val="18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40" w:type="dxa"/>
            <w:vAlign w:val="bottom"/>
          </w:tcPr>
          <w:p>
            <w:pPr>
              <w:spacing w:after="0"/>
              <w:rPr>
                <w:sz w:val="16"/>
                <w:szCs w:val="16"/>
                <w:color w:val="auto"/>
              </w:rPr>
            </w:pPr>
          </w:p>
        </w:tc>
        <w:tc>
          <w:tcPr>
            <w:tcW w:w="14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8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224,381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233,202</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(8,821)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and Tax Receivable</w:t>
            </w:r>
          </w:p>
        </w:tc>
        <w:tc>
          <w:tcPr>
            <w:tcW w:w="6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164,062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172,499</w:t>
            </w:r>
          </w:p>
        </w:tc>
        <w:tc>
          <w:tcPr>
            <w:tcW w:w="34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(8,437)</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108,223</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161,473</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(53,250)</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(33.0)</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Stock</w:t>
            </w:r>
          </w:p>
        </w:tc>
        <w:tc>
          <w:tcPr>
            <w:tcW w:w="6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34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6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6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21,874</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22,623</w:t>
            </w:r>
          </w:p>
        </w:tc>
        <w:tc>
          <w:tcPr>
            <w:tcW w:w="34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(749)</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6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(3,586)</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6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12,641</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34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(4,340)</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(25.6)</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6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(2,315)</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(87.1)</w:t>
            </w:r>
          </w:p>
        </w:tc>
      </w:tr>
      <w:tr>
        <w:trPr>
          <w:trHeight w:val="237"/>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40,401</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44,279</w:t>
            </w: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(3,878)</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(8.8)</w:t>
            </w:r>
          </w:p>
        </w:tc>
      </w:tr>
      <w:tr>
        <w:trPr>
          <w:trHeight w:val="261"/>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736,958</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(85,174)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decreased by $53.3 million or 33.0% due to changes in interest rates from December 2024 to June 2025 decreasing the valuation of customer swaps and fair value hedges. Accounts receivable decreased by $4.3 million due to timing of payments and changes in accruals. Deferred compensation plan assets decreased by $3.6 million primarily due to distributions from the executive deferred compensation plan in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composition of our deposits by major customer categories.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1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w w:val="97"/>
              </w:rPr>
              <w:t>Table 9</w:t>
            </w:r>
          </w:p>
        </w:tc>
      </w:tr>
      <w:tr>
        <w:trPr>
          <w:trHeight w:val="18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20" w:type="dxa"/>
            <w:vAlign w:val="bottom"/>
          </w:tcPr>
          <w:p>
            <w:pPr>
              <w:spacing w:after="0"/>
              <w:rPr>
                <w:sz w:val="16"/>
                <w:szCs w:val="16"/>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7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10,429,271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10,397,777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31,494</w:t>
            </w:r>
          </w:p>
        </w:tc>
        <w:tc>
          <w:tcPr>
            <w:tcW w:w="16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0.3 %</w:t>
            </w:r>
          </w:p>
        </w:tc>
      </w:tr>
      <w:tr>
        <w:trPr>
          <w:trHeight w:val="24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720" w:type="dxa"/>
            <w:vAlign w:val="bottom"/>
          </w:tcPr>
          <w:p>
            <w:pPr>
              <w:spacing w:after="0"/>
              <w:rPr>
                <w:sz w:val="20"/>
                <w:szCs w:val="20"/>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8,243,898</w:t>
            </w:r>
          </w:p>
        </w:tc>
        <w:tc>
          <w:tcPr>
            <w:tcW w:w="24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8,299,590</w:t>
            </w:r>
          </w:p>
        </w:tc>
        <w:tc>
          <w:tcPr>
            <w:tcW w:w="320" w:type="dxa"/>
            <w:vAlign w:val="bottom"/>
          </w:tcPr>
          <w:p>
            <w:pPr>
              <w:spacing w:after="0"/>
              <w:rPr>
                <w:sz w:val="20"/>
                <w:szCs w:val="20"/>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(55,692)</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(0.7)</w:t>
            </w:r>
          </w:p>
        </w:tc>
      </w:tr>
      <w:tr>
        <w:trPr>
          <w:trHeight w:val="240"/>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and Other</w:t>
            </w:r>
          </w:p>
        </w:tc>
        <w:tc>
          <w:tcPr>
            <w:tcW w:w="17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2,125,745</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1,935,670</w:t>
            </w:r>
          </w:p>
        </w:tc>
        <w:tc>
          <w:tcPr>
            <w:tcW w:w="3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190,075</w:t>
            </w:r>
          </w:p>
        </w:tc>
        <w:tc>
          <w:tcPr>
            <w:tcW w:w="16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9.8</w:t>
            </w:r>
          </w:p>
        </w:tc>
      </w:tr>
      <w:tr>
        <w:trPr>
          <w:trHeight w:val="24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1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20,798,914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20,633,037</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165,877</w:t>
            </w:r>
          </w:p>
        </w:tc>
        <w:tc>
          <w:tcPr>
            <w:tcW w:w="16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0.8 %</w:t>
            </w:r>
          </w:p>
        </w:tc>
      </w:tr>
      <w:tr>
        <w:trPr>
          <w:trHeight w:val="23"/>
        </w:trPr>
        <w:tc>
          <w:tcPr>
            <w:tcW w:w="2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Total deposits were $20.8 billion as of June 30, 2025, an increase of $165.9 million or 0.8% from December 31, 2024. Consumer deposits increased by $31.5 million due to increases of $144.4 million in savings deposits and $29.6 million in non-interest bearing deposits, partially offset by a decrease of $142.5 million in interest-bearing deposits. Commercial deposits decreased by $55.7 million primarily from decreases of $97.6 million in core deposits, defined as all deposits exclusive of time deposits, partially offset by an increase of $41.9 million in time deposits. Public and other deposits increased by $190.1 million due to an increase of $208.2 million in interest-bearing deposits, partially offset by a decrease of $18.1 million in non-interest bearing deposits.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composition of our savings deposits.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1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23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3,347,231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3,430,047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(82,816)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6"/>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Regular Savings</w:t>
            </w:r>
          </w:p>
        </w:tc>
        <w:tc>
          <w:tcPr>
            <w:tcW w:w="1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5,134,097</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4,934,869</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199,228</w:t>
            </w:r>
          </w:p>
        </w:tc>
        <w:tc>
          <w:tcPr>
            <w:tcW w:w="16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r>
      <w:tr>
        <w:trPr>
          <w:trHeight w:val="265"/>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8,481,328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8,364,916</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116,412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increase in Regular Savings was primarily due to increases in consumer deposits of $153.0 million, public deposits of $43.7 million, and commercial deposits of $2.5 million. The decrease in Money Market was primarily due to decreases in commercial deposits of $74.2 million and consumer deposits of $8.6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maturity distribution of the estimated uninsured time deposits.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Distribution of Estimated Uninsured Time Deposits</w:t>
            </w:r>
          </w:p>
        </w:tc>
        <w:tc>
          <w:tcPr>
            <w:tcW w:w="1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5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6"/>
                <w:szCs w:val="16"/>
                <w:color w:val="auto"/>
              </w:rPr>
            </w:pPr>
          </w:p>
        </w:tc>
        <w:tc>
          <w:tcPr>
            <w:tcW w:w="14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Remaining maturity:</w:t>
            </w:r>
          </w:p>
        </w:tc>
        <w:tc>
          <w:tcPr>
            <w:tcW w:w="10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Three months or less</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716,431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635,812</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80,619</w:t>
            </w:r>
          </w:p>
        </w:tc>
      </w:tr>
      <w:tr>
        <w:trPr>
          <w:trHeight w:val="253"/>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three through six months</w:t>
            </w:r>
          </w:p>
        </w:tc>
        <w:tc>
          <w:tcPr>
            <w:tcW w:w="10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503,352</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365,354</w:t>
            </w:r>
          </w:p>
        </w:tc>
        <w:tc>
          <w:tcPr>
            <w:tcW w:w="4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137,998</w:t>
            </w: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After six through twelve months</w:t>
            </w:r>
          </w:p>
        </w:tc>
        <w:tc>
          <w:tcPr>
            <w:tcW w:w="100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256,740</w:t>
            </w:r>
          </w:p>
        </w:tc>
        <w:tc>
          <w:tcPr>
            <w:tcW w:w="280" w:type="dxa"/>
            <w:vAlign w:val="bottom"/>
          </w:tcPr>
          <w:p>
            <w:pPr>
              <w:spacing w:after="0"/>
              <w:rPr>
                <w:sz w:val="20"/>
                <w:szCs w:val="20"/>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524,286</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(267,546)</w:t>
            </w:r>
          </w:p>
        </w:tc>
      </w:tr>
      <w:tr>
        <w:trPr>
          <w:trHeight w:val="246"/>
        </w:trPr>
        <w:tc>
          <w:tcPr>
            <w:tcW w:w="4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twelve months</w:t>
            </w:r>
          </w:p>
        </w:tc>
        <w:tc>
          <w:tcPr>
            <w:tcW w:w="10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151,487</w:t>
            </w:r>
          </w:p>
        </w:tc>
        <w:tc>
          <w:tcPr>
            <w:tcW w:w="2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102,795</w:t>
            </w:r>
          </w:p>
        </w:tc>
        <w:tc>
          <w:tcPr>
            <w:tcW w:w="4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48,692</w:t>
            </w:r>
          </w:p>
        </w:tc>
      </w:tr>
      <w:tr>
        <w:trPr>
          <w:trHeight w:val="23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1,628,010</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1,628,247</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7"/>
        </w:trPr>
        <w:tc>
          <w:tcPr>
            <w:tcW w:w="4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Estimated uninsured deposits are calculated pursuant to regulatory guidance and reported in our Call Report and include deposits collateralized by government-backed securities and intercompany deposits of wholly-owned subsidiaries. Table 12 presents a reconciliation of our estimated uninsured deposits as reported in our Call Report to our adjusted uninsured deposits. We believe the adjusted uninsured deposits reconciliation provides useful information about our deposits at risk.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Uninsured Deposits Reconciliation</w:t>
            </w:r>
          </w:p>
        </w:tc>
        <w:tc>
          <w:tcPr>
            <w:tcW w:w="1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229"/>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 xml:space="preserve">June 30, 2025 </w:t>
            </w:r>
            <w:r>
              <w:rPr>
                <w:rFonts w:ascii="Times New Roman" w:cs="Times New Roman" w:eastAsia="Times New Roman" w:hAnsi="Times New Roman"/>
                <w:sz w:val="18"/>
                <w:szCs w:val="18"/>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r>
              <w:rPr>
                <w:rFonts w:ascii="Times New Roman" w:cs="Times New Roman" w:eastAsia="Times New Roman" w:hAnsi="Times New Roman"/>
                <w:sz w:val="18"/>
                <w:szCs w:val="18"/>
                <w:b w:val="1"/>
                <w:bCs w:val="1"/>
                <w:color w:val="auto"/>
                <w:vertAlign w:val="superscript"/>
              </w:rPr>
              <w:t>2</w:t>
            </w: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Estimated Uninsured Deposits, as Reported in our Call Report</w:t>
            </w:r>
          </w:p>
        </w:tc>
        <w:tc>
          <w:tcPr>
            <w:tcW w:w="19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9,885,632</w:t>
            </w:r>
          </w:p>
        </w:tc>
        <w:tc>
          <w:tcPr>
            <w:tcW w:w="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9,754,299</w:t>
            </w: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5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Deposits Collateralized by Government-Backed Securities</w:t>
            </w:r>
          </w:p>
        </w:tc>
        <w:tc>
          <w:tcPr>
            <w:tcW w:w="19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(2,003,084)</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(1,794,050)</w:t>
            </w:r>
          </w:p>
        </w:tc>
      </w:tr>
      <w:tr>
        <w:trPr>
          <w:trHeight w:val="23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Intercompany Deposits of Wholly-Owned Subsidiaries</w:t>
            </w:r>
          </w:p>
        </w:tc>
        <w:tc>
          <w:tcPr>
            <w:tcW w:w="1940" w:type="dxa"/>
            <w:vAlign w:val="bottom"/>
          </w:tcPr>
          <w:p>
            <w:pPr>
              <w:spacing w:after="0"/>
              <w:rPr>
                <w:sz w:val="20"/>
                <w:szCs w:val="20"/>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(125,395)</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(121,932)</w:t>
            </w:r>
          </w:p>
        </w:tc>
      </w:tr>
      <w:tr>
        <w:trPr>
          <w:trHeight w:val="246"/>
        </w:trPr>
        <w:tc>
          <w:tcPr>
            <w:tcW w:w="57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(69,432)</w:t>
            </w:r>
          </w:p>
        </w:tc>
        <w:tc>
          <w:tcPr>
            <w:tcW w:w="2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(110,995)</w:t>
            </w:r>
          </w:p>
        </w:tc>
      </w:tr>
      <w:tr>
        <w:trPr>
          <w:trHeight w:val="23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Uninsured Deposits</w:t>
            </w:r>
          </w:p>
        </w:tc>
        <w:tc>
          <w:tcPr>
            <w:tcW w:w="1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7,687,721</w:t>
            </w: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7,727,322</w:t>
            </w:r>
          </w:p>
        </w:tc>
      </w:tr>
      <w:tr>
        <w:trPr>
          <w:trHeight w:val="27"/>
        </w:trPr>
        <w:tc>
          <w:tcPr>
            <w:tcW w:w="5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1"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presented as of June 30, 2025 are preliminary.</w:t>
      </w:r>
    </w:p>
    <w:p>
      <w:pPr>
        <w:ind w:left="400" w:hanging="392"/>
        <w:spacing w:after="0"/>
        <w:tabs>
          <w:tab w:leader="none" w:pos="40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Balances presented as of December 31, 2024 were revised to reflect changes made in our Call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sold under agreements to repurchase were $50.0 million and $100.0 million as of June 30, 2025 and December 31, 2024, respectively. In February 2025, a private institution exercised its right to call on a repurchase agreement with a balance of $50.0 million, resulting in its termination. As of June 30, 2025, our remaining repurchase agreement was at a fixed interest rate of 3.89% with a remaining maturity of 4.38 years. Our repurchase agreement was accounted for as a collateralized financing arrangement (i.e., a secured borrowing) and not as a sale and subsequent repurchase of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other debt.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1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w w:val="96"/>
              </w:rPr>
              <w:t>Table 13</w:t>
            </w:r>
          </w:p>
        </w:tc>
      </w:tr>
      <w:tr>
        <w:trPr>
          <w:trHeight w:val="18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40" w:type="dxa"/>
            <w:vAlign w:val="bottom"/>
          </w:tcPr>
          <w:p>
            <w:pPr>
              <w:spacing w:after="0"/>
              <w:rPr>
                <w:sz w:val="16"/>
                <w:szCs w:val="16"/>
                <w:color w:val="auto"/>
              </w:rPr>
            </w:pP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6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Dollar Change</w:t>
            </w:r>
          </w:p>
        </w:tc>
      </w:tr>
      <w:tr>
        <w:trPr>
          <w:trHeight w:val="37"/>
        </w:trPr>
        <w:tc>
          <w:tcPr>
            <w:tcW w:w="45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Advances</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8,226</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8,274</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color w:val="auto"/>
              </w:rPr>
              <w:t>(48)</w:t>
            </w:r>
          </w:p>
        </w:tc>
      </w:tr>
      <w:tr>
        <w:trPr>
          <w:trHeight w:val="262"/>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558,226</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558,274</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Consumer Banking, Commercial Banking, and Treasury and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Table 14 summarizes net income from our business segments. Additional information about segment performance is presented in Note 9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xml:space="preserve"> to the unaudited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14</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Banking</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center"/>
              <w:ind w:left="442"/>
              <w:spacing w:after="0"/>
              <w:rPr>
                <w:sz w:val="20"/>
                <w:szCs w:val="20"/>
                <w:color w:val="auto"/>
              </w:rPr>
            </w:pPr>
            <w:r>
              <w:rPr>
                <w:rFonts w:ascii="Times New Roman" w:cs="Times New Roman" w:eastAsia="Times New Roman" w:hAnsi="Times New Roman"/>
                <w:sz w:val="16"/>
                <w:szCs w:val="16"/>
                <w:color w:val="auto"/>
                <w:w w:val="99"/>
              </w:rPr>
              <w:t>29,737</w:t>
            </w:r>
          </w:p>
        </w:tc>
        <w:tc>
          <w:tcPr>
            <w:tcW w:w="4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center"/>
              <w:ind w:left="441"/>
              <w:spacing w:after="0"/>
              <w:rPr>
                <w:sz w:val="20"/>
                <w:szCs w:val="20"/>
                <w:color w:val="auto"/>
              </w:rPr>
            </w:pPr>
            <w:r>
              <w:rPr>
                <w:rFonts w:ascii="Times New Roman" w:cs="Times New Roman" w:eastAsia="Times New Roman" w:hAnsi="Times New Roman"/>
                <w:sz w:val="16"/>
                <w:szCs w:val="16"/>
                <w:color w:val="auto"/>
              </w:rPr>
              <w:t>31,289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59,189</w:t>
            </w:r>
          </w:p>
        </w:tc>
        <w:tc>
          <w:tcPr>
            <w:tcW w:w="4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64,093</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Banking</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9"/>
              </w:rPr>
              <w:t>30,694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6"/>
                <w:szCs w:val="16"/>
                <w:color w:val="auto"/>
              </w:rPr>
              <w:t>29,213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62,383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58,855</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left="442"/>
              <w:spacing w:after="0"/>
              <w:rPr>
                <w:sz w:val="20"/>
                <w:szCs w:val="20"/>
                <w:color w:val="auto"/>
              </w:rPr>
            </w:pPr>
            <w:r>
              <w:rPr>
                <w:rFonts w:ascii="Times New Roman" w:cs="Times New Roman" w:eastAsia="Times New Roman" w:hAnsi="Times New Roman"/>
                <w:sz w:val="16"/>
                <w:szCs w:val="16"/>
                <w:color w:val="auto"/>
                <w:w w:val="99"/>
              </w:rPr>
              <w:t>60,431</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center"/>
              <w:ind w:left="441"/>
              <w:spacing w:after="0"/>
              <w:rPr>
                <w:sz w:val="20"/>
                <w:szCs w:val="20"/>
                <w:color w:val="auto"/>
              </w:rPr>
            </w:pPr>
            <w:r>
              <w:rPr>
                <w:rFonts w:ascii="Times New Roman" w:cs="Times New Roman" w:eastAsia="Times New Roman" w:hAnsi="Times New Roman"/>
                <w:sz w:val="16"/>
                <w:szCs w:val="16"/>
                <w:color w:val="auto"/>
              </w:rPr>
              <w:t>60,502</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121,572</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122,948</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Treasury and Other</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color w:val="auto"/>
              </w:rPr>
              <w:t>(12,794)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6"/>
                <w:szCs w:val="16"/>
                <w:color w:val="auto"/>
              </w:rPr>
              <w:t>(26,419)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(52,474)</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center"/>
              <w:ind w:left="442"/>
              <w:spacing w:after="0"/>
              <w:rPr>
                <w:sz w:val="20"/>
                <w:szCs w:val="20"/>
                <w:color w:val="auto"/>
              </w:rPr>
            </w:pPr>
            <w:r>
              <w:rPr>
                <w:rFonts w:ascii="Times New Roman" w:cs="Times New Roman" w:eastAsia="Times New Roman" w:hAnsi="Times New Roman"/>
                <w:sz w:val="16"/>
                <w:szCs w:val="16"/>
                <w:color w:val="auto"/>
                <w:w w:val="99"/>
              </w:rPr>
              <w:t>47,637</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center"/>
              <w:ind w:left="441"/>
              <w:spacing w:after="0"/>
              <w:rPr>
                <w:sz w:val="20"/>
                <w:szCs w:val="20"/>
                <w:color w:val="auto"/>
              </w:rPr>
            </w:pPr>
            <w:r>
              <w:rPr>
                <w:rFonts w:ascii="Times New Roman" w:cs="Times New Roman" w:eastAsia="Times New Roman" w:hAnsi="Times New Roman"/>
                <w:sz w:val="16"/>
                <w:szCs w:val="16"/>
                <w:color w:val="auto"/>
              </w:rPr>
              <w:t>34,083</w:t>
            </w:r>
          </w:p>
        </w:tc>
        <w:tc>
          <w:tcPr>
            <w:tcW w:w="10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91,622</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70,474</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income decreased by $1.6 million or 5% in the second quarter of 2025 compared to the same period in 2024, primarily due to a decrease in net interest income. Net interest income decreased by $2.9 million or 3%, primarily due to lower deposit spreads on higher deposit balances.</w:t>
      </w:r>
    </w:p>
    <w:p>
      <w:pPr>
        <w:spacing w:after="0" w:line="10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Net income decreased by $4.9 million or 8% in the first six months of 2025 compared to the same period in 2024, primarily due to a decrease in net interest income, coupled with an increase in noninterest expense and the provision for credit losses. This was partially offset by an increase in noninterest income. Net interest income decreased by $4.2 million or 2%, primarily due to lower deposit spreads on higher deposit balances, as well as lower loan balances. Noninterest expense increased by $3.5 million or 2%, primarily due to higher operational losses, salaries and benefits, and online banking platform costs, and allocated administrative and support unit costs. The provision for credit losses increased by $0.8 million or 15%, primarily due to higher net charge-offs in the auto loan portfolio. Noninterest income increased by $1.8 million or 3%, primarily due to higher monthly service fees, trust and asset management income, credit card commissions, annuity and insurance income, and debit card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8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Net income increased by $1.5 million or 5% in the second quarter of 2025 compared to the same period in 2024, primarily due to an increase in net interest income, partially offset by a decrease in noninterest income and an increase in noninterest expense. Net interest income increased by $3.1 million or 6%, primarily due to an increase in loan balances, primarily in commercial mortgages and allocated interest income due to increases in balances and spreads on interest bearing and savings deposits, partially offset by a reduction in noninterest bearing deposit balances. Noninterest income decreased by $0.5 million or 8%, primarily due to lower customer derivative program revenue, partially offset by an increase in merchant revenue. Noninterest expense increased by $0.9 million or 5%, primarily due to higher allocated administrative and support unit expenses, partially offset by lower salaries &amp; benefits and broker charges related to the customer derivative program.</w:t>
      </w:r>
    </w:p>
    <w:p>
      <w:pPr>
        <w:spacing w:after="0" w:line="21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Net income increased by $3.5 million or 6% in the first six months of 2025 compared to the same period in 2024, primarily due to an increase in net interest income and noninterest income, partially offset by an increase in noninterest expense. Net interest income increased by $7.1 million or 7%, primarily due to an increase in loan balances, primarily in commercial mortgages, and an increase in allocated interest income due to increases in balances and spreads on interest bearing and savings deposits, partially offset by a reduction in noninterest bearing deposit balances. Noninterest expense increased by $1.9 million or 5%, primarily due to higher allocated administrative and support unit expenses, merchant processing fees, data services, and other professional services, partially offset by lower salaries &amp; benefits.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7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Net loss decreased by $13.6 million or 52% in the second quarter of 2025 compared to the same period in 2024, primarily due to a decrease in net interest expense coupled with an increase in noninterest income, partially offset with an increase in the provision for credit losses. Net interest expense decreased by $14.6 million or 43%, primarily due to a decrease in funding costs reflecting the current lower rate environment. Noninterest income increased by $2.9 million or 168%, primarily due to a decrease in other income. The provision for credit losses and income taxes in this business segment represent the residual amounts to arrive at the total amount for the Company.</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loss decreased by $22.5 million or 43% in the first six months of 2025 compared to the same period in 2024, primarily due to a decrease in net interest expense coupled with an increase in noninterest income, partially offset by an increase in noninterest expense and provision for credit losses. Net interest expense decreased by $23.8 million or 53%, primarily due to lower funding costs and an increase in interest income from higher asset yields. Noninterest income increased by $2.2 million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43%, primarily due to increases in other income and bank-owned life insurance income. The provision for credit losses and income taxes in this business segment represent the residual amounts to arrive at the total amount for the Company.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information on NPAs and accruing loans and leases past due 90 days or more.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Non-Performing Assets and Accruing Loans and Leases Past Due 90 Days or More</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Table 15</w:t>
            </w:r>
          </w:p>
        </w:tc>
      </w:tr>
      <w:tr>
        <w:trPr>
          <w:trHeight w:val="35"/>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7"/>
                <w:szCs w:val="17"/>
                <w:color w:val="auto"/>
              </w:rPr>
            </w:pP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7"/>
                <w:szCs w:val="17"/>
                <w:color w:val="auto"/>
              </w:rPr>
            </w:pP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17"/>
                <w:szCs w:val="17"/>
                <w:color w:val="auto"/>
              </w:rPr>
            </w:pP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35"/>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3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Non-Accrual Loans and Leases</w:t>
            </w: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9"/>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Mortgage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2,566</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2,450</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4"/>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3,744</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4,627</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(883)</w:t>
            </w:r>
          </w:p>
        </w:tc>
      </w:tr>
      <w:tr>
        <w:trPr>
          <w:trHeight w:val="186"/>
        </w:trPr>
        <w:tc>
          <w:tcPr>
            <w:tcW w:w="5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6,310</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7,077</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(767)</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3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3"/>
        </w:trPr>
        <w:tc>
          <w:tcPr>
            <w:tcW w:w="5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32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5,842</w:t>
            </w:r>
          </w:p>
        </w:tc>
        <w:tc>
          <w:tcPr>
            <w:tcW w:w="320" w:type="dxa"/>
            <w:vAlign w:val="bottom"/>
          </w:tcPr>
          <w:p>
            <w:pPr>
              <w:spacing w:after="0"/>
              <w:rPr>
                <w:sz w:val="16"/>
                <w:szCs w:val="16"/>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5,052</w:t>
            </w: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790</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5"/>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5,387</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4,514</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873</w:t>
            </w:r>
          </w:p>
        </w:tc>
      </w:tr>
      <w:tr>
        <w:trPr>
          <w:trHeight w:val="186"/>
        </w:trPr>
        <w:tc>
          <w:tcPr>
            <w:tcW w:w="5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11,229</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9,566</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1,663</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Non-Accrual Loans and Leases</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17,539</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16,643</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896</w:t>
            </w:r>
          </w:p>
        </w:tc>
      </w:tr>
      <w:tr>
        <w:trPr>
          <w:trHeight w:val="186"/>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342</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2,657</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(2,315)</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17,881</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19,300</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(1,419)</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9,070</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3,984</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5,086</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9"/>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1,867</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2,845</w:t>
            </w: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(978)</w:t>
            </w: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32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680</w:t>
            </w:r>
          </w:p>
        </w:tc>
        <w:tc>
          <w:tcPr>
            <w:tcW w:w="320" w:type="dxa"/>
            <w:vAlign w:val="bottom"/>
          </w:tcPr>
          <w:p>
            <w:pPr>
              <w:spacing w:after="0"/>
              <w:rPr>
                <w:sz w:val="16"/>
                <w:szCs w:val="16"/>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776</w:t>
            </w:r>
          </w:p>
        </w:tc>
        <w:tc>
          <w:tcPr>
            <w:tcW w:w="44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677</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r>
      <w:tr>
        <w:trPr>
          <w:trHeight w:val="186"/>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12,247</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8,282</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3,965</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12,247</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8,282</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3,965</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14,002,178</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14,075,980</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(73,802)</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Non-Accrual Loans and Leases to Total Loans and Leases</w:t>
            </w:r>
          </w:p>
        </w:tc>
        <w:tc>
          <w:tcPr>
            <w:tcW w:w="3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to Total Loans and Leases and Foreclosed Real Estate</w:t>
            </w: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to Total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Commercial Non-Performing Assets to Total Commercial Loans and Leases and</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Foreclosed Real Estate</w:t>
            </w: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Consumer Non-Performing Assets to Total Consumer Loans and Leases and</w:t>
            </w: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Foreclosed Real Estate</w:t>
            </w:r>
          </w:p>
        </w:tc>
        <w:tc>
          <w:tcPr>
            <w:tcW w:w="3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and Accruing Loans and Leases Past Due 90 Days or More</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Total Loans and Leases and Foreclosed Real Estate</w:t>
            </w: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0.02 %</w:t>
            </w: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28"/>
        </w:trPr>
        <w:tc>
          <w:tcPr>
            <w:tcW w:w="5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Non-Performing Assets</w:t>
            </w: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19,300</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9"/>
                <w:szCs w:val="19"/>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5,731</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w:t>
            </w:r>
          </w:p>
        </w:tc>
        <w:tc>
          <w:tcPr>
            <w:tcW w:w="320" w:type="dxa"/>
            <w:vAlign w:val="bottom"/>
          </w:tcPr>
          <w:p>
            <w:pPr>
              <w:spacing w:after="0"/>
              <w:rPr>
                <w:sz w:val="16"/>
                <w:szCs w:val="16"/>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(2,636)</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to Accrual Status</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(818)</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Foreclosed Real Estate</w:t>
            </w:r>
          </w:p>
        </w:tc>
        <w:tc>
          <w:tcPr>
            <w:tcW w:w="320" w:type="dxa"/>
            <w:vAlign w:val="bottom"/>
          </w:tcPr>
          <w:p>
            <w:pPr>
              <w:spacing w:after="0"/>
              <w:rPr>
                <w:sz w:val="16"/>
                <w:szCs w:val="16"/>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(2,532)</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29"/>
        </w:trPr>
        <w:tc>
          <w:tcPr>
            <w:tcW w:w="5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Charge-offs/Write-downs</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(1,164)</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8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Reductions</w:t>
            </w:r>
          </w:p>
        </w:tc>
        <w:tc>
          <w:tcPr>
            <w:tcW w:w="320" w:type="dxa"/>
            <w:vAlign w:val="bottom"/>
          </w:tcPr>
          <w:p>
            <w:pPr>
              <w:spacing w:after="0"/>
              <w:rPr>
                <w:sz w:val="16"/>
                <w:szCs w:val="16"/>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(7,150)</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17,881</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loans that are fully charged-off and placed on non-accrual status during the same period.</w:t>
      </w:r>
    </w:p>
    <w:p>
      <w:pPr>
        <w:spacing w:after="0" w:line="1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are caused by loans and leases that reach a specified past due status, offset by reductions for loans and leases that are charged-off, written down, paid down, sold, transferred to foreclosed real estate, or are no longer classified as non-accrual because they have returned to accrual status.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Non-accrual loans and leases as of June 30, 2025 were $17.5 million, an increase of $0.9 million or 5% from December 31, 2024 primarily due to increases in residential mortgage and home equity partially offset by a decline in commercial and industrial. Residential mortgage non-accrual loans increased $0.8 million or 16% from December 31, 2024. As of June 30, 2025, our residential mortgage non-accrual loans were comprised of 20 loans with a weighted average current loan-to-value ratio of 77.5%. Home equity non-accrual loans increased $0.9 million or 19% from December 31, 2024. As of June 30, 2025, our home equity non-accrual loans were comprised of 56 loans with a weighted average current loan-to-value ratio of 54%. Commercial and industrial non-accrual loans decreased $0.9 million from December 31, 2024, primarily due to the partial charge-off of a significant loan.</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$0.3 million as of June 30, 2025 compared to $2.7 million as of December 31, 2024. The decrease was due to the sale of two foreclosed properties during the six months ended June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$12.2 million as of June 30, 2025, a $4.0 million or 48% increase from December 31, 2024. The increase was primarily in our residential mortgage portfolio. This category includes loans and leases that are well-secured and in the process of collection, as well as loans and leases that have not reached the specified past due status to be placed on non-accrual.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our reserve for credit losses.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Reserve for Credit Losses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16</w:t>
            </w: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80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149,496</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152,148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150,649</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152,429</w:t>
            </w:r>
          </w:p>
        </w:tc>
        <w:tc>
          <w:tcPr>
            <w:tcW w:w="0" w:type="dxa"/>
            <w:vAlign w:val="bottom"/>
          </w:tcPr>
          <w:p>
            <w:pPr>
              <w:spacing w:after="0"/>
              <w:rPr>
                <w:sz w:val="1"/>
                <w:szCs w:val="1"/>
                <w:color w:val="auto"/>
              </w:rPr>
            </w:pPr>
          </w:p>
        </w:tc>
      </w:tr>
      <w:tr>
        <w:trPr>
          <w:trHeight w:val="19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 Charged-Off</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(1,605)</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Automobile</w:t>
            </w: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(1,253)</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(3,004)</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(2,397)</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(4,881)</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(4,922)</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(4,011)</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(4,830)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(9,720)</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155</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180</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308</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Automobile</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557</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1,190</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567</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1,024</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1,393</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2,699</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2,911</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Charged-Off - Loans and Leases</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(2,618)</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(7,021)</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Leases</w:t>
            </w: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3,454</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7,036</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6,748</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Unfunded Commitments</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(204)</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3,250</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6,500</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150,128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150,128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151,155</w:t>
            </w:r>
          </w:p>
        </w:tc>
        <w:tc>
          <w:tcPr>
            <w:tcW w:w="0" w:type="dxa"/>
            <w:vAlign w:val="bottom"/>
          </w:tcPr>
          <w:p>
            <w:pPr>
              <w:spacing w:after="0"/>
              <w:rPr>
                <w:sz w:val="1"/>
                <w:szCs w:val="1"/>
                <w:color w:val="auto"/>
              </w:rPr>
            </w:pP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 - Loans and Leases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148,543</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147,477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148,543</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147,477</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 for Unfunded Commitments</w:t>
            </w: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1,585</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1,585</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3,678</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Reserve for Credit Losses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150,128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150,128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151,155</w:t>
            </w:r>
          </w:p>
        </w:tc>
        <w:tc>
          <w:tcPr>
            <w:tcW w:w="0" w:type="dxa"/>
            <w:vAlign w:val="bottom"/>
          </w:tcPr>
          <w:p>
            <w:pPr>
              <w:spacing w:after="0"/>
              <w:rPr>
                <w:sz w:val="1"/>
                <w:szCs w:val="1"/>
                <w:color w:val="auto"/>
              </w:rPr>
            </w:pP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Loans and Leases Outstanding</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14,049,025</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13,831,797</w:t>
            </w:r>
          </w:p>
        </w:tc>
        <w:tc>
          <w:tcPr>
            <w:tcW w:w="10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14,055,563</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13,850,299</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Net Loans and Leases Charged-Off to Average Loans and Leases</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Outstanding (annualized)</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0" w:type="dxa"/>
            <w:vAlign w:val="bottom"/>
          </w:tcPr>
          <w:p>
            <w:pPr>
              <w:spacing w:after="0"/>
              <w:rPr>
                <w:sz w:val="1"/>
                <w:szCs w:val="1"/>
                <w:color w:val="auto"/>
              </w:rPr>
            </w:pPr>
          </w:p>
        </w:tc>
      </w:tr>
      <w:tr>
        <w:trPr>
          <w:trHeight w:val="24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Ratio of Allowance for Credit Losses to Loans and Leases Outstanding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numerator comprises the Allowance for Credit Losses - Loans and Leases.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Allowance was $148.5 million or 1.06% of total loans and leases outstanding. The Allowance as of June 30, 2025 and December 31, 2024, includes a qualitative overlay to account for economic uncertainty and downside risk of a recession.</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Net charge-offs on loans and leases for the three and six months ended June 30, 2025 were $2.6 million or 0.07% and $7.0 million or 0.10%, respectively of total average loans and leases on an annualized basis, compared to $3.4 million or 0.10% and $5.7 million or 0.08% of total average loans and leases on an annualized basis for the three and six months ended June 30, 2024, respectively. The increase for the six months ended June 30, 2025 was primarily due to higher gross charge-offs in both commercial and industrial and automobile portfolios.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20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Unfunded Reserve was $1.6 million as of June 30, 2025, a decrease of $0.5 million or 25% from December 31, 2024, primarily due to lower unfunded commitments in our construction portfolio. The reserve for unfunded commitments is recorded in other liabilities in the unaudited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For the three and six months ended June 30, 2025, the provision for credit losses was $3.3 million and $6.5 million, respectively, compared to $2.4 million and $4.4 million for the same respective periods last year. The increase in the provision was primarily due to the changes in the reserve for unfunded commitments and changes in the Allowance during the three and six months ended June 30, 2025 compared to the same periods in the prior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 Our investment securities portfolio is also subject to significant interest rate risk.</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two management guidelines to measure our interest rate risk exposure: 1) net interest income (“NII”) sensitivity, and 2) economic value of equity (“EVE”) sensitivity. NII and EVE sensitivities measure the estimated percentage change in forward looking net 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potential outcomes to frame our risk exposures. We pay particular attention to the +/-200 basis point shock sensitivities, as we believe they represent a more realistic range of rate movements that could occur in the near to medium term. As of June 30, 2025, we remained within applicable guidelines for such scenarios.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ALCO, which is comprised of members of executive management, utilizes several techniques to manage interest rate risk, which include:</w:t>
      </w:r>
    </w:p>
    <w:p>
      <w:pPr>
        <w:spacing w:after="0" w:line="18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including mix and duration, of the AFS investment securities portfolio;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environment. These assets are primarily funded by deposits, which generally have an indeterminate life. Historically, our deposit base has consisted primarily of core consumer and commercial deposit relationships. While we strive to position our 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June 30, 2025,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Consolidated Financial Statements.</w:t>
      </w:r>
    </w:p>
    <w:p>
      <w:pPr>
        <w:spacing w:after="0" w:line="1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and deposit account attrition and average lives in various interest rate environments. These models were developed based upon our historical behavior over several interest rate cycles. The models’ forecast results are periodically tested against historical results and have been and may continue to be recalibrated.</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17a presents as of June 30, 2025 and December 31, 2024,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Table 17a</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6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Impact on Future Annual Net Interest Income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34,112</w:t>
            </w: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6.0 %  $</w:t>
            </w:r>
          </w:p>
        </w:tc>
        <w:tc>
          <w:tcPr>
            <w:tcW w:w="1760" w:type="dxa"/>
            <w:vAlign w:val="bottom"/>
          </w:tcPr>
          <w:p>
            <w:pPr>
              <w:jc w:val="center"/>
              <w:ind w:right="380"/>
              <w:spacing w:after="0"/>
              <w:rPr>
                <w:sz w:val="20"/>
                <w:szCs w:val="20"/>
                <w:color w:val="auto"/>
              </w:rPr>
            </w:pPr>
            <w:r>
              <w:rPr>
                <w:rFonts w:ascii="Times New Roman" w:cs="Times New Roman" w:eastAsia="Times New Roman" w:hAnsi="Times New Roman"/>
                <w:sz w:val="16"/>
                <w:szCs w:val="16"/>
                <w:color w:val="auto"/>
              </w:rPr>
              <w:t>31,028</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rPr>
              <w:t>27,909</w:t>
            </w:r>
          </w:p>
        </w:tc>
        <w:tc>
          <w:tcPr>
            <w:tcW w:w="8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380"/>
              <w:spacing w:after="0"/>
              <w:rPr>
                <w:sz w:val="20"/>
                <w:szCs w:val="20"/>
                <w:color w:val="auto"/>
              </w:rPr>
            </w:pPr>
            <w:r>
              <w:rPr>
                <w:rFonts w:ascii="Times New Roman" w:cs="Times New Roman" w:eastAsia="Times New Roman" w:hAnsi="Times New Roman"/>
                <w:sz w:val="16"/>
                <w:szCs w:val="16"/>
                <w:color w:val="auto"/>
              </w:rPr>
              <w:t>25,281</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tcPr>
          <w:p>
            <w:pPr>
              <w:spacing w:after="0"/>
              <w:rPr>
                <w:sz w:val="20"/>
                <w:szCs w:val="20"/>
                <w:color w:val="auto"/>
              </w:rPr>
            </w:pPr>
          </w:p>
        </w:tc>
        <w:tc>
          <w:tcPr>
            <w:tcW w:w="17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20,681</w:t>
            </w:r>
          </w:p>
        </w:tc>
        <w:tc>
          <w:tcPr>
            <w:tcW w:w="8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380"/>
              <w:spacing w:after="0"/>
              <w:rPr>
                <w:sz w:val="20"/>
                <w:szCs w:val="20"/>
                <w:color w:val="auto"/>
              </w:rPr>
            </w:pPr>
            <w:r>
              <w:rPr>
                <w:rFonts w:ascii="Times New Roman" w:cs="Times New Roman" w:eastAsia="Times New Roman" w:hAnsi="Times New Roman"/>
                <w:sz w:val="16"/>
                <w:szCs w:val="16"/>
                <w:color w:val="auto"/>
              </w:rPr>
              <w:t>18,783</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rPr>
              <w:t>12,278</w:t>
            </w:r>
          </w:p>
        </w:tc>
        <w:tc>
          <w:tcPr>
            <w:tcW w:w="8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380"/>
              <w:spacing w:after="0"/>
              <w:rPr>
                <w:sz w:val="20"/>
                <w:szCs w:val="20"/>
                <w:color w:val="auto"/>
              </w:rPr>
            </w:pPr>
            <w:r>
              <w:rPr>
                <w:rFonts w:ascii="Times New Roman" w:cs="Times New Roman" w:eastAsia="Times New Roman" w:hAnsi="Times New Roman"/>
                <w:sz w:val="16"/>
                <w:szCs w:val="16"/>
                <w:color w:val="auto"/>
              </w:rPr>
              <w:t>10,393</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spacing w:after="0"/>
              <w:rPr>
                <w:sz w:val="20"/>
                <w:szCs w:val="20"/>
                <w:color w:val="auto"/>
              </w:rPr>
            </w:pPr>
          </w:p>
        </w:tc>
        <w:tc>
          <w:tcPr>
            <w:tcW w:w="17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rPr>
              <w:t>(8,245)</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(13,029)</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rPr>
              <w:t>(18,947)</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400"/>
              <w:spacing w:after="0"/>
              <w:rPr>
                <w:sz w:val="20"/>
                <w:szCs w:val="20"/>
                <w:color w:val="auto"/>
              </w:rPr>
            </w:pPr>
            <w:r>
              <w:rPr>
                <w:rFonts w:ascii="Times New Roman" w:cs="Times New Roman" w:eastAsia="Times New Roman" w:hAnsi="Times New Roman"/>
                <w:sz w:val="16"/>
                <w:szCs w:val="16"/>
                <w:color w:val="auto"/>
              </w:rPr>
              <w:t>(27,883)</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tcPr>
          <w:p>
            <w:pPr>
              <w:spacing w:after="0"/>
              <w:rPr>
                <w:sz w:val="20"/>
                <w:szCs w:val="20"/>
                <w:color w:val="auto"/>
              </w:rPr>
            </w:pPr>
          </w:p>
        </w:tc>
        <w:tc>
          <w:tcPr>
            <w:tcW w:w="17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rPr>
              <w:t>(31,989)</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(43,536)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6"/>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rPr>
              <w:t>(64,691)</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center"/>
              <w:ind w:right="400"/>
              <w:spacing w:after="0"/>
              <w:rPr>
                <w:sz w:val="20"/>
                <w:szCs w:val="20"/>
                <w:color w:val="auto"/>
              </w:rPr>
            </w:pPr>
            <w:r>
              <w:rPr>
                <w:rFonts w:ascii="Times New Roman" w:cs="Times New Roman" w:eastAsia="Times New Roman" w:hAnsi="Times New Roman"/>
                <w:sz w:val="16"/>
                <w:szCs w:val="16"/>
                <w:color w:val="auto"/>
              </w:rPr>
              <w:t>(65,753)</w:t>
            </w:r>
          </w:p>
        </w:tc>
        <w:tc>
          <w:tcPr>
            <w:tcW w:w="8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on our net interest income simulation as of June 30, 2025, net interest income is expected to increase as interest rates rise. Rising interest rates would drive higher rates on floating rate loans, interest rate swaps and investment securities, as well as higher reinvestment rates on loan and investment securities cashflows. However, lower interest rates would likely cause an initial decline in net interest income as lower rates would lead to lower yields on loans, swaps, and investment securities, as well as drive higher premium amortization on existing investment securities. Based on our net interest income simulation as of June 30, 2025, NII sensitivity to changes in interest rates for the twelve months subsequent to June 30, 2025 increased slightly to rising rates and decreased slightly to falling rates compared to the sensitivity profile for December 31, 2024. These NII sensitivity changes are attributable to updated deposit beta assumptions implemented during the period and to an increase in volume of floating rate assets and swaps, partially offset by an increase in interest rate sensitive deposits.</w:t>
      </w:r>
    </w:p>
    <w:p>
      <w:pPr>
        <w:spacing w:after="0" w:line="2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analyze the impact of changes in interest rates in a more realistic manner, we also simulate non-parallel interest rate scenarios. These scenarios help to isolate the sensitivity of earnings to various points on the yield curve. Based upon our interest rate simulations, the Company is exposed to movements in both the short and long-end of the yield curve. A movement higher or lower in the short-end of the yield curve would lead to floating-rate assets immediately repricing, while liability funding would react on a lag. Thus, net interest income may decrease from the base case in the near term if short-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term rates were to decrease, although would benefit if short-term rates were to increase and liabilities maintained their ability to lag market rate increases. A movement higher or lower in the long end of the yield curve would lead to assets repricing over time given ongoing cash flows from maturities and prepayments of investment securities and loans. Net interest income may decrease from the base case should long-term rates decline from their current levels, although would benefit if long-term rates were to increase.</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Value of Equity Sensitivity Profile</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17b</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4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Impact on Economic Value of Equity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rPr>
              <w:t>(506,084)</w:t>
            </w: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(18.3)%  $</w:t>
            </w:r>
          </w:p>
        </w:tc>
        <w:tc>
          <w:tcPr>
            <w:tcW w:w="18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(1,032,211)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shd w:val="clear" w:color="auto" w:fill="CFF0FC"/>
          </w:tcPr>
          <w:p>
            <w:pPr>
              <w:spacing w:after="0"/>
              <w:rPr>
                <w:sz w:val="21"/>
                <w:szCs w:val="21"/>
                <w:color w:val="auto"/>
              </w:rPr>
            </w:pPr>
          </w:p>
        </w:tc>
        <w:tc>
          <w:tcPr>
            <w:tcW w:w="1540" w:type="dxa"/>
            <w:vAlign w:val="bottom"/>
            <w:shd w:val="clear" w:color="auto" w:fill="CFF0FC"/>
          </w:tcPr>
          <w:p>
            <w:pPr>
              <w:jc w:val="center"/>
              <w:ind w:right="180"/>
              <w:spacing w:after="0"/>
              <w:rPr>
                <w:sz w:val="20"/>
                <w:szCs w:val="20"/>
                <w:color w:val="auto"/>
              </w:rPr>
            </w:pPr>
            <w:r>
              <w:rPr>
                <w:rFonts w:ascii="Times New Roman" w:cs="Times New Roman" w:eastAsia="Times New Roman" w:hAnsi="Times New Roman"/>
                <w:sz w:val="16"/>
                <w:szCs w:val="16"/>
                <w:color w:val="auto"/>
              </w:rPr>
              <w:t>(389,662)</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(763,479)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tcPr>
          <w:p>
            <w:pPr>
              <w:spacing w:after="0"/>
              <w:rPr>
                <w:sz w:val="20"/>
                <w:szCs w:val="20"/>
                <w:color w:val="auto"/>
              </w:rPr>
            </w:pPr>
          </w:p>
        </w:tc>
        <w:tc>
          <w:tcPr>
            <w:tcW w:w="154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rPr>
              <w:t>(265,775)</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(496,443)</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shd w:val="clear" w:color="auto" w:fill="CFF0FC"/>
          </w:tcPr>
          <w:p>
            <w:pPr>
              <w:spacing w:after="0"/>
              <w:rPr>
                <w:sz w:val="21"/>
                <w:szCs w:val="21"/>
                <w:color w:val="auto"/>
              </w:rPr>
            </w:pPr>
          </w:p>
        </w:tc>
        <w:tc>
          <w:tcPr>
            <w:tcW w:w="1540" w:type="dxa"/>
            <w:vAlign w:val="bottom"/>
            <w:shd w:val="clear" w:color="auto" w:fill="CFF0FC"/>
          </w:tcPr>
          <w:p>
            <w:pPr>
              <w:jc w:val="center"/>
              <w:ind w:right="180"/>
              <w:spacing w:after="0"/>
              <w:rPr>
                <w:sz w:val="20"/>
                <w:szCs w:val="20"/>
                <w:color w:val="auto"/>
              </w:rPr>
            </w:pPr>
            <w:r>
              <w:rPr>
                <w:rFonts w:ascii="Times New Roman" w:cs="Times New Roman" w:eastAsia="Times New Roman" w:hAnsi="Times New Roman"/>
                <w:sz w:val="16"/>
                <w:szCs w:val="16"/>
                <w:color w:val="auto"/>
              </w:rPr>
              <w:t>(135,174)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(238,689)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spacing w:after="0"/>
              <w:rPr>
                <w:sz w:val="20"/>
                <w:szCs w:val="20"/>
                <w:color w:val="auto"/>
              </w:rPr>
            </w:pPr>
          </w:p>
        </w:tc>
        <w:tc>
          <w:tcPr>
            <w:tcW w:w="154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162,068</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177,198</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shd w:val="clear" w:color="auto" w:fill="CFF0FC"/>
          </w:tcPr>
          <w:p>
            <w:pPr>
              <w:spacing w:after="0"/>
              <w:rPr>
                <w:sz w:val="21"/>
                <w:szCs w:val="21"/>
                <w:color w:val="auto"/>
              </w:rPr>
            </w:pPr>
          </w:p>
        </w:tc>
        <w:tc>
          <w:tcPr>
            <w:tcW w:w="1540" w:type="dxa"/>
            <w:vAlign w:val="bottom"/>
            <w:shd w:val="clear" w:color="auto" w:fill="CFF0FC"/>
          </w:tcPr>
          <w:p>
            <w:pPr>
              <w:jc w:val="center"/>
              <w:ind w:right="160"/>
              <w:spacing w:after="0"/>
              <w:rPr>
                <w:sz w:val="20"/>
                <w:szCs w:val="20"/>
                <w:color w:val="auto"/>
              </w:rPr>
            </w:pPr>
            <w:r>
              <w:rPr>
                <w:rFonts w:ascii="Times New Roman" w:cs="Times New Roman" w:eastAsia="Times New Roman" w:hAnsi="Times New Roman"/>
                <w:sz w:val="16"/>
                <w:szCs w:val="16"/>
                <w:color w:val="auto"/>
              </w:rPr>
              <w:t>307,986</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274,546</w:t>
            </w: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tcPr>
          <w:p>
            <w:pPr>
              <w:spacing w:after="0"/>
              <w:rPr>
                <w:sz w:val="20"/>
                <w:szCs w:val="20"/>
                <w:color w:val="auto"/>
              </w:rPr>
            </w:pPr>
          </w:p>
        </w:tc>
        <w:tc>
          <w:tcPr>
            <w:tcW w:w="154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298,732</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294,363</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46"/>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center"/>
              <w:ind w:right="160"/>
              <w:spacing w:after="0"/>
              <w:rPr>
                <w:sz w:val="20"/>
                <w:szCs w:val="20"/>
                <w:color w:val="auto"/>
              </w:rPr>
            </w:pPr>
            <w:r>
              <w:rPr>
                <w:rFonts w:ascii="Times New Roman" w:cs="Times New Roman" w:eastAsia="Times New Roman" w:hAnsi="Times New Roman"/>
                <w:sz w:val="16"/>
                <w:szCs w:val="16"/>
                <w:color w:val="auto"/>
              </w:rPr>
              <w:t>180,624</w:t>
            </w:r>
          </w:p>
        </w:tc>
        <w:tc>
          <w:tcPr>
            <w:tcW w:w="10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(99,219)</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Compared to December 31, 2024, EVE sensitivity decreased in the rising rate scenarios and increased in the falling rate scenarios. We implemented new deposit pricing and attrition models during the period, which updated the repricing beta and average life assumptions, and lowered deposit account duration compared to the prior deposit models. Additionally, we increased the notional balance of active and forward starting pay-fixed interest rate swaps. These factors resulted in generally lower asset and liability duration and improved EVE modeling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20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 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access to ample sources of readily available contingent liquidity. As of June 30, 2025, we had pledged loans and investment securities to the Federal Reserve Discount Window and had remaining borrowing capacity of $7.6 billion . We are also a member of the FHLB. As of June 30, 2025, we had pledged loans to the FHLB and had remaining borrowing capacity of $1.8 billion. The ratio of readily available liquidity to adjusted uninsured deposits was 132% at June 30, 2025, compared to 116% at December 31, 2024. The increase in the readily available liquidity to adjusted uninsured deposits ratio was due to a decrease in uninsured deposits combined with increased borrowing capacity realized from pledging additional loan collateral.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June 30, 2025, we believe we have sufficient access to various forms of liquidity that would alleviate the need to liquidate these investment securities and realize the losses.</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continued our focus on maintaining a strong liquidity position. As of June 30, 2025, cash and cash equivalents were $0.8 billion, the carrying value of our AFS investment securities was $3.1 billion, and total deposits were $20.8 billion. As of June 30, 2025, our AFS investment securities portfolio was comprised of securities with an average base duration of approximately 2.89 years, excluding the impact from our interest rate swaps.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2025, the Company’s capital levels remained characterized as “well-capitalized.” There have been no conditions or events since June 30, 2025, that management believes have changed either the Company’s or the Bank’s capital classifications. The Company’s regulatory capital ratios are presented in Table 18 below.</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presents our regulatory capital and ratios as of June 30, 2025 and 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2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140" w:type="dxa"/>
            <w:vAlign w:val="bottom"/>
          </w:tcPr>
          <w:p>
            <w:pPr>
              <w:spacing w:after="0"/>
              <w:rPr>
                <w:sz w:val="16"/>
                <w:szCs w:val="16"/>
                <w:color w:val="auto"/>
              </w:rPr>
            </w:pPr>
          </w:p>
        </w:tc>
        <w:tc>
          <w:tcPr>
            <w:tcW w:w="16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1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3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53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Regulatory Capital </w:t>
            </w:r>
            <w:r>
              <w:rPr>
                <w:rFonts w:ascii="Times New Roman" w:cs="Times New Roman" w:eastAsia="Times New Roman" w:hAnsi="Times New Roman"/>
                <w:sz w:val="21"/>
                <w:szCs w:val="21"/>
                <w:color w:val="auto"/>
                <w:vertAlign w:val="superscript"/>
              </w:rPr>
              <w:t>1</w:t>
            </w:r>
          </w:p>
        </w:tc>
        <w:tc>
          <w:tcPr>
            <w:tcW w:w="2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1,398,107</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1,322,774</w:t>
            </w: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CECL Transitional Amount</w:t>
            </w:r>
          </w:p>
        </w:tc>
        <w:tc>
          <w:tcPr>
            <w:tcW w:w="2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2,375</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Goodwill, Net of Deferred Tax Liabilities</w:t>
            </w:r>
          </w:p>
        </w:tc>
        <w:tc>
          <w:tcPr>
            <w:tcW w:w="2140" w:type="dxa"/>
            <w:vAlign w:val="bottom"/>
          </w:tcPr>
          <w:p>
            <w:pPr>
              <w:spacing w:after="0"/>
              <w:rPr>
                <w:sz w:val="20"/>
                <w:szCs w:val="20"/>
                <w:color w:val="auto"/>
              </w:rPr>
            </w:pP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28,746</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28,746</w:t>
            </w:r>
          </w:p>
        </w:tc>
      </w:tr>
      <w:tr>
        <w:trPr>
          <w:trHeight w:val="25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Postretirement Benefit Liability Adjustments</w:t>
            </w:r>
          </w:p>
        </w:tc>
        <w:tc>
          <w:tcPr>
            <w:tcW w:w="2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(22,931)</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(23,396)</w:t>
            </w:r>
          </w:p>
        </w:tc>
      </w:tr>
      <w:tr>
        <w:trPr>
          <w:trHeight w:val="243"/>
        </w:trPr>
        <w:tc>
          <w:tcPr>
            <w:tcW w:w="5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Net Unrealized Losses on Investment Securities </w:t>
            </w:r>
            <w:r>
              <w:rPr>
                <w:rFonts w:ascii="Times New Roman" w:cs="Times New Roman" w:eastAsia="Times New Roman" w:hAnsi="Times New Roman"/>
                <w:sz w:val="21"/>
                <w:szCs w:val="21"/>
                <w:color w:val="auto"/>
                <w:vertAlign w:val="superscript"/>
              </w:rPr>
              <w:t>2</w:t>
            </w:r>
          </w:p>
        </w:tc>
        <w:tc>
          <w:tcPr>
            <w:tcW w:w="2140" w:type="dxa"/>
            <w:vAlign w:val="bottom"/>
          </w:tcPr>
          <w:p>
            <w:pPr>
              <w:spacing w:after="0"/>
              <w:rPr>
                <w:sz w:val="21"/>
                <w:szCs w:val="21"/>
                <w:color w:val="auto"/>
              </w:rPr>
            </w:pPr>
          </w:p>
        </w:tc>
        <w:tc>
          <w:tcPr>
            <w:tcW w:w="1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(276,263)</w:t>
            </w:r>
          </w:p>
        </w:tc>
        <w:tc>
          <w:tcPr>
            <w:tcW w:w="320" w:type="dxa"/>
            <w:vAlign w:val="bottom"/>
          </w:tcPr>
          <w:p>
            <w:pPr>
              <w:spacing w:after="0"/>
              <w:rPr>
                <w:sz w:val="21"/>
                <w:szCs w:val="21"/>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(319,993)</w:t>
            </w:r>
          </w:p>
        </w:tc>
      </w:tr>
      <w:tr>
        <w:trPr>
          <w:trHeight w:val="237"/>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1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(9,097)</w:t>
            </w:r>
          </w:p>
        </w:tc>
        <w:tc>
          <w:tcPr>
            <w:tcW w:w="3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(9,097)</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2140" w:type="dxa"/>
            <w:vAlign w:val="bottom"/>
          </w:tcPr>
          <w:p>
            <w:pPr>
              <w:spacing w:after="0"/>
              <w:rPr>
                <w:sz w:val="20"/>
                <w:szCs w:val="20"/>
                <w:color w:val="auto"/>
              </w:rPr>
            </w:pP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1,677,652</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1,648,889</w:t>
            </w:r>
          </w:p>
        </w:tc>
      </w:tr>
      <w:tr>
        <w:trPr>
          <w:trHeight w:val="246"/>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2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336,101</w:t>
            </w:r>
          </w:p>
        </w:tc>
        <w:tc>
          <w:tcPr>
            <w:tcW w:w="3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336,101</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2140" w:type="dxa"/>
            <w:vAlign w:val="bottom"/>
          </w:tcPr>
          <w:p>
            <w:pPr>
              <w:spacing w:after="0"/>
              <w:rPr>
                <w:sz w:val="20"/>
                <w:szCs w:val="20"/>
                <w:color w:val="auto"/>
              </w:rPr>
            </w:pP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2,013,753</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1,984,990</w:t>
            </w:r>
          </w:p>
        </w:tc>
      </w:tr>
      <w:tr>
        <w:trPr>
          <w:trHeight w:val="246"/>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2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150,128</w:t>
            </w:r>
          </w:p>
        </w:tc>
        <w:tc>
          <w:tcPr>
            <w:tcW w:w="3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148,634</w:t>
            </w:r>
          </w:p>
        </w:tc>
      </w:tr>
      <w:tr>
        <w:trPr>
          <w:trHeight w:val="237"/>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2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2,163,881</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2,133,624</w:t>
            </w:r>
          </w:p>
        </w:tc>
      </w:tr>
      <w:tr>
        <w:trPr>
          <w:trHeight w:val="21"/>
        </w:trPr>
        <w:tc>
          <w:tcPr>
            <w:tcW w:w="5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1"/>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21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14,208,032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14,225,908</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2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11.81 %</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11.59 %</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Ratio</w:t>
            </w:r>
          </w:p>
        </w:tc>
        <w:tc>
          <w:tcPr>
            <w:tcW w:w="2140" w:type="dxa"/>
            <w:vAlign w:val="bottom"/>
          </w:tcPr>
          <w:p>
            <w:pPr>
              <w:spacing w:after="0"/>
              <w:rPr>
                <w:sz w:val="20"/>
                <w:szCs w:val="20"/>
                <w:color w:val="auto"/>
              </w:rPr>
            </w:pP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14.17</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13.95</w:t>
            </w: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 Ratio</w:t>
            </w:r>
          </w:p>
        </w:tc>
        <w:tc>
          <w:tcPr>
            <w:tcW w:w="2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15.23</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2140" w:type="dxa"/>
            <w:vAlign w:val="bottom"/>
          </w:tcPr>
          <w:p>
            <w:pPr>
              <w:spacing w:after="0"/>
              <w:rPr>
                <w:sz w:val="19"/>
                <w:szCs w:val="19"/>
                <w:color w:val="auto"/>
              </w:rPr>
            </w:pPr>
          </w:p>
        </w:tc>
        <w:tc>
          <w:tcPr>
            <w:tcW w:w="1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8.46</w:t>
            </w:r>
          </w:p>
        </w:tc>
        <w:tc>
          <w:tcPr>
            <w:tcW w:w="320" w:type="dxa"/>
            <w:vAlign w:val="bottom"/>
          </w:tcPr>
          <w:p>
            <w:pPr>
              <w:spacing w:after="0"/>
              <w:rPr>
                <w:sz w:val="19"/>
                <w:szCs w:val="19"/>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8.31</w:t>
            </w:r>
          </w:p>
        </w:tc>
      </w:tr>
    </w:tbl>
    <w:p>
      <w:pPr>
        <w:spacing w:after="0" w:line="78" w:lineRule="exact"/>
        <w:rPr>
          <w:sz w:val="20"/>
          <w:szCs w:val="20"/>
          <w:color w:val="auto"/>
        </w:rPr>
      </w:pPr>
    </w:p>
    <w:p>
      <w:pPr>
        <w:ind w:left="80" w:hanging="72"/>
        <w:spacing w:after="0"/>
        <w:tabs>
          <w:tab w:leader="none" w:pos="8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Regulatory capital ratios as of June 30, 2025 are preliminary.</w:t>
      </w:r>
    </w:p>
    <w:p>
      <w:pPr>
        <w:ind w:left="80" w:hanging="72"/>
        <w:spacing w:after="0" w:line="222" w:lineRule="auto"/>
        <w:tabs>
          <w:tab w:leader="none" w:pos="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unrealized gains and losses related to the Company’s reclassification of AFS investment securities to the HTM category.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June 30, 2025, shareholders’ equity was $1.7 billion, an increase of $75.3 million million or 4.5% from December 31, 2024. For the first six months of 2025, the increase was attributed to net income of $91.6 million, other comprehensive income of $44.2 million, share-based compensation of $7.5 million, and common stock issued under purchase and equity compensation plans of $2.6 million were offset by cash dividends declared of $56.5 million on common shares, cash dividends declared of $10.5 million on preferred shares, and common stock repurchased of $3.6 million related to taxes withheld for share-based compensation.</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shares of common stock were repurchased under the share repurchase program in the second quarter of 2025. From the beginning of our share repurchase program in July 2001 through June 30, 2025, we repurchased a total of 58.2 million shares of our common stock and returned a total of $2.4 billion to our shareholders at an average cost of $41.24 per share. Remaining buyback authority under our share repurchase program was $126.0 million as of June 30, 2025. The actual amount and timing of future share repurchases, if any, will depend on market and economic conditions, regulatory rules, applicable SEC rules, and various other factors.</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July 2025,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The dividend will be payable on August 1, 2025, to shareholders of record of the preferred stock at the close of business on July 17, 2025.</w:t>
      </w:r>
    </w:p>
    <w:p>
      <w:pPr>
        <w:spacing w:after="0" w:line="15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July 2025, the Parent’s Board of Directors declared a quarterly cash dividend of $0.70 per share on the Parent’s outstanding common shares. The dividend will be payable on September 15, 2025, to shareholders of record of the common stock at the close of business on August 29,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Operational Risk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Credit Commitments, and Contractual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2025. Based on this evaluation, the Chief Executive Officer and Chief Financial Officer concluded that the Company’s disclosure controls and procedures were effective as of June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Consolidated Financial Statements set forth in Item 1, Part I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the Company’s Annual Report on Form 10-K for the year ended December 31, 2024 and Part II, Item 1A. “Risk Factors” in the Company's Quarterly Report on Form 10-Q for the quarter ended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stock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second quarter of 2025 were as follows:</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4"/>
                <w:szCs w:val="14"/>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2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5"/>
                <w:szCs w:val="15"/>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2360" w:type="dxa"/>
            <w:vAlign w:val="bottom"/>
          </w:tcPr>
          <w:p>
            <w:pPr>
              <w:spacing w:after="0"/>
              <w:rPr>
                <w:sz w:val="14"/>
                <w:szCs w:val="14"/>
                <w:color w:val="auto"/>
              </w:rPr>
            </w:pPr>
          </w:p>
        </w:tc>
        <w:tc>
          <w:tcPr>
            <w:tcW w:w="28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1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r>
      <w:tr>
        <w:trPr>
          <w:trHeight w:val="23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1 - 30, 2025</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65.92</w:t>
            </w:r>
          </w:p>
        </w:tc>
        <w:tc>
          <w:tcPr>
            <w:tcW w:w="19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1 - 31, 2025</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8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67.15</w:t>
            </w:r>
          </w:p>
        </w:tc>
        <w:tc>
          <w:tcPr>
            <w:tcW w:w="192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46"/>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1 - 30, 2025</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36"/>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67.10</w:t>
            </w:r>
          </w:p>
        </w:tc>
        <w:tc>
          <w:tcPr>
            <w:tcW w:w="1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bl>
    <w:p>
      <w:pPr>
        <w:spacing w:after="0" w:line="58" w:lineRule="exact"/>
        <w:rPr>
          <w:sz w:val="20"/>
          <w:szCs w:val="20"/>
          <w:color w:val="auto"/>
        </w:rPr>
      </w:pPr>
    </w:p>
    <w:p>
      <w:pPr>
        <w:ind w:left="420" w:right="380" w:hanging="412"/>
        <w:spacing w:after="0" w:line="266" w:lineRule="auto"/>
        <w:tabs>
          <w:tab w:leader="none" w:pos="413"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second quarter of 2025, 4,264 shares were acquired from employees in connection with income tax withholdings related to the vesting of restricted stock. The shares were purchased at the closing price of the Parent’s common stock on the dates of purchase.</w:t>
      </w:r>
    </w:p>
    <w:p>
      <w:pPr>
        <w:spacing w:after="0" w:line="1" w:lineRule="exact"/>
        <w:rPr>
          <w:sz w:val="20"/>
          <w:szCs w:val="20"/>
          <w:color w:val="auto"/>
        </w:rPr>
      </w:pPr>
    </w:p>
    <w:p>
      <w:pPr>
        <w:ind w:left="420" w:right="80" w:hanging="412"/>
        <w:spacing w:after="0" w:line="230" w:lineRule="auto"/>
        <w:tabs>
          <w:tab w:leader="none" w:pos="413"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share repurchase program was first announced in July 2001 with an initial authorization to repurchase $70 million in shares of common stock. The Board increased the share repurchase program, most recently in January 2019 by $130 million. The share repurchase program has no set expiration or termination date. The actual amount and timing of future share repurchases, if any, will depend on market and economic conditions, regulatory rules, applicable SEC rules, and various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none of the Company’s directors or executive officers informed the Company of the adoption, modification, or termination of any contract, instruction or written plan for the purchase or sale of Company securities that was intended to satisfy the affirmative defense conditions of Rule 10b5-1(c) or any non-Rule 10b5-1 trading arrangement.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Certificate of Incorporation of Bank of Hawaii Corporation (f/k/a Pacific Century Financial Corporation and Bancorp Hawaii, Inc.), as amended</w:t>
              </w:r>
            </w:hyperlink>
          </w:p>
        </w:tc>
      </w:tr>
      <w:tr>
        <w:trPr>
          <w:trHeight w:val="169"/>
        </w:trPr>
        <w:tc>
          <w:tcPr>
            <w:tcW w:w="1360" w:type="dxa"/>
            <w:vAlign w:val="bottom"/>
          </w:tcPr>
          <w:p>
            <w:pPr>
              <w:spacing w:after="0"/>
              <w:rPr>
                <w:sz w:val="14"/>
                <w:szCs w:val="14"/>
                <w:color w:val="auto"/>
              </w:rPr>
            </w:pPr>
          </w:p>
        </w:tc>
        <w:tc>
          <w:tcPr>
            <w:tcW w:w="934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(incorporated by reference to Exhibit 3.1 to Bank of Hawaii Corporation’s Annual Report on Form 10-K for its fiscal year ended December 31,</w:t>
              </w:r>
            </w:hyperlink>
          </w:p>
        </w:tc>
        <w:tc>
          <w:tcPr>
            <w:tcW w:w="320" w:type="dxa"/>
            <w:vAlign w:val="bottom"/>
            <w:gridSpan w:val="4"/>
          </w:tcPr>
          <w:p>
            <w:pPr>
              <w:jc w:val="right"/>
              <w:ind w:right="20"/>
              <w:spacing w:after="0" w:line="169" w:lineRule="exact"/>
              <w:rPr>
                <w:rFonts w:ascii="Times New Roman" w:cs="Times New Roman" w:eastAsia="Times New Roman" w:hAnsi="Times New Roman"/>
                <w:sz w:val="16"/>
                <w:szCs w:val="16"/>
                <w:color w:val="0000FF"/>
                <w:w w:val="87"/>
              </w:rPr>
            </w:pPr>
            <w:hyperlink r:id="rId84">
              <w:r>
                <w:rPr>
                  <w:rFonts w:ascii="Times New Roman" w:cs="Times New Roman" w:eastAsia="Times New Roman" w:hAnsi="Times New Roman"/>
                  <w:sz w:val="16"/>
                  <w:szCs w:val="16"/>
                  <w:color w:val="0000FF"/>
                  <w:w w:val="87"/>
                </w:rPr>
                <w:t>2005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964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filed on February 28,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Certificate of Amendment of Certificate of Incorporation of Bank of Hawaii Corporation (incorporated by reference to Exhibit 3.1 to Bank of Hawaii</w:t>
              </w:r>
            </w:hyperlink>
          </w:p>
        </w:tc>
      </w:tr>
      <w:tr>
        <w:trPr>
          <w:trHeight w:val="169"/>
        </w:trPr>
        <w:tc>
          <w:tcPr>
            <w:tcW w:w="136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Corporation’s Current Report on Form 8-K filed on April 30, 2008).</w:t>
              </w:r>
            </w:hyperlink>
          </w:p>
        </w:tc>
        <w:tc>
          <w:tcPr>
            <w:tcW w:w="526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Certificate of Designations of 4.375% Fixed Rate Non-Cumulative Perpetual Preferred Stock, Series A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Bank of Hawaii Corporation’s Current Report on Form 8-K filed on June 15, 2021).</w:t>
              </w:r>
            </w:hyperlink>
          </w:p>
        </w:tc>
        <w:tc>
          <w:tcPr>
            <w:tcW w:w="4100" w:type="dxa"/>
            <w:vAlign w:val="bottom"/>
            <w:tcBorders>
              <w:top w:val="single" w:sz="8" w:color="0000FF"/>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Certificate of Designations of 8.000% Fixed Rate Non-Cumulative Perpetual Preferred Stock, Series B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Bank of Hawaii Corporation’s Current Report on Form 8-K filed on June 21, 2024).</w:t>
              </w:r>
            </w:hyperlink>
          </w:p>
        </w:tc>
        <w:tc>
          <w:tcPr>
            <w:tcW w:w="4080" w:type="dxa"/>
            <w:vAlign w:val="bottom"/>
            <w:tcBorders>
              <w:top w:val="single" w:sz="8" w:color="0000FF"/>
            </w:tcBorders>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By-laws of Bank of Hawaii Corporation (as amended November 20, 2020) (incorporated by reference to Exhibit 3.2 to Bank of</w:t>
              </w:r>
            </w:hyperlink>
          </w:p>
        </w:tc>
      </w:tr>
      <w:tr>
        <w:trPr>
          <w:trHeight w:val="169"/>
        </w:trPr>
        <w:tc>
          <w:tcPr>
            <w:tcW w:w="1360" w:type="dxa"/>
            <w:vAlign w:val="bottom"/>
          </w:tcPr>
          <w:p>
            <w:pPr>
              <w:spacing w:after="0"/>
              <w:rPr>
                <w:sz w:val="14"/>
                <w:szCs w:val="14"/>
                <w:color w:val="auto"/>
              </w:rPr>
            </w:pPr>
          </w:p>
        </w:tc>
        <w:tc>
          <w:tcPr>
            <w:tcW w:w="982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Hawaii Corporation’s Current Report on Form 8-K filed on November 23, 2020).</w:t>
              </w:r>
            </w:hyperlink>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Deposit Agreement, dated June 15, 2021,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6"/>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Hawaii Corporation’s Current Report on Form 8-K filed with the SEC on June 15,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41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Form of Depository Receipt, Series A (included in Exhibit 4.1)</w:t>
              </w:r>
            </w:hyperlink>
          </w:p>
        </w:tc>
        <w:tc>
          <w:tcPr>
            <w:tcW w:w="1640" w:type="dxa"/>
            <w:vAlign w:val="bottom"/>
            <w:tcBorders>
              <w:top w:val="single" w:sz="8" w:color="0000FF"/>
            </w:tcBorders>
            <w:gridSpan w:val="5"/>
          </w:tcPr>
          <w:p>
            <w:pPr>
              <w:spacing w:after="0"/>
              <w:rPr>
                <w:sz w:val="24"/>
                <w:szCs w:val="24"/>
                <w:color w:val="auto"/>
              </w:rPr>
            </w:pPr>
          </w:p>
        </w:tc>
        <w:tc>
          <w:tcPr>
            <w:tcW w:w="4100" w:type="dxa"/>
            <w:vAlign w:val="bottom"/>
            <w:gridSpan w:val="11"/>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9840" w:type="dxa"/>
            <w:vAlign w:val="bottom"/>
            <w:gridSpan w:val="20"/>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Deposit Agreement, dated June 21, 2024,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6"/>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Hawaii Corporation’s Current Report on Form 8-K filed with the SEC on June 21,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40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Depository Receipt, Series B (included in Exhibit 4.3)</w:t>
              </w:r>
            </w:hyperlink>
          </w:p>
        </w:tc>
        <w:tc>
          <w:tcPr>
            <w:tcW w:w="1660" w:type="dxa"/>
            <w:vAlign w:val="bottom"/>
            <w:tcBorders>
              <w:top w:val="single" w:sz="8" w:color="0000FF"/>
            </w:tcBorders>
            <w:gridSpan w:val="6"/>
          </w:tcPr>
          <w:p>
            <w:pPr>
              <w:spacing w:after="0"/>
              <w:rPr>
                <w:sz w:val="24"/>
                <w:szCs w:val="24"/>
                <w:color w:val="auto"/>
              </w:rPr>
            </w:pPr>
          </w:p>
        </w:tc>
        <w:tc>
          <w:tcPr>
            <w:tcW w:w="4100" w:type="dxa"/>
            <w:vAlign w:val="bottom"/>
            <w:gridSpan w:val="11"/>
          </w:tcPr>
          <w:p>
            <w:pPr>
              <w:spacing w:after="0"/>
              <w:rPr>
                <w:sz w:val="24"/>
                <w:szCs w:val="2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Bank of Hawaii Corporation and its consolidated subsidiaries are not filed as exhibits</w:t>
            </w:r>
          </w:p>
        </w:tc>
      </w:tr>
      <w:tr>
        <w:trPr>
          <w:trHeight w:val="189"/>
        </w:trPr>
        <w:tc>
          <w:tcPr>
            <w:tcW w:w="1360" w:type="dxa"/>
            <w:vAlign w:val="bottom"/>
          </w:tcPr>
          <w:p>
            <w:pPr>
              <w:spacing w:after="0"/>
              <w:rPr>
                <w:sz w:val="16"/>
                <w:szCs w:val="16"/>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because the amount of debt authorized under any such instruments does not exceed 10% of the total assets of Bank of Hawaii Corporation and its</w:t>
            </w:r>
          </w:p>
        </w:tc>
      </w:tr>
      <w:tr>
        <w:trPr>
          <w:trHeight w:val="210"/>
        </w:trPr>
        <w:tc>
          <w:tcPr>
            <w:tcW w:w="1360" w:type="dxa"/>
            <w:vAlign w:val="bottom"/>
          </w:tcPr>
          <w:p>
            <w:pPr>
              <w:spacing w:after="0"/>
              <w:rPr>
                <w:sz w:val="18"/>
                <w:szCs w:val="18"/>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consolidated subsidiaries. Bank of Hawaii Corporation agrees to furnish a copy of any such instrument to the Commission upon request.</w:t>
            </w:r>
          </w:p>
        </w:tc>
      </w:tr>
      <w:tr>
        <w:trPr>
          <w:trHeight w:val="3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Composite Directors' Deferred Compensation Plan, as amended through July 1, 2025.</w:t>
            </w:r>
          </w:p>
        </w:tc>
        <w:tc>
          <w:tcPr>
            <w:tcW w:w="4280" w:type="dxa"/>
            <w:vAlign w:val="bottom"/>
            <w:gridSpan w:val="12"/>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8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8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74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100" w:type="dxa"/>
            <w:vAlign w:val="bottom"/>
            <w:gridSpan w:val="4"/>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80" w:right="240" w:hanging="1354"/>
        <w:spacing w:after="0" w:line="280" w:lineRule="auto"/>
        <w:tabs>
          <w:tab w:leader="none" w:pos="1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980" w:type="dxa"/>
            <w:vAlign w:val="bottom"/>
          </w:tcPr>
          <w:p>
            <w:pPr>
              <w:spacing w:after="0"/>
              <w:rPr>
                <w:sz w:val="18"/>
                <w:szCs w:val="18"/>
                <w:color w:val="auto"/>
              </w:rPr>
            </w:pP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5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Valuation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3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127" w:lineRule="exact"/>
        <w:rPr>
          <w:sz w:val="20"/>
          <w:szCs w:val="20"/>
          <w:color w:val="auto"/>
        </w:rPr>
      </w:pPr>
    </w:p>
    <w:p>
      <w:pPr>
        <w:ind w:right="960" w:firstLine="26"/>
        <w:spacing w:after="0" w:line="421" w:lineRule="auto"/>
        <w:tabs>
          <w:tab w:leader="none" w:pos="136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for the Company’s Quarterly Report on the Form 10-Q has been formatted in Inline XBRL and contained in Exhibit 101 *Management contract or compensatory plan or arrangement</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2025</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540"/>
        </w:trPr>
        <w:tc>
          <w:tcPr>
            <w:tcW w:w="53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Peter S. Ho</w:t>
            </w:r>
          </w:p>
        </w:tc>
      </w:tr>
      <w:tr>
        <w:trPr>
          <w:trHeight w:val="27"/>
        </w:trPr>
        <w:tc>
          <w:tcPr>
            <w:tcW w:w="532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Peter S. Ho</w:t>
            </w:r>
          </w:p>
        </w:tc>
      </w:tr>
      <w:tr>
        <w:trPr>
          <w:trHeight w:val="270"/>
        </w:trPr>
        <w:tc>
          <w:tcPr>
            <w:tcW w:w="5320" w:type="dxa"/>
            <w:vAlign w:val="bottom"/>
          </w:tcPr>
          <w:p>
            <w:pPr>
              <w:spacing w:after="0"/>
              <w:rPr>
                <w:sz w:val="23"/>
                <w:szCs w:val="23"/>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34290</wp:posOffset>
            </wp:positionV>
            <wp:extent cx="3591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117" w:right="5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BANK OF HAWAII CORPORATION</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DIRECTORS’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-17780</wp:posOffset>
            </wp:positionV>
            <wp:extent cx="29444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2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COMPOSITE AS AMENDED THROUGH JULY 1, 2025</w:t>
      </w:r>
    </w:p>
    <w:p>
      <w:pPr>
        <w:sectPr>
          <w:pgSz w:w="11900" w:h="16838" w:orient="portrait"/>
          <w:cols w:equalWidth="0" w:num="1">
            <w:col w:w="10120"/>
          </w:cols>
          <w:pgMar w:left="1440" w:top="140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BANK OF HAWAII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DIRECTORS’ DEFERRED COMPENSATION PLAN</w:t>
      </w:r>
    </w:p>
    <w:p>
      <w:pPr>
        <w:spacing w:after="0" w:line="399"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Article 1. </w:t>
      </w: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Bank of Hawaii Corporation Directors’ Deferred Compensation Plan (“Plan”) is intended to advance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interests of Bank of Hawaii Corporation (“Company”) by providing deferred compensation benefits to the non-employee members of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Board of Directors of the Company and the Bank of Hawaii (“Bank”) (“Directors”) and thereby strengthening the ability of the Company to attract and retain valued Directors upon whose judgment, initiative, and efforts the successful conduct and development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depends.</w:t>
      </w:r>
    </w:p>
    <w:p>
      <w:pPr>
        <w:spacing w:after="0" w:line="14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Article 2.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which is an amendment and restatement of the prior version of the Plan, shall be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June 28, 2013, upon adoption by the Board of Directors of the Company, and shall operate on the basis of the calendar year (“Plan Year”). This Plan constitutes a restatement in its entirety and continuation of the prior version of the Plan.</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Article 3. </w:t>
      </w:r>
      <w:r>
        <w:rPr>
          <w:rFonts w:ascii="Times New Roman" w:cs="Times New Roman" w:eastAsia="Times New Roman" w:hAnsi="Times New Roman"/>
          <w:sz w:val="20"/>
          <w:szCs w:val="20"/>
          <w:b w:val="1"/>
          <w:bCs w:val="1"/>
          <w:u w:val="single" w:color="auto"/>
          <w:color w:val="auto"/>
        </w:rPr>
        <w:t>Eligibility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Director entitled to compensation by the Company or the Bank for service as a Director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other than a Director who is also a salaried officer or employee of the Company or any of its subsidiaries, may elect to become a participant (“Participant”) under the Plan by written notice to the Company.</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Article 4.</w:t>
      </w:r>
      <w:r>
        <w:rPr>
          <w:sz w:val="20"/>
          <w:szCs w:val="20"/>
          <w:color w:val="auto"/>
        </w:rPr>
        <w:tab/>
      </w:r>
      <w:r>
        <w:rPr>
          <w:rFonts w:ascii="Times New Roman" w:cs="Times New Roman" w:eastAsia="Times New Roman" w:hAnsi="Times New Roman"/>
          <w:sz w:val="19"/>
          <w:szCs w:val="19"/>
          <w:b w:val="1"/>
          <w:bCs w:val="1"/>
          <w:u w:val="single" w:color="auto"/>
          <w:color w:val="auto"/>
        </w:rPr>
        <w:t>Election of Deferral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This Article 4 shall be effective as of April 28, 2023.</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Participant may elect to defer receipt of all or any portion of (i) his annual board retainer fees and committee retainer fees; (ii) his annual board retainer fees; (iii) his annual committee retainer fees; or (iv) grants of restricted stock units, all which are earned for the Plan Year commencing after the date of the election (“Deferral Election”). However, this Article 4 shall not apply to grants of restricted stock units made prior to January 1, 2024. The Deferral Election for a Plan Year shall be irrevocable as of the dates set forth below. Any Deferral Election must be written and must be made in accordance with any procedures established by the Company. The Company may require that a Participant make separate Deferral Elections for fees and restricted stock units earned for a given Plan Year.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Director may defer compensation for a Plan Year, including fees earned for such Plan Year and restricted stock unit awards subject to service periods beginning during such Plan Year, by submitting a Deferral Election with respect to such compensation not later than December 31 of the year immediately preceding such Plan Year. Such Deferral Election shall become irrevocable on December 31 of the year immediately preceding the Plan Year unless the Company provides for an earlier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the case of the first Plan Year in which a Participant becomes eligible to participate in the Plan, the Participant shall be allowed to make a Deferral Election for such Plan Year only within 30 days after becoming eligible to participate, and such Deferral Election shall be irrevocable and effective only with respect to the designated fees and restricted stock unit awards for services performed after the date the Deferral Election is delivered to the Company.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accordance with Article 11A, unless otherwise allowed by the Committee, a Deferral Election for a Plan Year shall not be automatically applied for a subsequent Plan Year on an “evergreen” basis.</w:t>
      </w:r>
    </w:p>
    <w:p>
      <w:pPr>
        <w:spacing w:after="0" w:line="14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Article 5. </w:t>
      </w:r>
      <w:r>
        <w:rPr>
          <w:rFonts w:ascii="Times New Roman" w:cs="Times New Roman" w:eastAsia="Times New Roman" w:hAnsi="Times New Roman"/>
          <w:sz w:val="20"/>
          <w:szCs w:val="20"/>
          <w:b w:val="1"/>
          <w:bCs w:val="1"/>
          <w:u w:val="single" w:color="auto"/>
          <w:color w:val="auto"/>
        </w:rPr>
        <w:t>Deferred Compensation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separate account shall be established and maintained on behalf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under the Plan (“Account”), which Account shall reflect the balance of the Deferral Election amounts credited to the Participant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as provided in Article 4 above. The deferred fees of each Participant shall be credited to the Participant’s Account as soon as reasonably practicable following the date on which such fees would be otherwise payable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9" w:right="339" w:bottom="1440" w:gutter="0" w:footer="0" w:header="0"/>
        </w:sectPr>
      </w:pPr>
    </w:p>
    <w:bookmarkStart w:id="73" w:name="page74"/>
    <w:bookmarkEnd w:id="73"/>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For purposes of determining the value of the balance of each Participant’s Account, the amount allocated to the Participant’s Account shall be treated as if such amount were invested and reinvested in one or more of the investment funds or vehicles (“Funds”) as may be designated by the Company, or shares of Company common stock (“Company Stock”), as may be directed by the Participant. Each Account shall be appropriately increased or decreased, as the case may be, to reflect the appreciation or depreciation in the value attributable to the Funds or Company Stock, the net income or loss attributable to the Funds or Company Stock, and distributions and expenses that may be charged to the Account. The Participant agrees on behalf of himself and any designated beneficiary to assume all risks and responsibilities for his investment directions under his Account, and the Company shall not be liable for any deemed investment losses that may be incurred under the Account. However, notwithstanding the preceding portion of this paragraph, in order to meet the requirements for exemption from the short-swing profit recovery provisions of Section 16 of the Securities Exchange Act of 1934 (“Exchange Act”), the Participant’s investment direction in Company Stock shall be subject to the limitations described below in Article 5A.</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Article 5A. </w:t>
      </w:r>
      <w:r>
        <w:rPr>
          <w:rFonts w:ascii="Times New Roman" w:cs="Times New Roman" w:eastAsia="Times New Roman" w:hAnsi="Times New Roman"/>
          <w:sz w:val="20"/>
          <w:szCs w:val="20"/>
          <w:b w:val="1"/>
          <w:bCs w:val="1"/>
          <w:u w:val="single" w:color="auto"/>
          <w:color w:val="auto"/>
        </w:rPr>
        <w:t>Rule 16b-3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Directors who are subject to the provisions of Section 16 of the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the provisions of the Plan and all transactions hereunder are intended and shall be construed and applied so as to comply with all applicable requirements and conditions for exemption under Rule 16b-3 or any successor Rule under the Exchange Act.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this regard, a Participant’s investment election directing the investment, disinvestment, or reinvestment of his Account in Company Stock as allowed under Article 5 shall meet the requirements of a “discretionary transaction” under Code of Federal Regulation Section 240.16b-3(f). Specifically, a Participant shall be allowed to make such investment election with respect to the acquisition or disposition of Company Stock only if such election is made on or after the date that is six months following the date of the most recent investment election for an “opposite way” transaction under any employee benefit plan sponsored by the Company. For this purpose, an “opposite way” transaction means, a previous acquisition if the current transaction is a disposition, and vice versa.</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Further, with respect to a Participant’s Account, an acquisition or disposition of Company Stock resulting from an election to receive cash or Company Stock in connection with the distribution of the Account shall be made only if such acquisition or disposition is approved in advance by the Human Resources and Compensation Committee of the Board of Directors of Bank of Hawaii Corporation (“Committee”), or such acquisition or disposition otherwise falls within the scope of an alternative exemption under Rule 16b-3.</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Article 5B. </w:t>
      </w:r>
      <w:r>
        <w:rPr>
          <w:rFonts w:ascii="Times New Roman" w:cs="Times New Roman" w:eastAsia="Times New Roman" w:hAnsi="Times New Roman"/>
          <w:sz w:val="20"/>
          <w:szCs w:val="20"/>
          <w:b w:val="1"/>
          <w:bCs w:val="1"/>
          <w:u w:val="single" w:color="auto"/>
          <w:color w:val="auto"/>
        </w:rPr>
        <w:t>Company Stock Investment Restrictions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July 24, 2015, and with respect to any notional investment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Stock that is credited to a Participant’s Account on or after such date (i.e., the preexisting Company Stock maintained under the Account as of such date and any Company Stock acquired under the Account on or after such date), and irrespective of whether the Company Stock is an investment or reinvestment of Deferral Election amounts or dividends or other earnings under the Account, the following requirements shall apply:</w:t>
      </w:r>
    </w:p>
    <w:p>
      <w:pPr>
        <w:spacing w:after="0" w:line="191" w:lineRule="exact"/>
        <w:rPr>
          <w:sz w:val="20"/>
          <w:szCs w:val="20"/>
          <w:color w:val="auto"/>
        </w:rPr>
      </w:pPr>
    </w:p>
    <w:p>
      <w:pPr>
        <w:jc w:val="both"/>
        <w:ind w:firstLine="656"/>
        <w:spacing w:after="0" w:line="271" w:lineRule="auto"/>
        <w:tabs>
          <w:tab w:leader="none" w:pos="107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Stock investment shall be maintained in Company Stock for the continuous period (“Holding Period”) beginning on the date of the investment in the Company Stock and ending on the date (and inclusive of such date) that is six months following the date of the investment in the Company Stock. Thus, during this Holding Period, the affected Company Stock shall be “nondiversifiable” and the Participant shall not have the authority to direct or allocate the Company Stock to other investment Funds available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74" w:name="page75"/>
    <w:bookmarkEnd w:id="74"/>
    <w:p>
      <w:pPr>
        <w:jc w:val="both"/>
        <w:ind w:firstLine="656"/>
        <w:spacing w:after="0" w:line="261" w:lineRule="auto"/>
        <w:tabs>
          <w:tab w:leader="none" w:pos="11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Article 7, with respect to the portion of a Participant’s account that constitutes a notional investment of Company Stock at the time of distribution of such portion to the Participant or beneficiary, such distribution shall be made in-kind in the form of Company Stock.</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To the extent that the requirements of this Article 5B are applicable on and after July 24, 2015, they shall supersede the other provisions of the Plan that are inconsistent with such requirements (e.g., Articles 5 and 5A relating to a Participant’s investment authority to direct the acquisition or disposition of Company Stock during the Holding Period, and Articles 7 and 8 relating to the distribution election of a Participant or beneficiary to take other than an in-kind distribution of Company Stock maintained in the Account at the time of distribution). Further, to the extent that the requirements of this Article 5B are not applicable, the other provisions of the Plan shall continue to apply. Thus, subject to the provisions of Articles 5 and 5A, a Participant shall be entitled to exercise the otherwise applicable investment direction authority over Company Stock credited to the Participant’s Account following the completion of the Holding Period covering the Company Stock.</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Article 5C. </w:t>
      </w:r>
      <w:r>
        <w:rPr>
          <w:rFonts w:ascii="Times New Roman" w:cs="Times New Roman" w:eastAsia="Times New Roman" w:hAnsi="Times New Roman"/>
          <w:sz w:val="20"/>
          <w:szCs w:val="20"/>
          <w:b w:val="1"/>
          <w:bCs w:val="1"/>
          <w:u w:val="single" w:color="auto"/>
          <w:color w:val="auto"/>
        </w:rPr>
        <w:t>Stock Incentive Contribution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Article 5C shall be effective as of April 28, 2023.</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Company and a Director may be parties to a restricted stock unit agreement pursuant to the Bank of Hawaii Corporation 2015 Director Stock Compensation Plan (“Stock Incentive Agreement”) or a successor plan that provides restricted stock units (“RSUs”) conditioned upon the satisfaction of specified Director service objectives. In this case, the RSUs shall be subject to deferral under the provisions of this Article 5C (“Eligible RSUs”) to the extent that the Company determines and approves that the RSUs are eligible for deferral under this Plan. However, this Article 5C shall not apply to grants of restricted stock units made prior to January 1, 2024.</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Eligible RSUs shall be treated as a component of the Director’s compensation earned for a Plan Year that is subject to the Deferral Election provisions under Article 4 above. As permitted under Article 4, the Director may make a Deferral Election applicable to the deferral of the Eligible RSUs. By making this Deferral Election, the Director may defer the receipt of up to 100% of the Eligible RSUs that would otherwise be paid following the vesting of the Eligible RSUs under the terms of the applicable Stock Incentive Agreement (“Vesting Date”). The portion of the Eligible RSUs that is subject to deferral in accordance with the Deferral Election (“Stock Incentive Contribution”) shall be credited to a separate account on behalf of the Director under the Plan (“Stock Incentive Account”) on or as soon as practical following the Vesting Date, which Stock Incentive Account shall reflect the balance of the Stock Incentive Contribution credited to the Director and the deemed investment earnings and losses on such contribution. The remaining portion of the Eligible RSUs that is not subject to the Deferral Election shall be paid following the Vesting Date (in accordance with the time and manner provided under the applicable Stock Incentive Agreement). A Director’s Stock Incentive Account may be further divided into separate subaccounts, each of which corresponds to a separate grant of Eligible RSUs deferred by the Director.</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Unless otherwise provided in this Article 5C, the Stock Incentive Account shall be treated as an Account, and shall be subject to the administrative rules applicable to an Account (e.g., deemed investment of Account as directed by Director, separate accounting for portion of Account attributable to the Stock Incentive Account), as described in Article 5 above. However, a Director shall not be permitted to direct the investment of Eligible RSUs credited to the Director’s Stock Incentive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5" w:name="page76"/>
    <w:bookmarkEnd w:id="7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Any Eligible RSUs credited to the Director’s Stock Incentive Account shall remain in the form of Eligible RSUs until the time of distribution.</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At the discretion of the Company, Eligible RSUs deferred under the Plan may be credited with cash dividends paid by the Company (“Dividend Equivalents”). Dividend Equivalents shall be credited to the Director’s Stock Incentive Account and shall be treated as earnings on the underlying Eligible RSUs. Upon being credited to the Plan, Dividend Equivalents shall initially be invested in a default investment fund designated by the Company. Thereafter, at the Director’s direction, such amounts may be invested in one or more investment funds or vehicles as may be designated by the Company.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provisions of Articles 7 and 8 below shall govern the timing and form of distribution of a Director’s Stock Incentive Account in the same manner as such provisions govern the timing and form of distribution of the Director’s Account in general. However, any provisions of Articles 7 and 8 to the contrary notwithstanding, any Eligible RSUs credited to a Director’s Stock Incentive Account shall be satisfied and paid in the form of Company Stock, and not in cash. Any Dividend Equivalents and earnings thereupon shall be subject to the time and form of distribution provided by the Director’s Deferral Election with respect to the underlying Eligible RSUs.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With respect to Eligible RSUs that are subject to deferral under the provisions of this Article 5C, the portion of the underlying Stock Incentive Agreement that describes the amount (or determination of the amount) of the Eligible RSUs shall constitute part of deferred compensation plan provisions governing the deferral of the Eligible RSUs for purposes of compliance with the written plan requirement under Code Section 409A.</w:t>
      </w:r>
    </w:p>
    <w:p>
      <w:pPr>
        <w:spacing w:after="0" w:line="168"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Article 6. </w:t>
      </w: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provided in Article 11, a Participant shall have a 100% vested and non-forfeitable interest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balance of his Account.</w:t>
      </w:r>
    </w:p>
    <w:p>
      <w:pPr>
        <w:spacing w:after="0" w:line="157"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Article 7. </w:t>
      </w:r>
      <w:r>
        <w:rPr>
          <w:rFonts w:ascii="Times New Roman" w:cs="Times New Roman" w:eastAsia="Times New Roman" w:hAnsi="Times New Roman"/>
          <w:sz w:val="20"/>
          <w:szCs w:val="20"/>
          <w:b w:val="1"/>
          <w:bCs w:val="1"/>
          <w:u w:val="single" w:color="auto"/>
          <w:color w:val="auto"/>
        </w:rPr>
        <w:t>Distribution Due to Separation from Service or At Specified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Participant shall file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 time of his Deferral Election an irrevocable election (“Distribution Election”) regarding the time and form of the distribution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that portion of his Account derived from the Deferral Election.</w:t>
      </w:r>
    </w:p>
    <w:p>
      <w:pPr>
        <w:spacing w:after="0" w:line="167" w:lineRule="exact"/>
        <w:rPr>
          <w:sz w:val="20"/>
          <w:szCs w:val="20"/>
          <w:color w:val="auto"/>
        </w:rPr>
      </w:pPr>
    </w:p>
    <w:p>
      <w:pPr>
        <w:jc w:val="both"/>
        <w:ind w:left="1300" w:hanging="644"/>
        <w:spacing w:after="0" w:line="213" w:lineRule="auto"/>
        <w:tabs>
          <w:tab w:leader="none" w:pos="12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Distribution</w:t>
      </w:r>
      <w:r>
        <w:rPr>
          <w:rFonts w:ascii="Times New Roman" w:cs="Times New Roman" w:eastAsia="Times New Roman" w:hAnsi="Times New Roman"/>
          <w:sz w:val="20"/>
          <w:szCs w:val="20"/>
          <w:color w:val="auto"/>
        </w:rPr>
        <w:t>. The Distribution Election shall include the Participant’s election of one of the following distribution commencement dates: (i) the first day of the month following the date on which the Participant incurs a “separation from service”; (ii) an anniversary date of the Participant’s separation from service, but no later than the fifth anniversary date; or (iii) a date specified by the Participant. For this purpose, the term “separation from service” shall be defined by reference to Treasury Regulation Section 1.409A-1(h). Also, a distribution shall be treated as made on the first day of the month following the Participant’s separation from service if the distribution is actually made by the end of the Plan Year or such other later date in accordance with the administrative rule of Treasury Regulation Section 1.409A-3(d). Further, a date specified by the Participant shall be a calendar date certain (e.g., January 1, 2010) and may not be stated as the date of an event (e.g., “the date my child begins college”).</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17" w:lineRule="auto"/>
        <w:tabs>
          <w:tab w:leader="none" w:pos="129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Distribution</w:t>
      </w:r>
      <w:r>
        <w:rPr>
          <w:rFonts w:ascii="Times New Roman" w:cs="Times New Roman" w:eastAsia="Times New Roman" w:hAnsi="Times New Roman"/>
          <w:sz w:val="20"/>
          <w:szCs w:val="20"/>
          <w:color w:val="auto"/>
        </w:rPr>
        <w:t>. The Distribution Election shall further include the Participant’s election of one of the following forms of payment: (i) a single lump sum distribution; or (ii) annual installment payments over a period not to exceed ten years (using the “declining balance method” under which each annual installment payment is determined by multiplying the remaining Account balance by a fraction, where the numerator is one and the denominator is the remaining years in the payment period).</w:t>
      </w:r>
    </w:p>
    <w:p>
      <w:pPr>
        <w:spacing w:after="0" w:line="17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Subject to the limitations of Article 5A, with respect to the portion of a Participant’s Account that is treated as invested in Company Stock pursuant to the Participant’s direction under Article 5,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0"/>
          <w:szCs w:val="20"/>
          <w:color w:val="auto"/>
        </w:rPr>
        <w:t>of the distribution under this Article 7 and Article 8 below shall be in cash or in Company Stock as the Participant (or beneficiary) may elect by written notice delivered to the Company within a reasonable period prior to distribution. If a timely election is not received by the Company, such distribution shall be made in cash. With respect to the portion of a Participant’s Account that is treated as invested in other than Company Stock, the form of distribution under this Article 7 and Article 8 below shall be in cash.</w:t>
      </w:r>
    </w:p>
    <w:p>
      <w:pPr>
        <w:spacing w:after="0" w:line="15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Article 8. </w:t>
      </w:r>
      <w:r>
        <w:rPr>
          <w:rFonts w:ascii="Times New Roman" w:cs="Times New Roman" w:eastAsia="Times New Roman" w:hAnsi="Times New Roman"/>
          <w:sz w:val="20"/>
          <w:szCs w:val="20"/>
          <w:b w:val="1"/>
          <w:bCs w:val="1"/>
          <w:u w:val="single" w:color="auto"/>
          <w:color w:val="auto"/>
        </w:rPr>
        <w:t>Distribution Due to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death of an active Participant, or terminated Participant prior to expiration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period during which his Account is payable, the balance of his Account shall be paid in a single lump sum to his designated beneficiary.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Account shall be paid in full on the second day of the Plan Year following the year of death. The Participant’s designated beneficiary shall be designated or changed by the Participant (without the consent of any prior beneficiary) through written notice delivered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Company. If no such beneficiary is designated, or if no designated beneficiary survives the Participant, the amount payable due to the Participant’s death shall be payable to the Participant’s estate.</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Article 9. </w:t>
      </w:r>
      <w:r>
        <w:rPr>
          <w:rFonts w:ascii="Times New Roman" w:cs="Times New Roman" w:eastAsia="Times New Roman" w:hAnsi="Times New Roman"/>
          <w:sz w:val="20"/>
          <w:szCs w:val="20"/>
          <w:b w:val="1"/>
          <w:bCs w:val="1"/>
          <w:u w:val="single" w:color="auto"/>
          <w:color w:val="auto"/>
        </w:rPr>
        <w:t>Incapacity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Committee finds that any person to whom payment is payable under this Plan is unable to care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 affairs because of illness or accident, or is a minor, any payment due (unless a prior claim for such payment has been made by a duly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appointed guardian, committee, or other legal representative) may be paid to the spouse, a child, a parent, or a brother or sister, or to any person deemed by the Committee to have incurred expense for such person otherwise entitled to payment.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Article 10.</w:t>
      </w:r>
      <w:r>
        <w:rPr>
          <w:sz w:val="20"/>
          <w:szCs w:val="20"/>
          <w:color w:val="auto"/>
        </w:rPr>
        <w:tab/>
      </w:r>
      <w:r>
        <w:rPr>
          <w:rFonts w:ascii="Times New Roman" w:cs="Times New Roman" w:eastAsia="Times New Roman" w:hAnsi="Times New Roman"/>
          <w:sz w:val="20"/>
          <w:szCs w:val="20"/>
          <w:b w:val="1"/>
          <w:bCs w:val="1"/>
          <w:u w:val="single" w:color="auto"/>
          <w:color w:val="auto"/>
        </w:rPr>
        <w:t>Funding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amounts payable under this Plan shall be paid in cash or in kind from the general funds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as the Committee may determine, and a Participant shall have no right, title, or interest whatsoever in or to investments, if any, which the Company may make to aid it in meeting its obligations under this Plan. Title to and beneficial ownership of any such investments</w:t>
      </w:r>
    </w:p>
    <w:p>
      <w:pPr>
        <w:spacing w:after="0" w:line="211" w:lineRule="auto"/>
        <w:rPr>
          <w:sz w:val="20"/>
          <w:szCs w:val="20"/>
          <w:color w:val="auto"/>
        </w:rPr>
      </w:pPr>
      <w:r>
        <w:rPr>
          <w:rFonts w:ascii="Times New Roman" w:cs="Times New Roman" w:eastAsia="Times New Roman" w:hAnsi="Times New Roman"/>
          <w:sz w:val="20"/>
          <w:szCs w:val="20"/>
          <w:color w:val="auto"/>
        </w:rPr>
        <w:t>shall at all times remain in the Company. Nothing contained in this Plan, and no action taken pursuant to its provisions, shall create or be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construed to create a trust of any kind, or a fiduciary relationship between the Company and the Participant and any other person. To the extent that any person acquires a right to receive a payment from the Company under this Plan, such right shall be no greater than the right of</w:t>
      </w:r>
    </w:p>
    <w:p>
      <w:pPr>
        <w:spacing w:after="0"/>
        <w:rPr>
          <w:sz w:val="20"/>
          <w:szCs w:val="20"/>
          <w:color w:val="auto"/>
        </w:rPr>
      </w:pPr>
      <w:r>
        <w:rPr>
          <w:rFonts w:ascii="Times New Roman" w:cs="Times New Roman" w:eastAsia="Times New Roman" w:hAnsi="Times New Roman"/>
          <w:sz w:val="20"/>
          <w:szCs w:val="20"/>
          <w:color w:val="auto"/>
        </w:rPr>
        <w:t>any unsecured creditor.</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Article 11. </w:t>
      </w:r>
      <w:r>
        <w:rPr>
          <w:rFonts w:ascii="Times New Roman" w:cs="Times New Roman" w:eastAsia="Times New Roman" w:hAnsi="Times New Roman"/>
          <w:sz w:val="20"/>
          <w:szCs w:val="20"/>
          <w:b w:val="1"/>
          <w:bCs w:val="1"/>
          <w:u w:val="single" w:color="auto"/>
          <w:color w:val="auto"/>
        </w:rPr>
        <w:t>Legal Status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is intended to constitute a nonqualified deferred compensation plan not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qualification requirements of Section 401(a) of the Internal Revenue Code of 1986, as amended (Code”), or the Employee Retirement</w:t>
      </w:r>
    </w:p>
    <w:p>
      <w:pPr>
        <w:spacing w:after="0" w:line="213" w:lineRule="auto"/>
        <w:rPr>
          <w:sz w:val="20"/>
          <w:szCs w:val="20"/>
          <w:color w:val="auto"/>
        </w:rPr>
      </w:pPr>
      <w:r>
        <w:rPr>
          <w:rFonts w:ascii="Times New Roman" w:cs="Times New Roman" w:eastAsia="Times New Roman" w:hAnsi="Times New Roman"/>
          <w:sz w:val="20"/>
          <w:szCs w:val="20"/>
          <w:color w:val="auto"/>
        </w:rPr>
        <w:t>Income Security Act of 1974, as amended (“ERISA”). Specifically, prior to the actual payment of the amounts credited to an Account, there</w:t>
      </w:r>
    </w:p>
    <w:p>
      <w:pPr>
        <w:jc w:val="both"/>
        <w:spacing w:after="0" w:line="204" w:lineRule="auto"/>
        <w:rPr>
          <w:sz w:val="20"/>
          <w:szCs w:val="20"/>
          <w:color w:val="auto"/>
        </w:rPr>
      </w:pPr>
      <w:r>
        <w:rPr>
          <w:rFonts w:ascii="Times New Roman" w:cs="Times New Roman" w:eastAsia="Times New Roman" w:hAnsi="Times New Roman"/>
          <w:sz w:val="20"/>
          <w:szCs w:val="20"/>
          <w:color w:val="auto"/>
        </w:rPr>
        <w:t>is no transfer of any assets to a Participant or for the benefit of the Participant under this Plan, and the Plan is intended to confer no current benefit that would be immediately taxable to the Participant under the constructive receipt rule or economic benefit doctrine under the tax</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laws. Further, this Plan is intended to benefit non-employee Directors exclusively, and not employees of the Company, and is thereby not subject to the requirements of ERISA.</w:t>
      </w:r>
    </w:p>
    <w:p>
      <w:pPr>
        <w:spacing w:after="0" w:line="171"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Article 11A.</w:t>
      </w:r>
      <w:r>
        <w:rPr>
          <w:sz w:val="20"/>
          <w:szCs w:val="20"/>
          <w:color w:val="auto"/>
        </w:rPr>
        <w:tab/>
      </w:r>
      <w:r>
        <w:rPr>
          <w:rFonts w:ascii="Times New Roman" w:cs="Times New Roman" w:eastAsia="Times New Roman" w:hAnsi="Times New Roman"/>
          <w:sz w:val="19"/>
          <w:szCs w:val="19"/>
          <w:b w:val="1"/>
          <w:bCs w:val="1"/>
          <w:u w:val="single" w:color="auto"/>
          <w:color w:val="auto"/>
        </w:rPr>
        <w:t>Code Section 409A Compliance</w:t>
      </w:r>
    </w:p>
    <w:p>
      <w:pPr>
        <w:spacing w:after="0" w:line="220" w:lineRule="exact"/>
        <w:rPr>
          <w:sz w:val="20"/>
          <w:szCs w:val="20"/>
          <w:color w:val="auto"/>
        </w:rPr>
      </w:pPr>
    </w:p>
    <w:p>
      <w:pPr>
        <w:jc w:val="both"/>
        <w:ind w:left="1300" w:hanging="644"/>
        <w:spacing w:after="0" w:line="222" w:lineRule="auto"/>
        <w:tabs>
          <w:tab w:leader="none" w:pos="129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 Application</w:t>
      </w:r>
      <w:r>
        <w:rPr>
          <w:rFonts w:ascii="Times New Roman" w:cs="Times New Roman" w:eastAsia="Times New Roman" w:hAnsi="Times New Roman"/>
          <w:sz w:val="20"/>
          <w:szCs w:val="20"/>
          <w:color w:val="auto"/>
        </w:rPr>
        <w:t>. The requirements of Code Section 409A shall apply to the portion of each Participant’s Account that is attributable to Deferral Election amounts deferred on or after January 1, 2005 (“Regular Account”). With respect to such Regular Accounts, this Plan is intended to meet the requirements of Code Section 409A and shall be interpreted in a manner consistent with the underlying regulatory guidance.</w:t>
      </w:r>
    </w:p>
    <w:p>
      <w:pPr>
        <w:spacing w:after="0" w:line="148" w:lineRule="exact"/>
        <w:rPr>
          <w:rFonts w:ascii="Times New Roman" w:cs="Times New Roman" w:eastAsia="Times New Roman" w:hAnsi="Times New Roman"/>
          <w:sz w:val="20"/>
          <w:szCs w:val="20"/>
          <w:color w:val="auto"/>
        </w:rPr>
      </w:pPr>
    </w:p>
    <w:p>
      <w:pPr>
        <w:jc w:val="both"/>
        <w:ind w:left="1300" w:hanging="644"/>
        <w:spacing w:after="0" w:line="218" w:lineRule="auto"/>
        <w:tabs>
          <w:tab w:leader="none" w:pos="129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Grandfathered Account</w:t>
      </w:r>
      <w:r>
        <w:rPr>
          <w:rFonts w:ascii="Times New Roman" w:cs="Times New Roman" w:eastAsia="Times New Roman" w:hAnsi="Times New Roman"/>
          <w:sz w:val="20"/>
          <w:szCs w:val="20"/>
          <w:color w:val="auto"/>
        </w:rPr>
        <w:t>. Effective as of January 1, 2005, the portion of each Participant’s Account that is comprised of the balance credited to such Account as of December 31, 2004 shall be credited to and maintained as a separate account (“Grandfathered Account”). The Grandfathered Account shall be appropriately increased or decreased, as the case may be, to reflect the appreciation or depreciation in the value of such Account, the net income or loss attributable to the assets credited to such Account, and distributions and expenses that may be charged against such Account. Elective Deferral amounts for Plan Years beginning on or after January 1, 2005, and earnings thereon,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77" w:name="page78"/>
    <w:bookmarkEnd w:id="77"/>
    <w:p>
      <w:pPr>
        <w:ind w:left="1300" w:right="20"/>
        <w:spacing w:after="0"/>
        <w:rPr>
          <w:sz w:val="20"/>
          <w:szCs w:val="20"/>
          <w:color w:val="auto"/>
        </w:rPr>
      </w:pPr>
      <w:r>
        <w:rPr>
          <w:rFonts w:ascii="Times New Roman" w:cs="Times New Roman" w:eastAsia="Times New Roman" w:hAnsi="Times New Roman"/>
          <w:sz w:val="20"/>
          <w:szCs w:val="20"/>
          <w:color w:val="auto"/>
        </w:rPr>
        <w:t>not be credited to or combined with Grandfathered Accounts. Grandfathered Accounts constitute amounts earned and vested as of December 31, 2004 that are grandfathered from, and not subject to the application of, Code Section 409A.</w:t>
      </w:r>
    </w:p>
    <w:p>
      <w:pPr>
        <w:spacing w:after="0" w:line="148" w:lineRule="exact"/>
        <w:rPr>
          <w:sz w:val="20"/>
          <w:szCs w:val="20"/>
          <w:color w:val="auto"/>
        </w:rPr>
      </w:pPr>
    </w:p>
    <w:p>
      <w:pPr>
        <w:jc w:val="both"/>
        <w:ind w:left="1300" w:hanging="644"/>
        <w:spacing w:after="0" w:line="230" w:lineRule="auto"/>
        <w:tabs>
          <w:tab w:leader="none" w:pos="129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Provisions</w:t>
      </w:r>
      <w:r>
        <w:rPr>
          <w:rFonts w:ascii="Times New Roman" w:cs="Times New Roman" w:eastAsia="Times New Roman" w:hAnsi="Times New Roman"/>
          <w:sz w:val="20"/>
          <w:szCs w:val="20"/>
          <w:color w:val="auto"/>
        </w:rPr>
        <w:t>. Except as otherwise provided under this Article 11A, the provisions of the Plan shall generally apply to both Regular Accounts and Grandfathered Accounts. The reference to “Account” under the Plan shall refer to Regular Accounts and Grandfathered Accounts.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29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 Requirements</w:t>
      </w:r>
      <w:r>
        <w:rPr>
          <w:rFonts w:ascii="Times New Roman" w:cs="Times New Roman" w:eastAsia="Times New Roman" w:hAnsi="Times New Roman"/>
          <w:sz w:val="20"/>
          <w:szCs w:val="20"/>
          <w:color w:val="auto"/>
        </w:rPr>
        <w:t>. For purposes of compliance with Code Section 409A, Regular Accounts shall be subject to the following requirements:</w:t>
      </w:r>
    </w:p>
    <w:p>
      <w:pPr>
        <w:spacing w:after="0" w:line="174" w:lineRule="exact"/>
        <w:rPr>
          <w:rFonts w:ascii="Times New Roman" w:cs="Times New Roman" w:eastAsia="Times New Roman" w:hAnsi="Times New Roman"/>
          <w:sz w:val="20"/>
          <w:szCs w:val="20"/>
          <w:color w:val="auto"/>
        </w:rPr>
      </w:pPr>
    </w:p>
    <w:p>
      <w:pPr>
        <w:jc w:val="both"/>
        <w:ind w:left="1960" w:hanging="656"/>
        <w:spacing w:after="0" w:line="215" w:lineRule="auto"/>
        <w:tabs>
          <w:tab w:leader="none" w:pos="19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Evergreen Deferral Elections</w:t>
      </w:r>
      <w:r>
        <w:rPr>
          <w:rFonts w:ascii="Times New Roman" w:cs="Times New Roman" w:eastAsia="Times New Roman" w:hAnsi="Times New Roman"/>
          <w:sz w:val="20"/>
          <w:szCs w:val="20"/>
          <w:color w:val="auto"/>
        </w:rPr>
        <w:t>. Unless otherwise allowed by the Committee, a Deferral Election for a Plan Year shall not be automatically applied for a subsequent Plan Year on an “evergreen” basis. A Participant must make an affirmative Deferral Election with respect to each Plan Year under Article 4. If a Participant does not make an affirmative election by December 31 of the immediately preceding year, the Participant shall be deemed to have irrevocably elected not to make a Deferral Election for the Plan Year.</w:t>
      </w:r>
    </w:p>
    <w:p>
      <w:pPr>
        <w:spacing w:after="0" w:line="164" w:lineRule="exact"/>
        <w:rPr>
          <w:rFonts w:ascii="Times New Roman" w:cs="Times New Roman" w:eastAsia="Times New Roman" w:hAnsi="Times New Roman"/>
          <w:sz w:val="22"/>
          <w:szCs w:val="22"/>
          <w:color w:val="auto"/>
        </w:rPr>
      </w:pPr>
    </w:p>
    <w:p>
      <w:pPr>
        <w:jc w:val="both"/>
        <w:ind w:left="1960" w:hanging="656"/>
        <w:spacing w:after="0" w:line="214" w:lineRule="auto"/>
        <w:tabs>
          <w:tab w:leader="none" w:pos="19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Subaccounts Relating to Varying Distribution Elections</w:t>
      </w:r>
      <w:r>
        <w:rPr>
          <w:rFonts w:ascii="Times New Roman" w:cs="Times New Roman" w:eastAsia="Times New Roman" w:hAnsi="Times New Roman"/>
          <w:sz w:val="20"/>
          <w:szCs w:val="20"/>
          <w:color w:val="auto"/>
        </w:rPr>
        <w:t>. Under Article 7, as part of any Deferral Election, a Participant must make an irrevocable election (“Distribution Election”) regarding the form of distribution for that portion of the Participant’s Account that is attributable to the Deferral Election. To the extent that a Participant’s Distribution Election for a given Plan Year is for a different form of distribution (e.g., installments over different numbers of years following termination from service) as compared to preceding Plan Years, the Company shall separately account for the Deferral Election amount for the given Plan Year as a subaccount of the Participant’s Regular Account.</w:t>
      </w:r>
    </w:p>
    <w:p>
      <w:pPr>
        <w:spacing w:after="0" w:line="164" w:lineRule="exact"/>
        <w:rPr>
          <w:rFonts w:ascii="Times New Roman" w:cs="Times New Roman" w:eastAsia="Times New Roman" w:hAnsi="Times New Roman"/>
          <w:sz w:val="22"/>
          <w:szCs w:val="22"/>
          <w:color w:val="auto"/>
        </w:rPr>
      </w:pPr>
    </w:p>
    <w:p>
      <w:pPr>
        <w:jc w:val="both"/>
        <w:ind w:left="1960" w:hanging="656"/>
        <w:spacing w:after="0" w:line="217" w:lineRule="auto"/>
        <w:tabs>
          <w:tab w:leader="none" w:pos="19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Subsequent Changes to Distribution Elections</w:t>
      </w:r>
      <w:r>
        <w:rPr>
          <w:rFonts w:ascii="Times New Roman" w:cs="Times New Roman" w:eastAsia="Times New Roman" w:hAnsi="Times New Roman"/>
          <w:sz w:val="19"/>
          <w:szCs w:val="19"/>
          <w:color w:val="auto"/>
        </w:rPr>
        <w:t>. Under Article 7, any Distribution Election shall be irrevocable. However, the Committee may, at its sole and complete discretion, allow for a subsequent modification to a Distribution Election, subject to satisfaction of the following requirements in accordance with Code Section 409A(a)</w:t>
      </w:r>
    </w:p>
    <w:p>
      <w:pPr>
        <w:spacing w:after="0" w:line="2" w:lineRule="exact"/>
        <w:rPr>
          <w:rFonts w:ascii="Times New Roman" w:cs="Times New Roman" w:eastAsia="Times New Roman" w:hAnsi="Times New Roman"/>
          <w:sz w:val="21"/>
          <w:szCs w:val="21"/>
          <w:color w:val="auto"/>
        </w:rPr>
      </w:pPr>
    </w:p>
    <w:p>
      <w:pPr>
        <w:jc w:val="both"/>
        <w:ind w:left="1960"/>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(4)(C) and underlying regulations: (i) in no event shall a modification result in the acceleration of payments provided under the Distribution Election; (ii) any new election must be made at least 12 months prior to the date payments are scheduled to commence; (iii) under any new election, the commencement of payments must be deferred for a period of not less than five years from the date such payments would otherwise commence; and (iv) any new election may not take effect until 12 months after the new election is made.</w:t>
      </w:r>
    </w:p>
    <w:p>
      <w:pPr>
        <w:spacing w:after="0" w:line="176" w:lineRule="exact"/>
        <w:rPr>
          <w:rFonts w:ascii="Times New Roman" w:cs="Times New Roman" w:eastAsia="Times New Roman" w:hAnsi="Times New Roman"/>
          <w:sz w:val="21"/>
          <w:szCs w:val="21"/>
          <w:color w:val="auto"/>
        </w:rPr>
      </w:pPr>
    </w:p>
    <w:p>
      <w:pPr>
        <w:jc w:val="both"/>
        <w:ind w:left="1960" w:hanging="656"/>
        <w:spacing w:after="0" w:line="218" w:lineRule="auto"/>
        <w:tabs>
          <w:tab w:leader="none" w:pos="19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Distribution Events.</w:t>
      </w:r>
      <w:r>
        <w:rPr>
          <w:rFonts w:ascii="Times New Roman" w:cs="Times New Roman" w:eastAsia="Times New Roman" w:hAnsi="Times New Roman"/>
          <w:sz w:val="20"/>
          <w:szCs w:val="20"/>
          <w:color w:val="auto"/>
        </w:rPr>
        <w:t xml:space="preserve"> In accordance with Articles 7 and 8, the distribution of a Participant’s Account is only permitted in the event of the Participant’s separation from service as a Director of the Company or the Participant’s death. No other distribution events shall apply under the Plan.</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Article 11B. </w:t>
      </w:r>
      <w:r>
        <w:rPr>
          <w:rFonts w:ascii="Times New Roman" w:cs="Times New Roman" w:eastAsia="Times New Roman" w:hAnsi="Times New Roman"/>
          <w:sz w:val="20"/>
          <w:szCs w:val="20"/>
          <w:b w:val="1"/>
          <w:bCs w:val="1"/>
          <w:u w:val="single" w:color="auto"/>
          <w:color w:val="auto"/>
        </w:rPr>
        <w:t>Code Section 409A Transition Distribution Elections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or before December 31, 2008, and notwithstanding that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preexisting Distribution Election is otherwise irrevocable, each Participant shall be allowed to make a new Distribution Election (“Transition Distribution Election”) as to the time and form of distribution of his Account payable after 2008. The Participant shall be allowed to make a separate Transition Distribution Election for his Grandfathered Account, if any, and for his Regular Account (where a separate Transition Distribution Election may apply to the portion of the Regular Account attributable to each Plan Year beginning after 2004). The Transition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9" w:right="339" w:bottom="1440" w:gutter="0" w:footer="0" w:header="0"/>
        </w:sectPr>
      </w:pPr>
    </w:p>
    <w:bookmarkStart w:id="78" w:name="page79"/>
    <w:bookmarkEnd w:id="7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Election shall not defer distributions that would otherwise be payable in 2008, and shall not provide for distributions to be paid in 2008 that would otherwise be payable in a later year.</w:t>
      </w:r>
    </w:p>
    <w:p>
      <w:pPr>
        <w:spacing w:after="0" w:line="1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Article 12. </w:t>
      </w:r>
      <w:r>
        <w:rPr>
          <w:rFonts w:ascii="Times New Roman" w:cs="Times New Roman" w:eastAsia="Times New Roman" w:hAnsi="Times New Roman"/>
          <w:sz w:val="20"/>
          <w:szCs w:val="20"/>
          <w:b w:val="1"/>
          <w:bCs w:val="1"/>
          <w:u w:val="single" w:color="auto"/>
          <w:color w:val="auto"/>
        </w:rPr>
        <w:t>Continued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contained in this Plan shall be construed as conferring upon a Participant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in the service of the Company as a Director or in any other capacity. Further, nothing contained in this Plan shall be deemed to create an obligation on the part of the Board to nominate any Director for reelection by the Company stockholders.</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Article 13. </w:t>
      </w:r>
      <w:r>
        <w:rPr>
          <w:rFonts w:ascii="Times New Roman" w:cs="Times New Roman" w:eastAsia="Times New Roman" w:hAnsi="Times New Roman"/>
          <w:sz w:val="20"/>
          <w:szCs w:val="20"/>
          <w:b w:val="1"/>
          <w:bCs w:val="1"/>
          <w:u w:val="single" w:color="auto"/>
          <w:color w:val="auto"/>
        </w:rPr>
        <w:t>Nonassignment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interests of a Participant hereunder may not be sold, transferred, signed, pledged,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No Participant may borrow against his Account.</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Article 14. </w:t>
      </w: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Committee shall have full power and authority to interpret, construe, and administer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its sole and absolute discretion, and the Committee’s interpretation and construction of this Plan, including any valuation of an Account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amount or recipient of any payment, shall be binding and conclusive on all persons. The Committee may at its sole discretion determine the costs of implementing and administering the Plan, and it may charge all or a portion of such costs to Participants either by charging their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respective Accounts or by direct charge. In addition, the Company may at its discretion withhold from any Deferral Election amounts, or any distributions made pursuant to Articles 7 and 8, any amounts required by applicable federal, state, and local tax laws.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Article 15. </w:t>
      </w:r>
      <w:r>
        <w:rPr>
          <w:rFonts w:ascii="Times New Roman" w:cs="Times New Roman" w:eastAsia="Times New Roman" w:hAnsi="Times New Roman"/>
          <w:sz w:val="20"/>
          <w:szCs w:val="20"/>
          <w:b w:val="1"/>
          <w:bCs w:val="1"/>
          <w:u w:val="single" w:color="auto"/>
          <w:color w:val="auto"/>
        </w:rPr>
        <w:t>Amendment and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may, at any time or from time to time, be amended, modified,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at the sole and complete discretion of the Board of Directors. However, no amendment, modification, or termination of the Plan shall adversely affect such Participant’s rights with respect to amounts then accrued in his Account.</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Article 16. </w:t>
      </w:r>
      <w:r>
        <w:rPr>
          <w:rFonts w:ascii="Times New Roman" w:cs="Times New Roman" w:eastAsia="Times New Roman" w:hAnsi="Times New Roman"/>
          <w:sz w:val="20"/>
          <w:szCs w:val="20"/>
          <w:b w:val="1"/>
          <w:bCs w:val="1"/>
          <w:u w:val="single" w:color="auto"/>
          <w:color w:val="auto"/>
        </w:rPr>
        <w:t>Enforceability and Controlling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provision of this Plan is held by a court of competent jurisdiction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or unenforceable, the remaining provisions shall continue in full force and effect. The provisions of this Plan shall be construed, administered, and enforced according to the laws of the State of Hawaii.</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Article 17. </w:t>
      </w:r>
      <w:r>
        <w:rPr>
          <w:rFonts w:ascii="Times New Roman" w:cs="Times New Roman" w:eastAsia="Times New Roman" w:hAnsi="Times New Roman"/>
          <w:sz w:val="20"/>
          <w:szCs w:val="20"/>
          <w:b w:val="1"/>
          <w:bCs w:val="1"/>
          <w:u w:val="single" w:color="auto"/>
          <w:color w:val="auto"/>
        </w:rPr>
        <w:t>Gender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Wherever any words are used under the Plan in the masculine, feminine, or neuter gender, they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as though they were also used in another gender in all cases where they would so apply.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[Composite reflecting restatement effective as of June 28, 2013, and amendments effective as of July 24, 2015 and April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Ho, certify that:</w:t>
      </w:r>
    </w:p>
    <w:p>
      <w:pPr>
        <w:spacing w:after="0" w:line="144" w:lineRule="exact"/>
        <w:rPr>
          <w:sz w:val="20"/>
          <w:szCs w:val="20"/>
          <w:color w:val="auto"/>
        </w:rPr>
      </w:pPr>
    </w:p>
    <w:p>
      <w:pPr>
        <w:ind w:left="900" w:hanging="5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Peter S. Ho</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S. Satenberg, certify that:</w:t>
      </w:r>
    </w:p>
    <w:p>
      <w:pPr>
        <w:spacing w:after="0" w:line="144" w:lineRule="exact"/>
        <w:rPr>
          <w:sz w:val="20"/>
          <w:szCs w:val="20"/>
          <w:color w:val="auto"/>
        </w:rPr>
      </w:pPr>
    </w:p>
    <w:p>
      <w:pPr>
        <w:ind w:left="900" w:hanging="5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2025</w:t>
      </w:r>
      <w:r>
        <w:rPr>
          <w:sz w:val="20"/>
          <w:szCs w:val="20"/>
          <w:color w:val="auto"/>
        </w:rPr>
        <w:tab/>
      </w:r>
      <w:r>
        <w:rPr>
          <w:rFonts w:ascii="Times New Roman" w:cs="Times New Roman" w:eastAsia="Times New Roman" w:hAnsi="Times New Roman"/>
          <w:sz w:val="17"/>
          <w:szCs w:val="17"/>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Peter S. Ho, Chief Executive Officer, and I, Bradley S. Satenberg, Chief Financial Officer, of Bank of Hawaii Corporation (the “Company”), hereby certify that the Company's Quarterly Report on Form 10-Q for the quarter ended June 30, 2025 (the “Report”):</w:t>
      </w:r>
    </w:p>
    <w:p>
      <w:pPr>
        <w:spacing w:after="0" w:line="68"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80" w:val="left"/>
          <w:tab w:leader="none" w:pos="5580" w:val="left"/>
        </w:tabs>
        <w:rPr>
          <w:sz w:val="20"/>
          <w:szCs w:val="20"/>
          <w:color w:val="auto"/>
        </w:rPr>
      </w:pPr>
      <w:r>
        <w:rPr>
          <w:rFonts w:ascii="Times New Roman" w:cs="Times New Roman" w:eastAsia="Times New Roman" w:hAnsi="Times New Roman"/>
          <w:sz w:val="18"/>
          <w:szCs w:val="18"/>
          <w:color w:val="auto"/>
        </w:rPr>
        <w:t>Date:</w:t>
        <w:tab/>
        <w:t>July 28,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Peter S. Ho</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2"/>
      <w:numFmt w:val="bullet"/>
      <w:start w:val="1"/>
    </w:lvl>
  </w:abstractNum>
  <w:abstractNum w:abstractNumId="6">
    <w:nsid w:val="4353D0CD"/>
    <w:multiLevelType w:val="hybridMultilevel"/>
    <w:lvl w:ilvl="0">
      <w:lvlJc w:val="left"/>
      <w:lvlText w:val="1"/>
      <w:numFmt w:val="bullet"/>
      <w:start w:val="1"/>
    </w:lvl>
  </w:abstractNum>
  <w:abstractNum w:abstractNumId="7">
    <w:nsid w:val="B03E0C6"/>
    <w:multiLevelType w:val="hybridMultilevel"/>
    <w:lvl w:ilvl="0">
      <w:lvlJc w:val="left"/>
      <w:lvlText w:val="1"/>
      <w:numFmt w:val="bullet"/>
      <w:start w:val="1"/>
    </w:lvl>
  </w:abstractNum>
  <w:abstractNum w:abstractNumId="8">
    <w:nsid w:val="189A769B"/>
    <w:multiLevelType w:val="hybridMultilevel"/>
    <w:lvl w:ilvl="0">
      <w:lvlJc w:val="left"/>
      <w:lvlText w:val="2"/>
      <w:numFmt w:val="bullet"/>
      <w:start w:val="1"/>
    </w:lvl>
  </w:abstractNum>
  <w:abstractNum w:abstractNumId="9">
    <w:nsid w:val="54E49EB4"/>
    <w:multiLevelType w:val="hybridMultilevel"/>
    <w:lvl w:ilvl="0">
      <w:lvlJc w:val="left"/>
      <w:lvlText w:val="1"/>
      <w:numFmt w:val="bullet"/>
      <w:start w:val="1"/>
    </w:lvl>
  </w:abstractNum>
  <w:abstractNum w:abstractNumId="10">
    <w:nsid w:val="71F32454"/>
    <w:multiLevelType w:val="hybridMultilevel"/>
    <w:lvl w:ilvl="0">
      <w:lvlJc w:val="left"/>
      <w:lvlText w:val="1"/>
      <w:numFmt w:val="bullet"/>
      <w:start w:val="1"/>
    </w:lvl>
  </w:abstractNum>
  <w:abstractNum w:abstractNumId="11">
    <w:nsid w:val="2CA88611"/>
    <w:multiLevelType w:val="hybridMultilevel"/>
    <w:lvl w:ilvl="0">
      <w:lvlJc w:val="left"/>
      <w:lvlText w:val="2"/>
      <w:numFmt w:val="bullet"/>
      <w:start w:val="1"/>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1"/>
      <w:numFmt w:val="bullet"/>
      <w:start w:val="1"/>
    </w:lvl>
  </w:abstractNum>
  <w:abstractNum w:abstractNumId="14">
    <w:nsid w:val="3A95F874"/>
    <w:multiLevelType w:val="hybridMultilevel"/>
    <w:lvl w:ilvl="0">
      <w:lvlJc w:val="left"/>
      <w:lvlText w:val="2"/>
      <w:numFmt w:val="bullet"/>
      <w:start w:val="1"/>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bullet"/>
      <w:start w:val="1"/>
    </w:lvl>
  </w:abstractNum>
  <w:abstractNum w:abstractNumId="20">
    <w:nsid w:val="22221A70"/>
    <w:multiLevelType w:val="hybridMultilevel"/>
    <w:lvl w:ilvl="0">
      <w:lvlJc w:val="left"/>
      <w:lvlText w:val="2"/>
      <w:numFmt w:val="bullet"/>
      <w:start w:val="1"/>
    </w:lvl>
  </w:abstractNum>
  <w:abstractNum w:abstractNumId="21">
    <w:nsid w:val="4516DDE9"/>
    <w:multiLevelType w:val="hybridMultilevel"/>
    <w:lvl w:ilvl="0">
      <w:lvlJc w:val="left"/>
      <w:lvlText w:val="3"/>
      <w:numFmt w:val="bullet"/>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bullet"/>
      <w:start w:val="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2"/>
      <w:numFmt w:val="bullet"/>
      <w:start w:val="1"/>
    </w:lvl>
  </w:abstractNum>
  <w:abstractNum w:abstractNumId="27">
    <w:nsid w:val="5072367"/>
    <w:multiLevelType w:val="hybridMultilevel"/>
    <w:lvl w:ilvl="0">
      <w:lvlJc w:val="left"/>
      <w:lvlText w:val="1"/>
      <w:numFmt w:val="bullet"/>
      <w:start w:val="1"/>
    </w:lvl>
  </w:abstractNum>
  <w:abstractNum w:abstractNumId="28">
    <w:nsid w:val="3804823E"/>
    <w:multiLevelType w:val="hybridMultilevel"/>
    <w:lvl w:ilvl="0">
      <w:lvlJc w:val="left"/>
      <w:lvlText w:val="1"/>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bullet"/>
      <w:start w:val="1"/>
    </w:lvl>
  </w:abstractNum>
  <w:abstractNum w:abstractNumId="31">
    <w:nsid w:val="5C482A97"/>
    <w:multiLevelType w:val="hybridMultilevel"/>
    <w:lvl w:ilvl="0">
      <w:lvlJc w:val="left"/>
      <w:lvlText w:val="2"/>
      <w:numFmt w:val="bullet"/>
      <w:start w:val="1"/>
    </w:lvl>
  </w:abstractNum>
  <w:abstractNum w:abstractNumId="32">
    <w:nsid w:val="2463B9EA"/>
    <w:multiLevelType w:val="hybridMultilevel"/>
    <w:lvl w:ilvl="0">
      <w:lvlJc w:val="left"/>
      <w:lvlText w:val="1"/>
      <w:numFmt w:val="bullet"/>
      <w:start w:val="1"/>
    </w:lvl>
  </w:abstractNum>
  <w:abstractNum w:abstractNumId="33">
    <w:nsid w:val="5E884ADC"/>
    <w:multiLevelType w:val="hybridMultilevel"/>
    <w:lvl w:ilvl="0">
      <w:lvlJc w:val="left"/>
      <w:lvlText w:val="2"/>
      <w:numFmt w:val="bullet"/>
      <w:start w:val="1"/>
    </w:lvl>
  </w:abstractNum>
  <w:abstractNum w:abstractNumId="34">
    <w:nsid w:val="51EAD36B"/>
    <w:multiLevelType w:val="hybridMultilevel"/>
    <w:lvl w:ilvl="0">
      <w:lvlJc w:val="left"/>
      <w:lvlText w:val="%1"/>
      <w:numFmt w:val="decimal"/>
      <w:start w:val="32"/>
    </w:lvl>
  </w:abstractNum>
  <w:abstractNum w:abstractNumId="35">
    <w:nsid w:val="2D517796"/>
    <w:multiLevelType w:val="hybridMultilevel"/>
    <w:lvl w:ilvl="0">
      <w:lvlJc w:val="left"/>
      <w:lvlText w:val="%1"/>
      <w:numFmt w:val="decimal"/>
      <w:start w:val="104"/>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upperLetter"/>
      <w:start w:val="1"/>
    </w:lvl>
  </w:abstractNum>
  <w:abstractNum w:abstractNumId="40">
    <w:nsid w:val="6A2342EC"/>
    <w:multiLevelType w:val="hybridMultilevel"/>
    <w:lvl w:ilvl="0">
      <w:lvlJc w:val="left"/>
      <w:lvlText w:val="%1."/>
      <w:numFmt w:val="upperLetter"/>
      <w:start w:val="3"/>
    </w:lvl>
    <w:lvl w:ilvl="1">
      <w:lvlJc w:val="left"/>
      <w:lvlText w:val="%2."/>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84" Type="http://schemas.openxmlformats.org/officeDocument/2006/relationships/hyperlink" Target="https://www.sec.gov/Archives/edgar/data/0000046195/000104746906002592/a2167652zex-3_1.htm" TargetMode="External"/><Relationship Id="rId85" Type="http://schemas.openxmlformats.org/officeDocument/2006/relationships/hyperlink" Target="https://www.sec.gov/Archives/edgar/data/0000046195/000110465908028414/a08-13016_1ex3d1.htm" TargetMode="External"/><Relationship Id="rId86" Type="http://schemas.openxmlformats.org/officeDocument/2006/relationships/hyperlink" Target="https://www.sec.gov/Archives/edgar/data/0000046195/000119312521191143/d184114dex31.htm" TargetMode="External"/><Relationship Id="rId87" Type="http://schemas.openxmlformats.org/officeDocument/2006/relationships/hyperlink" Target="https://www.sec.gov/Archives/edgar/data/46195/000119312524165835/d831633dex31.htm" TargetMode="External"/><Relationship Id="rId88" Type="http://schemas.openxmlformats.org/officeDocument/2006/relationships/hyperlink" Target="https://www.sec.gov/Archives/edgar/data/46195/000156459020054889/boh-ex32_6.htm" TargetMode="External"/><Relationship Id="rId89" Type="http://schemas.openxmlformats.org/officeDocument/2006/relationships/hyperlink" Target="https://www.sec.gov/Archives/edgar/data/0000046195/000119312521191143/d184114dex41.htm" TargetMode="External"/><Relationship Id="rId90" Type="http://schemas.openxmlformats.org/officeDocument/2006/relationships/hyperlink" Target="https://www.sec.gov/Archives/edgar/data/0000046195/000119312524165835/d83163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2025-07-28T16:25:32Z</dcterms:created>
  <dcterms:modified xsi:type="dcterms:W3CDTF">2025-07-28T16:25:32Z</dcterms:modified>
</cp:coreProperties>
</file>