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603250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580390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Washington, D. C. 20549</w:t>
      </w:r>
    </w:p>
    <w:p>
      <w:pPr>
        <w:spacing w:after="0" w:line="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ectPr>
          <w:pgSz w:w="11900" w:h="16838" w:orient="portrait"/>
          <w:cols w:equalWidth="0" w:num="1">
            <w:col w:w="11200"/>
          </w:cols>
          <w:pgMar w:left="300" w:top="1042" w:right="399" w:bottom="1440" w:gutter="0" w:footer="0" w:header="0"/>
        </w:sectPr>
      </w:pPr>
    </w:p>
    <w:p>
      <w:pPr>
        <w:spacing w:after="0" w:line="91"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2"/>
          <w:szCs w:val="12"/>
          <w:color w:val="auto"/>
        </w:rPr>
        <w:t>Date of Report</w:t>
      </w:r>
    </w:p>
    <w:p>
      <w:pPr>
        <w:spacing w:after="0" w:line="42"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1"/>
          <w:szCs w:val="11"/>
          <w:color w:val="auto"/>
        </w:rPr>
        <w:t>(Date of earliest event reported)</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1"/>
          <w:szCs w:val="11"/>
          <w:b w:val="1"/>
          <w:bCs w:val="1"/>
          <w:color w:val="auto"/>
        </w:rPr>
        <w:t>April 20, 2026</w:t>
      </w:r>
    </w:p>
    <w:p>
      <w:pPr>
        <w:spacing w:after="0" w:line="316" w:lineRule="exact"/>
        <w:rPr>
          <w:sz w:val="24"/>
          <w:szCs w:val="24"/>
          <w:color w:val="auto"/>
        </w:rPr>
      </w:pPr>
    </w:p>
    <w:p>
      <w:pPr>
        <w:sectPr>
          <w:pgSz w:w="11900" w:h="16838" w:orient="portrait"/>
          <w:cols w:equalWidth="0" w:num="2">
            <w:col w:w="6720" w:space="720"/>
            <w:col w:w="3760"/>
          </w:cols>
          <w:pgMar w:left="300" w:top="1042" w:right="39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2760" w:type="dxa"/>
            <w:vAlign w:val="bottom"/>
          </w:tcPr>
          <w:p>
            <w:pPr>
              <w:jc w:val="center"/>
              <w:ind w:right="52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460" w:type="dxa"/>
            <w:vAlign w:val="bottom"/>
          </w:tcPr>
          <w:p>
            <w:pPr>
              <w:jc w:val="right"/>
              <w:ind w:right="1105"/>
              <w:spacing w:after="0"/>
              <w:rPr>
                <w:sz w:val="20"/>
                <w:szCs w:val="20"/>
                <w:color w:val="auto"/>
              </w:rPr>
            </w:pPr>
            <w:r>
              <w:rPr>
                <w:rFonts w:ascii="Times New Roman" w:cs="Times New Roman" w:eastAsia="Times New Roman" w:hAnsi="Times New Roman"/>
                <w:sz w:val="12"/>
                <w:szCs w:val="12"/>
                <w:b w:val="1"/>
                <w:bCs w:val="1"/>
                <w:color w:val="auto"/>
              </w:rPr>
              <w:t>1-6887</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gridSpan w:val="2"/>
          </w:tcPr>
          <w:p>
            <w:pPr>
              <w:jc w:val="right"/>
              <w:ind w:right="1207"/>
              <w:spacing w:after="0"/>
              <w:rPr>
                <w:sz w:val="20"/>
                <w:szCs w:val="20"/>
                <w:color w:val="auto"/>
              </w:rPr>
            </w:pPr>
            <w:r>
              <w:rPr>
                <w:rFonts w:ascii="Times New Roman" w:cs="Times New Roman" w:eastAsia="Times New Roman" w:hAnsi="Times New Roman"/>
                <w:sz w:val="12"/>
                <w:szCs w:val="12"/>
                <w:b w:val="1"/>
                <w:bCs w:val="1"/>
                <w:color w:val="auto"/>
              </w:rPr>
              <w:t>99-0148992</w:t>
            </w:r>
          </w:p>
        </w:tc>
      </w:tr>
      <w:tr>
        <w:trPr>
          <w:trHeight w:val="145"/>
        </w:trPr>
        <w:tc>
          <w:tcPr>
            <w:tcW w:w="780" w:type="dxa"/>
            <w:vAlign w:val="bottom"/>
          </w:tcPr>
          <w:p>
            <w:pPr>
              <w:spacing w:after="0"/>
              <w:rPr>
                <w:sz w:val="12"/>
                <w:szCs w:val="12"/>
                <w:color w:val="auto"/>
              </w:rPr>
            </w:pPr>
          </w:p>
        </w:tc>
        <w:tc>
          <w:tcPr>
            <w:tcW w:w="2760" w:type="dxa"/>
            <w:vAlign w:val="bottom"/>
          </w:tcPr>
          <w:p>
            <w:pPr>
              <w:jc w:val="center"/>
              <w:ind w:right="526"/>
              <w:spacing w:after="0"/>
              <w:rPr>
                <w:sz w:val="20"/>
                <w:szCs w:val="20"/>
                <w:color w:val="auto"/>
              </w:rPr>
            </w:pPr>
            <w:r>
              <w:rPr>
                <w:rFonts w:ascii="Times New Roman" w:cs="Times New Roman" w:eastAsia="Times New Roman" w:hAnsi="Times New Roman"/>
                <w:sz w:val="10"/>
                <w:szCs w:val="10"/>
                <w:color w:val="auto"/>
                <w:w w:val="95"/>
              </w:rPr>
              <w:t>(State of Incorporation)</w:t>
            </w:r>
          </w:p>
        </w:tc>
        <w:tc>
          <w:tcPr>
            <w:tcW w:w="3460" w:type="dxa"/>
            <w:vAlign w:val="bottom"/>
          </w:tcPr>
          <w:p>
            <w:pPr>
              <w:jc w:val="center"/>
              <w:ind w:left="745"/>
              <w:spacing w:after="0"/>
              <w:rPr>
                <w:sz w:val="20"/>
                <w:szCs w:val="20"/>
                <w:color w:val="auto"/>
              </w:rPr>
            </w:pPr>
            <w:r>
              <w:rPr>
                <w:rFonts w:ascii="Times New Roman" w:cs="Times New Roman" w:eastAsia="Times New Roman" w:hAnsi="Times New Roman"/>
                <w:sz w:val="10"/>
                <w:szCs w:val="10"/>
                <w:color w:val="auto"/>
                <w:w w:val="95"/>
              </w:rPr>
              <w:t>(Commission File Number)</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2"/>
          </w:tcPr>
          <w:p>
            <w:pPr>
              <w:jc w:val="center"/>
              <w:ind w:right="367"/>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314"/>
        </w:trPr>
        <w:tc>
          <w:tcPr>
            <w:tcW w:w="780" w:type="dxa"/>
            <w:vAlign w:val="bottom"/>
          </w:tcPr>
          <w:p>
            <w:pPr>
              <w:spacing w:after="0"/>
              <w:rPr>
                <w:sz w:val="24"/>
                <w:szCs w:val="24"/>
                <w:color w:val="auto"/>
              </w:rPr>
            </w:pPr>
          </w:p>
        </w:tc>
        <w:tc>
          <w:tcPr>
            <w:tcW w:w="2760" w:type="dxa"/>
            <w:vAlign w:val="bottom"/>
          </w:tcPr>
          <w:p>
            <w:pPr>
              <w:jc w:val="center"/>
              <w:ind w:right="926"/>
              <w:spacing w:after="0"/>
              <w:rPr>
                <w:sz w:val="20"/>
                <w:szCs w:val="20"/>
                <w:color w:val="auto"/>
              </w:rPr>
            </w:pPr>
            <w:r>
              <w:rPr>
                <w:rFonts w:ascii="Times New Roman" w:cs="Times New Roman" w:eastAsia="Times New Roman" w:hAnsi="Times New Roman"/>
                <w:sz w:val="12"/>
                <w:szCs w:val="12"/>
                <w:b w:val="1"/>
                <w:bCs w:val="1"/>
                <w:color w:val="auto"/>
              </w:rPr>
              <w:t>130 Merchant Street</w:t>
            </w:r>
          </w:p>
        </w:tc>
        <w:tc>
          <w:tcPr>
            <w:tcW w:w="3460" w:type="dxa"/>
            <w:vAlign w:val="bottom"/>
          </w:tcPr>
          <w:p>
            <w:pPr>
              <w:jc w:val="center"/>
              <w:ind w:right="1165"/>
              <w:spacing w:after="0"/>
              <w:rPr>
                <w:sz w:val="20"/>
                <w:szCs w:val="20"/>
                <w:color w:val="auto"/>
              </w:rPr>
            </w:pPr>
            <w:r>
              <w:rPr>
                <w:rFonts w:ascii="Times New Roman" w:cs="Times New Roman" w:eastAsia="Times New Roman" w:hAnsi="Times New Roman"/>
                <w:sz w:val="12"/>
                <w:szCs w:val="12"/>
                <w:b w:val="1"/>
                <w:bCs w:val="1"/>
                <w:color w:val="auto"/>
                <w:w w:val="99"/>
              </w:rPr>
              <w:t>Honolulu</w:t>
            </w:r>
          </w:p>
        </w:tc>
        <w:tc>
          <w:tcPr>
            <w:tcW w:w="40" w:type="dxa"/>
            <w:vAlign w:val="bottom"/>
          </w:tcPr>
          <w:p>
            <w:pPr>
              <w:spacing w:after="0"/>
              <w:rPr>
                <w:sz w:val="24"/>
                <w:szCs w:val="24"/>
                <w:color w:val="auto"/>
              </w:rPr>
            </w:pPr>
          </w:p>
        </w:tc>
        <w:tc>
          <w:tcPr>
            <w:tcW w:w="128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8"/>
              </w:rPr>
              <w:t>Hawaii</w:t>
            </w:r>
          </w:p>
        </w:tc>
        <w:tc>
          <w:tcPr>
            <w:tcW w:w="2660" w:type="dxa"/>
            <w:vAlign w:val="bottom"/>
            <w:gridSpan w:val="2"/>
          </w:tcPr>
          <w:p>
            <w:pPr>
              <w:jc w:val="right"/>
              <w:ind w:right="827"/>
              <w:spacing w:after="0"/>
              <w:rPr>
                <w:sz w:val="20"/>
                <w:szCs w:val="20"/>
                <w:color w:val="auto"/>
              </w:rPr>
            </w:pPr>
            <w:r>
              <w:rPr>
                <w:rFonts w:ascii="Times New Roman" w:cs="Times New Roman" w:eastAsia="Times New Roman" w:hAnsi="Times New Roman"/>
                <w:sz w:val="12"/>
                <w:szCs w:val="12"/>
                <w:b w:val="1"/>
                <w:bCs w:val="1"/>
                <w:color w:val="auto"/>
              </w:rPr>
              <w:t>96813</w:t>
            </w:r>
          </w:p>
        </w:tc>
      </w:tr>
      <w:tr>
        <w:trPr>
          <w:trHeight w:val="145"/>
        </w:trPr>
        <w:tc>
          <w:tcPr>
            <w:tcW w:w="780" w:type="dxa"/>
            <w:vAlign w:val="bottom"/>
          </w:tcPr>
          <w:p>
            <w:pPr>
              <w:spacing w:after="0"/>
              <w:rPr>
                <w:sz w:val="12"/>
                <w:szCs w:val="12"/>
                <w:color w:val="auto"/>
              </w:rPr>
            </w:pPr>
          </w:p>
        </w:tc>
        <w:tc>
          <w:tcPr>
            <w:tcW w:w="2760" w:type="dxa"/>
            <w:vAlign w:val="bottom"/>
          </w:tcPr>
          <w:p>
            <w:pPr>
              <w:jc w:val="center"/>
              <w:ind w:right="926"/>
              <w:spacing w:after="0"/>
              <w:rPr>
                <w:sz w:val="20"/>
                <w:szCs w:val="20"/>
                <w:color w:val="auto"/>
              </w:rPr>
            </w:pPr>
            <w:r>
              <w:rPr>
                <w:rFonts w:ascii="Times New Roman" w:cs="Times New Roman" w:eastAsia="Times New Roman" w:hAnsi="Times New Roman"/>
                <w:sz w:val="10"/>
                <w:szCs w:val="10"/>
                <w:color w:val="auto"/>
                <w:w w:val="96"/>
              </w:rPr>
              <w:t>(Address of principal executive offices)</w:t>
            </w:r>
          </w:p>
        </w:tc>
        <w:tc>
          <w:tcPr>
            <w:tcW w:w="3460" w:type="dxa"/>
            <w:vAlign w:val="bottom"/>
          </w:tcPr>
          <w:p>
            <w:pPr>
              <w:jc w:val="center"/>
              <w:ind w:right="1145"/>
              <w:spacing w:after="0"/>
              <w:rPr>
                <w:sz w:val="20"/>
                <w:szCs w:val="20"/>
                <w:color w:val="auto"/>
              </w:rPr>
            </w:pPr>
            <w:r>
              <w:rPr>
                <w:rFonts w:ascii="Times New Roman" w:cs="Times New Roman" w:eastAsia="Times New Roman" w:hAnsi="Times New Roman"/>
                <w:sz w:val="10"/>
                <w:szCs w:val="10"/>
                <w:color w:val="auto"/>
                <w:w w:val="91"/>
              </w:rPr>
              <w:t>(City)</w:t>
            </w:r>
          </w:p>
        </w:tc>
        <w:tc>
          <w:tcPr>
            <w:tcW w:w="40" w:type="dxa"/>
            <w:vAlign w:val="bottom"/>
          </w:tcPr>
          <w:p>
            <w:pPr>
              <w:spacing w:after="0"/>
              <w:rPr>
                <w:sz w:val="12"/>
                <w:szCs w:val="12"/>
                <w:color w:val="auto"/>
              </w:rPr>
            </w:pPr>
          </w:p>
        </w:tc>
        <w:tc>
          <w:tcPr>
            <w:tcW w:w="1280" w:type="dxa"/>
            <w:vAlign w:val="bottom"/>
            <w:gridSpan w:val="2"/>
          </w:tcPr>
          <w:p>
            <w:pPr>
              <w:jc w:val="center"/>
              <w:ind w:right="740"/>
              <w:spacing w:after="0"/>
              <w:rPr>
                <w:sz w:val="20"/>
                <w:szCs w:val="20"/>
                <w:color w:val="auto"/>
              </w:rPr>
            </w:pPr>
            <w:r>
              <w:rPr>
                <w:rFonts w:ascii="Times New Roman" w:cs="Times New Roman" w:eastAsia="Times New Roman" w:hAnsi="Times New Roman"/>
                <w:sz w:val="10"/>
                <w:szCs w:val="10"/>
                <w:color w:val="auto"/>
                <w:w w:val="97"/>
              </w:rPr>
              <w:t>(State)</w:t>
            </w:r>
          </w:p>
        </w:tc>
        <w:tc>
          <w:tcPr>
            <w:tcW w:w="740" w:type="dxa"/>
            <w:vAlign w:val="bottom"/>
          </w:tcPr>
          <w:p>
            <w:pPr>
              <w:spacing w:after="0"/>
              <w:rPr>
                <w:sz w:val="12"/>
                <w:szCs w:val="12"/>
                <w:color w:val="auto"/>
              </w:rPr>
            </w:pPr>
          </w:p>
        </w:tc>
        <w:tc>
          <w:tcPr>
            <w:tcW w:w="1920" w:type="dxa"/>
            <w:vAlign w:val="bottom"/>
          </w:tcPr>
          <w:p>
            <w:pPr>
              <w:jc w:val="center"/>
              <w:ind w:right="107"/>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278"/>
        </w:trPr>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2"/>
                <w:szCs w:val="12"/>
                <w:b w:val="1"/>
                <w:bCs w:val="1"/>
                <w:color w:val="auto"/>
              </w:rPr>
              <w:t>(888) 643-3888</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5"/>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705"/>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8"/>
        </w:trPr>
        <w:tc>
          <w:tcPr>
            <w:tcW w:w="3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of each class</w:t>
            </w:r>
          </w:p>
        </w:tc>
        <w:tc>
          <w:tcPr>
            <w:tcW w:w="3460" w:type="dxa"/>
            <w:vAlign w:val="bottom"/>
          </w:tcPr>
          <w:p>
            <w:pPr>
              <w:spacing w:after="0"/>
              <w:rPr>
                <w:sz w:val="17"/>
                <w:szCs w:val="17"/>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74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20"/>
        </w:trPr>
        <w:tc>
          <w:tcPr>
            <w:tcW w:w="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65"/>
        </w:trPr>
        <w:tc>
          <w:tcPr>
            <w:tcW w:w="3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7"/>
              </w:rPr>
              <w:t>BOH</w:t>
            </w:r>
          </w:p>
        </w:tc>
        <w:tc>
          <w:tcPr>
            <w:tcW w:w="7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46"/>
        </w:trPr>
        <w:tc>
          <w:tcPr>
            <w:tcW w:w="70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1"/>
                <w:szCs w:val="11"/>
                <w:b w:val="1"/>
                <w:bCs w:val="1"/>
                <w:color w:val="auto"/>
              </w:rPr>
              <w:t>Depository Shares, Each Representing 1/40</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Interest in a Share of 4.375% Fixed Rate Non-Cumulative Perpetual Preferred Stock,</w:t>
            </w:r>
          </w:p>
        </w:tc>
        <w:tc>
          <w:tcPr>
            <w:tcW w:w="4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BOH.PRA</w:t>
            </w:r>
          </w:p>
        </w:tc>
        <w:tc>
          <w:tcPr>
            <w:tcW w:w="74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4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55"/>
        </w:trPr>
        <w:tc>
          <w:tcPr>
            <w:tcW w:w="7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1"/>
                <w:szCs w:val="11"/>
                <w:b w:val="1"/>
                <w:bCs w:val="1"/>
                <w:color w:val="auto"/>
              </w:rPr>
              <w:t>Depository Shares, Each Representing 1/40</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Interest in a Share of 8.000% Fixed Rate Non-Cumulative Perpetual Preferred Stock,</w:t>
            </w:r>
          </w:p>
        </w:tc>
        <w:tc>
          <w:tcPr>
            <w:tcW w:w="4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7"/>
              </w:rPr>
              <w:t>BOH.PRB</w:t>
            </w:r>
          </w:p>
        </w:tc>
        <w:tc>
          <w:tcPr>
            <w:tcW w:w="74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4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r>
    </w:tbl>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32" w:lineRule="exact"/>
        <w:rPr>
          <w:sz w:val="24"/>
          <w:szCs w:val="24"/>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88"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502285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1042" w:right="399" w:bottom="1440" w:gutter="0" w:footer="0" w:header="0"/>
          <w:type w:val="continuous"/>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27" w:lineRule="exact"/>
        <w:rPr>
          <w:sz w:val="20"/>
          <w:szCs w:val="20"/>
          <w:color w:val="auto"/>
        </w:rPr>
      </w:pPr>
    </w:p>
    <w:p>
      <w:pPr>
        <w:ind w:left="8" w:right="300" w:firstLine="432"/>
        <w:spacing w:after="0" w:line="279" w:lineRule="auto"/>
        <w:rPr>
          <w:sz w:val="20"/>
          <w:szCs w:val="20"/>
          <w:color w:val="auto"/>
        </w:rPr>
      </w:pPr>
      <w:r>
        <w:rPr>
          <w:rFonts w:ascii="Times New Roman" w:cs="Times New Roman" w:eastAsia="Times New Roman" w:hAnsi="Times New Roman"/>
          <w:sz w:val="12"/>
          <w:szCs w:val="12"/>
          <w:color w:val="auto"/>
        </w:rPr>
        <w:t>On April 20, 2026, Bank of Hawaii Corporation announced its results of operations for the quarter ended March 31, 2026. The public announcement was made by means of a press release, the text of which is furnished as Exhibit 99.1 hereto and incorporated herein by reference.</w:t>
      </w:r>
    </w:p>
    <w:p>
      <w:pPr>
        <w:spacing w:after="0" w:line="89"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27"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3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080" w:type="dxa"/>
            <w:vAlign w:val="bottom"/>
          </w:tcPr>
          <w:p>
            <w:pPr>
              <w:spacing w:after="0"/>
              <w:rPr>
                <w:sz w:val="12"/>
                <w:szCs w:val="12"/>
                <w:color w:val="auto"/>
              </w:rPr>
            </w:pPr>
          </w:p>
        </w:tc>
      </w:tr>
      <w:tr>
        <w:trPr>
          <w:trHeight w:val="232"/>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 xml:space="preserve">April 20, 2026 Press Release: Bank of Hawaii Corporation First Quarter 2026 Financial Results. </w:t>
            </w:r>
            <w:r>
              <w:rPr>
                <w:rFonts w:ascii="Times New Roman" w:cs="Times New Roman" w:eastAsia="Times New Roman" w:hAnsi="Times New Roman"/>
                <w:sz w:val="12"/>
                <w:szCs w:val="12"/>
                <w:color w:val="000000"/>
              </w:rPr>
              <w:t>Any internet addresses provided in this release are for informational purposes only and are not intended</w:t>
            </w:r>
          </w:p>
        </w:tc>
      </w:tr>
      <w:tr>
        <w:trPr>
          <w:trHeight w:val="151"/>
        </w:trPr>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to be hyperlinks. Furnished herewith.</w:t>
            </w:r>
          </w:p>
        </w:tc>
        <w:tc>
          <w:tcPr>
            <w:tcW w:w="5080" w:type="dxa"/>
            <w:vAlign w:val="bottom"/>
          </w:tcPr>
          <w:p>
            <w:pPr>
              <w:spacing w:after="0"/>
              <w:rPr>
                <w:sz w:val="13"/>
                <w:szCs w:val="13"/>
                <w:color w:val="auto"/>
              </w:rPr>
            </w:pPr>
          </w:p>
        </w:tc>
      </w:tr>
      <w:tr>
        <w:trPr>
          <w:trHeight w:val="22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00" w:type="dxa"/>
            <w:vAlign w:val="bottom"/>
          </w:tcPr>
          <w:p>
            <w:pPr>
              <w:spacing w:after="0"/>
              <w:rPr>
                <w:sz w:val="19"/>
                <w:szCs w:val="19"/>
                <w:color w:val="auto"/>
              </w:rPr>
            </w:pPr>
          </w:p>
        </w:tc>
        <w:tc>
          <w:tcPr>
            <w:tcW w:w="3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Bank of Hawaii Corporation First Quarter 2026 Financial Report</w:t>
            </w:r>
          </w:p>
        </w:tc>
        <w:tc>
          <w:tcPr>
            <w:tcW w:w="6620" w:type="dxa"/>
            <w:vAlign w:val="bottom"/>
            <w:gridSpan w:val="2"/>
          </w:tcPr>
          <w:p>
            <w:pPr>
              <w:spacing w:after="0"/>
              <w:rPr>
                <w:sz w:val="19"/>
                <w:szCs w:val="19"/>
                <w:color w:val="auto"/>
              </w:rPr>
            </w:pPr>
          </w:p>
        </w:tc>
      </w:tr>
      <w:tr>
        <w:trPr>
          <w:trHeight w:val="259"/>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0" w:type="dxa"/>
            <w:vAlign w:val="bottom"/>
          </w:tcPr>
          <w:p>
            <w:pPr>
              <w:spacing w:after="0"/>
              <w:rPr>
                <w:sz w:val="22"/>
                <w:szCs w:val="22"/>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April 20, 2026</w:t>
            </w:r>
          </w:p>
        </w:tc>
        <w:tc>
          <w:tcPr>
            <w:tcW w:w="806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Bank of Hawaii Corporation</w:t>
            </w:r>
          </w:p>
        </w:tc>
      </w:tr>
      <w:tr>
        <w:trPr>
          <w:trHeight w:val="531"/>
        </w:trPr>
        <w:tc>
          <w:tcPr>
            <w:tcW w:w="3240" w:type="dxa"/>
            <w:vAlign w:val="bottom"/>
          </w:tcPr>
          <w:p>
            <w:pPr>
              <w:spacing w:after="0"/>
              <w:rPr>
                <w:sz w:val="24"/>
                <w:szCs w:val="24"/>
                <w:color w:val="auto"/>
              </w:rPr>
            </w:pPr>
          </w:p>
        </w:tc>
        <w:tc>
          <w:tcPr>
            <w:tcW w:w="270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Patrick M. McGuirk</w:t>
            </w:r>
          </w:p>
        </w:tc>
      </w:tr>
      <w:tr>
        <w:trPr>
          <w:trHeight w:val="160"/>
        </w:trPr>
        <w:tc>
          <w:tcPr>
            <w:tcW w:w="32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Patrick M. McGuirk</w:t>
            </w:r>
          </w:p>
        </w:tc>
      </w:tr>
      <w:tr>
        <w:trPr>
          <w:trHeight w:val="180"/>
        </w:trPr>
        <w:tc>
          <w:tcPr>
            <w:tcW w:w="32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Vice Chair and Chief Administrative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229870</wp:posOffset>
            </wp:positionV>
            <wp:extent cx="3771900" cy="121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Bank of Hawai‘i Corporation First Quarter 2026 Financial Results</w:t>
      </w:r>
    </w:p>
    <w:p>
      <w:pPr>
        <w:spacing w:after="0" w:line="167" w:lineRule="exact"/>
        <w:rPr>
          <w:sz w:val="20"/>
          <w:szCs w:val="20"/>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Diluted Earnings Per Common Share of $1.30</w:t>
      </w:r>
    </w:p>
    <w:p>
      <w:pPr>
        <w:spacing w:after="0" w:line="19" w:lineRule="exact"/>
        <w:rPr>
          <w:rFonts w:ascii="Times New Roman" w:cs="Times New Roman" w:eastAsia="Times New Roman" w:hAnsi="Times New Roman"/>
          <w:sz w:val="13"/>
          <w:szCs w:val="13"/>
          <w:b w:val="1"/>
          <w:bCs w:val="1"/>
          <w:color w:val="auto"/>
        </w:rPr>
      </w:pPr>
    </w:p>
    <w:p>
      <w:pPr>
        <w:ind w:left="1280" w:hanging="424"/>
        <w:spacing w:after="0" w:line="231" w:lineRule="auto"/>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Income of $57.4 Million</w:t>
      </w: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Interest Margin Increased to 2.74%, a 13 Basis Point Improvement</w:t>
      </w:r>
    </w:p>
    <w:p>
      <w:pPr>
        <w:spacing w:after="0" w:line="3" w:lineRule="exact"/>
        <w:rPr>
          <w:rFonts w:ascii="Times New Roman" w:cs="Times New Roman" w:eastAsia="Times New Roman" w:hAnsi="Times New Roman"/>
          <w:sz w:val="13"/>
          <w:szCs w:val="13"/>
          <w:b w:val="1"/>
          <w:bCs w:val="1"/>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Quarterly Cost of Deposits Decreased to 1.26%, a 17 Basis Point Improvement</w:t>
      </w:r>
    </w:p>
    <w:p>
      <w:pPr>
        <w:spacing w:after="0" w:line="3" w:lineRule="exact"/>
        <w:rPr>
          <w:rFonts w:ascii="Times New Roman" w:cs="Times New Roman" w:eastAsia="Times New Roman" w:hAnsi="Times New Roman"/>
          <w:sz w:val="13"/>
          <w:szCs w:val="13"/>
          <w:b w:val="1"/>
          <w:bCs w:val="1"/>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Repurchases of $15.1 Million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IMMEDIATE RELEASE</w:t>
      </w:r>
    </w:p>
    <w:p>
      <w:pPr>
        <w:spacing w:after="0" w:line="16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HONOLULU, HI (April 20, 2026) -- Bank of Hawai‘i Corporation (NYSE: BOH) (the “Company”) today reported diluted earnings per common share of $1.30 for the first quarter of 2026, compared with $1.39 during the linked quarter. Net income for the quarter was $57.4 million, down 5.7% from the linked quarter. The return on average common equity for the first quarter of 2026 was 13.90% compared with 15.03% during the linked quarter.</w:t>
      </w:r>
    </w:p>
    <w:p>
      <w:pPr>
        <w:spacing w:after="0" w:line="134"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“Bank of Hawai‘i began the year on firm footing,” said Jim Polk, President and CEO. “This performance underscores the strength and resilience of our franchise. Net interest income and net interest margin continued to improve, supported by disciplined balance sheet management and a stable deposit base. Total loans and leases and average noninterest-bearing deposits increased compared to the prior quarter. Credit quality continues to be strong, and we remain focused on expense management. As I step into this role, we are committed to executing our strategy, supporting our customers and communities, and building on our strong, established foundation.”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Financial Highlights</w:t>
      </w:r>
    </w:p>
    <w:p>
      <w:pPr>
        <w:spacing w:after="0" w:line="128" w:lineRule="exact"/>
        <w:rPr>
          <w:sz w:val="20"/>
          <w:szCs w:val="20"/>
          <w:color w:val="auto"/>
        </w:rPr>
      </w:pPr>
    </w:p>
    <w:p>
      <w:pPr>
        <w:jc w:val="both"/>
        <w:ind w:firstLine="432"/>
        <w:spacing w:after="0" w:line="167" w:lineRule="exact"/>
        <w:rPr>
          <w:sz w:val="20"/>
          <w:szCs w:val="20"/>
          <w:color w:val="auto"/>
        </w:rPr>
      </w:pPr>
      <w:r>
        <w:rPr>
          <w:rFonts w:ascii="Times New Roman" w:cs="Times New Roman" w:eastAsia="Times New Roman" w:hAnsi="Times New Roman"/>
          <w:sz w:val="13"/>
          <w:szCs w:val="13"/>
          <w:color w:val="auto"/>
        </w:rPr>
        <w:t>Net interest income for the first quarter of 2026 was $151.0 million, an increase of 3.9% from the linked quarter. The increase was primarily driven by a 22 basis point decline in our interest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bearing deposit rates following the FOMC interest rate cuts in late 2025, partially offset by a 4 basis point decline in earning asset yields as floating-rate assets repriced down more than the benefit from fixed-rate assets rolling off and being reinvested at higher rates (fixed asset repricing).</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Net interest margin was 2.74% in the first quarter of 2026, an increase of 13 basis points from the linked quarter, reflecting the same deposit cost and asset yield dynamics as previously mentioned.</w:t>
      </w:r>
    </w:p>
    <w:p>
      <w:pPr>
        <w:spacing w:after="0" w:line="16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The average yield on total earning assets was 4.03% and the average yield on loans and leases was 4.75% in the first quarter of 2026, down 4 basis points and 6 basis points, respectively, from the linked quarter. As discussed above, the decrease in loan yield from the linked quarter was primarily driven by floating-rate assets repricing to lower current interest rates, partially offset by fixed asset repricing.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17145</wp:posOffset>
            </wp:positionV>
            <wp:extent cx="322326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102870"/>
                    </a:xfrm>
                    <a:prstGeom prst="rect">
                      <a:avLst/>
                    </a:prstGeom>
                    <a:noFill/>
                  </pic:spPr>
                </pic:pic>
              </a:graphicData>
            </a:graphic>
          </wp:anchor>
        </w:drawing>
      </w:r>
    </w:p>
    <w:p>
      <w:pPr>
        <w:sectPr>
          <w:pgSz w:w="11900" w:h="16838" w:orient="portrait"/>
          <w:cols w:equalWidth="0" w:num="1">
            <w:col w:w="11300"/>
          </w:cols>
          <w:pgMar w:left="300" w:top="735" w:right="299" w:bottom="1440" w:gutter="0" w:footer="0" w:header="0"/>
        </w:sectPr>
      </w:pPr>
    </w:p>
    <w:bookmarkStart w:id="4" w:name="page5"/>
    <w:bookmarkEnd w:id="4"/>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First Quarter 2026 Financial Results</w:t>
      </w:r>
      <w:r>
        <w:rPr>
          <w:sz w:val="20"/>
          <w:szCs w:val="20"/>
          <w:color w:val="auto"/>
        </w:rPr>
        <w:tab/>
      </w:r>
      <w:r>
        <w:rPr>
          <w:rFonts w:ascii="Times New Roman" w:cs="Times New Roman" w:eastAsia="Times New Roman" w:hAnsi="Times New Roman"/>
          <w:sz w:val="12"/>
          <w:szCs w:val="12"/>
          <w:b w:val="1"/>
          <w:b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The average rate of interest-bearing deposits was 1.72% and the average quarterly rate of total deposits, including noninterest-bearing deposits, was 1.26%, down 22 basis points and 17 basis points, respectively, from the linked quarter. As discussed above, the decreases were primarily due to the repricing down of our interest-bearing deposits following the FOMC interest rate cuts in late 2025. The deposit beta for the downward rate cycle was 36% as of the first quarter of 2026.</w:t>
      </w:r>
    </w:p>
    <w:p>
      <w:pPr>
        <w:spacing w:after="0" w:line="125"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Noninterest income was $41.3 million in the first quarter of 2026, a decrease of 6.6% from the linked quarter. Noninterest income in the first quarter of 2026 included a $0.2 million charge related to a Visa Class B share conversion ratio change. Noninterest income in the linked quarter included an $18.1 million gain related to the sale of our merchant services portfolio, a $16.8 million loss on the sale of investments, and a $0.8 million charge related to a Visa Class B share conversion ratio change. Adjusted for these items, noninterest income for the first quarter of 2026 was down 5.1% from the linked quarter. The decrease was primarily due to decreases in other loan fees, which were elevated in the fourth quarter of 2025, as well as lower swap fees and trust and management fees, partially offset by higher BOLI income and annuity and insurance fees.</w:t>
      </w:r>
    </w:p>
    <w:p>
      <w:pPr>
        <w:spacing w:after="0" w:line="131"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Noninterest expense was $116.1 million in the first quarter of 2026, an increase of 6.0% from the linked quarter. Noninterest expense in the first quarter included $3.5 million in expenses related to the accelerated vesting of restricted stock awards pursuant to the retirement provision of performance-based restricted stock granted in 2024 and 2025 and $0.7 million in separation expenses. Noninterest expense in the linked quarter included a $1.4 million reduction in our FDIC special assessment charge and a $1.1 million donation to the Bank of Hawai‘i Foundation. Adjusted for these items, noninterest expense for the first quarter of 2026 increased by 1.9% from the linked quarter. The increase was primarily due to higher seasonal payroll expenses, net occupancy, equipment expenses, and professional fees, partially offset by lower FDIC insurance and other expenses.</w:t>
      </w:r>
    </w:p>
    <w:p>
      <w:pPr>
        <w:spacing w:after="0" w:line="131"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The effective tax rate for the first quarter of 2026 was 22.91% compared to 21.50% during the linked quarter. The higher effective tax rate in the current quarter as compared to the linked quarter was primarily due to lower benefits from certain tax advantaged investments and an increase in tax expense from discrete items.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Asset Quality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Company’s overall asset quality remained strong during the first quarter of 2026. Provision for credit losses for the first quarter of 2026 was $1.8 million, down $0.8 million from the linked quarter.</w:t>
      </w:r>
    </w:p>
    <w:p>
      <w:pPr>
        <w:spacing w:after="0" w:line="16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Total non-performing assets were $12.1 million at March 31, 2026, down $2.1 million from December 31, 2025. Non-performing assets as a percentage of total loans and leases and foreclosed real estate were 0.09% at the end of the quarter, a decrease of 1 basis point from the linked quarter.</w:t>
      </w:r>
    </w:p>
    <w:p>
      <w:pPr>
        <w:spacing w:after="0" w:line="11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Net loan and lease charge-offs during the first quarter of 2026 were $1.1 million or 3 basis points annualized of total average loans and leases outstanding. Gross charge-offs of $4.1 million were partially offset by gross recoveries of $3.0 million. Compared to the linked quarter, net loan and lease charge-offs decreased by $3.1 million or 9 basis points annualized on total average loans and leases outstanding.</w:t>
      </w:r>
    </w:p>
    <w:p>
      <w:pPr>
        <w:spacing w:after="0" w:line="12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3"/>
          <w:szCs w:val="13"/>
          <w:color w:val="auto"/>
        </w:rPr>
        <w:t>The allowance for credit losses on loans and leases was $147.0 million at March 31, 2026, an increase of $0.2 million from December 31, 2025. The ratio of the allowance for credit losses to total loans and leases outstanding was 1.04% at the end of the quarter, unchanged from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Balance Sheet</w:t>
      </w:r>
    </w:p>
    <w:p>
      <w:pPr>
        <w:spacing w:after="0" w:line="168"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Total assets were $23.9 billion at March 31, 2026, a decrease of 1.1% from December 31, 2025. The decrease from December 31, 2025 was primarily due to a reduction in cash and cash equivalents, partially offset by increases in available-for-sale securities and loans and leases.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more -</w:t>
      </w:r>
    </w:p>
    <w:p>
      <w:pPr>
        <w:sectPr>
          <w:pgSz w:w="11900" w:h="16838" w:orient="portrait"/>
          <w:cols w:equalWidth="0" w:num="1">
            <w:col w:w="11300"/>
          </w:cols>
          <w:pgMar w:left="300" w:top="699" w:right="299" w:bottom="1440" w:gutter="0" w:footer="0" w:header="0"/>
        </w:sectPr>
      </w:pPr>
    </w:p>
    <w:bookmarkStart w:id="5" w:name="page6"/>
    <w:bookmarkEnd w:id="5"/>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First Quarter 2026 Financial Results</w:t>
      </w:r>
      <w:r>
        <w:rPr>
          <w:sz w:val="20"/>
          <w:szCs w:val="20"/>
          <w:color w:val="auto"/>
        </w:rPr>
        <w:tab/>
      </w:r>
      <w:r>
        <w:rPr>
          <w:rFonts w:ascii="Times New Roman" w:cs="Times New Roman" w:eastAsia="Times New Roman" w:hAnsi="Times New Roman"/>
          <w:sz w:val="12"/>
          <w:szCs w:val="12"/>
          <w:b w:val="1"/>
          <w:bCs w:val="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The investment securities portfolio was $7.9 billion at March 31, 2026, an increase of 1.7% from December 31, 2025. The increase was primarily due to the purchases of available-for-sale investment securities, partially offset by the amortization of the portfolio. The investment securities portfolio remains largely comprised of securities issued by U.S. government agencies and U.S. government-sponsored enterprises.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Total loans and leases were $14.2 billion at March 31, 2026, an increase of 0.8% from December 31, 2025. Total commercial loans were $6.2 billion at March 31, 2026, an increase of 2.0% from December 31, 2025. The increase was primarily due to commercial mortgage production. Total consumer loans were $8.0 billion at March 31, 2026, a decrease of 0.1% from December 31, 2025. The decrease was primarily due to amortization and paydowns, partially offset by increased production in the residential mortgage portfolio.</w:t>
      </w:r>
    </w:p>
    <w:p>
      <w:pPr>
        <w:spacing w:after="0" w:line="1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Total deposits were $21.0 billion at March 31, 2026, a decrease of 1.1% from December 31, 2025. Noninterest-bearing deposits made up 27.0% of total deposit balances at March 31, 2026, down from 27.2% at December 31, 2025. Average total deposits were $20.9 billion for the first quarter of 2026, down 0.3% from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Capital and Dividends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Company’s capital levels remain well above regulatory well-capitalized minimums.</w:t>
      </w:r>
    </w:p>
    <w:p>
      <w:pPr>
        <w:spacing w:after="0" w:line="16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The Tier 1 Capital Ratio was 14.40% at March 31, 2026 compared with 14.49% at December 31, 2025. The decrease from December 31, 2025 was due to an increase in risk-weighted assets and share repurchases, as discussed below, partially offset by retained earnings growth. The Tier 1 Leverage Ratio was 8.62% at March 31, 2026, compared with 8.57% at December 31, 2025. The increase from December 31, 2025 was due to a decline in average assets and an increase in retained earnings.</w:t>
      </w:r>
    </w:p>
    <w:p>
      <w:pPr>
        <w:spacing w:after="0" w:line="125"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The Company repurchased 194.1 thousand shares of common stock at a total cost of $15.1 million under the share repurchase program in the first quarter of 2026. Total remaining buyback authority under the share repurchase program was $105.9 million at March 31, 2026.</w:t>
      </w:r>
    </w:p>
    <w:p>
      <w:pPr>
        <w:spacing w:after="0" w:line="118"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The Company’s Board of Directors declared a quarterly cash dividend of $0.70 per share on the Company’s outstanding common shares. The dividend will be payable on June 12, 2026 to shareholders of record at the close of business on May 29, 2026.</w:t>
      </w:r>
    </w:p>
    <w:p>
      <w:pPr>
        <w:spacing w:after="0" w:line="11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3"/>
          <w:szCs w:val="13"/>
          <w:color w:val="auto"/>
        </w:rPr>
        <w:t>On April 3, 2026, the Company announced that the Board of Directors declared a quarterly dividend payment of $10.94 per share, equivalent to $0.2735 per depositary share, of Fixed Rate Non-Cumulative Perpetual Preferred Stock, Series A, and a quarterly dividend payment of $20.00 per share, equivalent to $0.5000 per depositary share, of Fixed Rate Non-Cumulative Perpetual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May 1, 2026 to shareholders of record of the preferred stock as of the close of business on April 16,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Information</w:t>
      </w:r>
    </w:p>
    <w:p>
      <w:pPr>
        <w:spacing w:after="0" w:line="1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The Company will review its first quarter financial results today at 8:00 a.m. Hawai‘i Time (2:00 p.m. Eastern Time). The live call, including a slide presentation, will be accessible on the investor relations link of Bank of Hawai‘i Corporation's website, www.boh.com. The webcast can be accessed via the link: https://register-conf.media-server.com/register/BI42ddba51d0fa4b6dacb219e80a369fdb. A replay of the conference call will be available for one year beginning at approximately 11:00 a.m. Hawai‘i Time on Monday, April 20, 2026. The replay will be available on the Company's website, www.boh.com.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more -</w:t>
      </w:r>
    </w:p>
    <w:p>
      <w:pPr>
        <w:sectPr>
          <w:pgSz w:w="11900" w:h="16838" w:orient="portrait"/>
          <w:cols w:equalWidth="0" w:num="1">
            <w:col w:w="11300"/>
          </w:cols>
          <w:pgMar w:left="300" w:top="699" w:right="299" w:bottom="1440" w:gutter="0" w:footer="0" w:header="0"/>
        </w:sectPr>
      </w:pPr>
    </w:p>
    <w:bookmarkStart w:id="6" w:name="page7"/>
    <w:bookmarkEnd w:id="6"/>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First Quarter 2026 Financial Results</w:t>
      </w:r>
      <w:r>
        <w:rPr>
          <w:sz w:val="20"/>
          <w:szCs w:val="20"/>
          <w:color w:val="auto"/>
        </w:rPr>
        <w:tab/>
      </w:r>
      <w:r>
        <w:rPr>
          <w:rFonts w:ascii="Times New Roman" w:cs="Times New Roman" w:eastAsia="Times New Roman" w:hAnsi="Times New Roman"/>
          <w:sz w:val="12"/>
          <w:szCs w:val="12"/>
          <w:b w:val="1"/>
          <w:bCs w:val="1"/>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Investor Announcements</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Times New Roman" w:cs="Times New Roman" w:eastAsia="Times New Roman" w:hAnsi="Times New Roman"/>
          <w:sz w:val="13"/>
          <w:szCs w:val="13"/>
          <w:color w:val="auto"/>
        </w:rPr>
        <w:t xml:space="preserve">Investors and others should note that the Company intends to announce financial and other information to the Company’s investors using the Company’s investor relations website at </w:t>
      </w:r>
      <w:r>
        <w:rPr>
          <w:rFonts w:ascii="Times New Roman" w:cs="Times New Roman" w:eastAsia="Times New Roman" w:hAnsi="Times New Roman"/>
          <w:sz w:val="13"/>
          <w:szCs w:val="13"/>
          <w:u w:val="single" w:color="auto"/>
          <w:color w:val="auto"/>
        </w:rPr>
        <w:t>https://ir.boh.com</w:t>
      </w:r>
      <w:r>
        <w:rPr>
          <w:rFonts w:ascii="Times New Roman" w:cs="Times New Roman" w:eastAsia="Times New Roman" w:hAnsi="Times New Roman"/>
          <w:sz w:val="13"/>
          <w:szCs w:val="13"/>
          <w:color w:val="auto"/>
        </w:rPr>
        <w:t>, social media channels, press releases, SEC filings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168"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3"/>
          <w:szCs w:val="13"/>
          <w:color w:val="auto"/>
        </w:rPr>
        <w:t>This news release, and other statements made by the Company in connection with it may contain "forward-looking statements" (as defined in the Private Securities Litigation Reform Act of 1995) that involve risks and uncertainties that could cause results to be materially different from expectations. Forecasts of our financial results and condition, expectations for our operations and business prospects, and our assumptions used in those forecasts and expectations are examples of certain of these forward-looking statements. Do not unduly rely on forward-looking statements. Actual results might differ significantly from our forecasts and expectations because of a variety of factors. More information about these factors is contained in Bank of Hawai‘i Corporation's Annual Report on Form 10-K for the year ended December 31, 2025 which was filed with the U.S. Securities and Exchange Commission.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spacing w:after="0" w:line="143"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Bank of Hawai‘i Corporation is an independent regional financial services company serving businesses, consumers, and governments in Hawai‘i and the West Pacific. The Company's principal subsidiary, Bank of Hawai‘i, was founded in 1897. For more information about Bank of Hawai‘i Corporation, see the Company’s website, www.boh.com. Bank of Hawai‘i Corporation is a trade name of Bank of Hawaii Corporation.</w:t>
      </w:r>
    </w:p>
    <w:p>
      <w:pPr>
        <w:jc w:val="center"/>
        <w:spacing w:after="0"/>
        <w:rPr>
          <w:sz w:val="20"/>
          <w:szCs w:val="20"/>
          <w:color w:val="auto"/>
        </w:rPr>
      </w:pPr>
      <w:r>
        <w:rPr>
          <w:rFonts w:ascii="Times New Roman" w:cs="Times New Roman" w:eastAsia="Times New Roman" w:hAnsi="Times New Roman"/>
          <w:sz w:val="13"/>
          <w:szCs w:val="13"/>
          <w:color w:val="auto"/>
        </w:rPr>
        <w:t># # # #</w:t>
      </w:r>
    </w:p>
    <w:p>
      <w:pPr>
        <w:sectPr>
          <w:pgSz w:w="11900" w:h="16838" w:orient="portrait"/>
          <w:cols w:equalWidth="0" w:num="1">
            <w:col w:w="11300"/>
          </w:cols>
          <w:pgMar w:left="300" w:top="699"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4"/>
          <w:szCs w:val="14"/>
          <w:b w:val="1"/>
          <w:bCs w:val="1"/>
          <w:color w:val="auto"/>
        </w:rPr>
        <w:t>Bank of Hawai‘i Corporation and Subsidiaries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3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Financial Highlights</w:t>
            </w:r>
          </w:p>
        </w:tc>
        <w:tc>
          <w:tcPr>
            <w:tcW w:w="20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Table 1</w:t>
            </w:r>
          </w:p>
        </w:tc>
      </w:tr>
      <w:tr>
        <w:trPr>
          <w:trHeight w:val="98"/>
        </w:trPr>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jc w:val="right"/>
              <w:ind w:right="604"/>
              <w:spacing w:after="0"/>
              <w:rPr>
                <w:sz w:val="20"/>
                <w:szCs w:val="20"/>
                <w:color w:val="auto"/>
              </w:rPr>
            </w:pPr>
            <w:r>
              <w:rPr>
                <w:rFonts w:ascii="Times New Roman" w:cs="Times New Roman" w:eastAsia="Times New Roman" w:hAnsi="Times New Roman"/>
                <w:sz w:val="7"/>
                <w:szCs w:val="7"/>
                <w:b w:val="1"/>
                <w:bCs w:val="1"/>
                <w:color w:val="auto"/>
              </w:rPr>
              <w:t>Three Months Ended</w:t>
            </w: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92"/>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(dollars in thousands, except per share amounts)</w:t>
            </w:r>
          </w:p>
        </w:tc>
        <w:tc>
          <w:tcPr>
            <w:tcW w:w="2020" w:type="dxa"/>
            <w:vAlign w:val="bottom"/>
          </w:tcPr>
          <w:p>
            <w:pPr>
              <w:spacing w:after="0"/>
              <w:rPr>
                <w:sz w:val="8"/>
                <w:szCs w:val="8"/>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7"/>
                <w:szCs w:val="7"/>
                <w:b w:val="1"/>
                <w:bCs w:val="1"/>
                <w:color w:val="auto"/>
              </w:rPr>
              <w:t>March 31, 2026</w:t>
            </w: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jc w:val="right"/>
              <w:ind w:right="644"/>
              <w:spacing w:after="0"/>
              <w:rPr>
                <w:sz w:val="20"/>
                <w:szCs w:val="20"/>
                <w:color w:val="auto"/>
              </w:rPr>
            </w:pPr>
            <w:r>
              <w:rPr>
                <w:rFonts w:ascii="Times New Roman" w:cs="Times New Roman" w:eastAsia="Times New Roman" w:hAnsi="Times New Roman"/>
                <w:sz w:val="7"/>
                <w:szCs w:val="7"/>
                <w:b w:val="1"/>
                <w:bCs w:val="1"/>
                <w:color w:val="auto"/>
              </w:rPr>
              <w:t>December 31, 2025</w:t>
            </w:r>
          </w:p>
        </w:tc>
        <w:tc>
          <w:tcPr>
            <w:tcW w:w="400" w:type="dxa"/>
            <w:vAlign w:val="bottom"/>
          </w:tcPr>
          <w:p>
            <w:pPr>
              <w:spacing w:after="0"/>
              <w:rPr>
                <w:sz w:val="8"/>
                <w:szCs w:val="8"/>
                <w:color w:val="auto"/>
              </w:rPr>
            </w:pPr>
          </w:p>
        </w:tc>
        <w:tc>
          <w:tcPr>
            <w:tcW w:w="1500" w:type="dxa"/>
            <w:vAlign w:val="bottom"/>
          </w:tcPr>
          <w:p>
            <w:pPr>
              <w:jc w:val="right"/>
              <w:ind w:right="664"/>
              <w:spacing w:after="0"/>
              <w:rPr>
                <w:sz w:val="20"/>
                <w:szCs w:val="20"/>
                <w:color w:val="auto"/>
              </w:rPr>
            </w:pPr>
            <w:r>
              <w:rPr>
                <w:rFonts w:ascii="Times New Roman" w:cs="Times New Roman" w:eastAsia="Times New Roman" w:hAnsi="Times New Roman"/>
                <w:sz w:val="7"/>
                <w:szCs w:val="7"/>
                <w:b w:val="1"/>
                <w:bCs w:val="1"/>
                <w:color w:val="auto"/>
              </w:rPr>
              <w:t>March 31, 2025</w:t>
            </w:r>
          </w:p>
        </w:tc>
      </w:tr>
      <w:tr>
        <w:trPr>
          <w:trHeight w:val="23"/>
        </w:trPr>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95"/>
        </w:trPr>
        <w:tc>
          <w:tcPr>
            <w:tcW w:w="48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For the Period:</w:t>
            </w:r>
          </w:p>
        </w:tc>
        <w:tc>
          <w:tcPr>
            <w:tcW w:w="3060" w:type="dxa"/>
            <w:vAlign w:val="bottom"/>
            <w:tcBorders>
              <w:bottom w:val="single" w:sz="8" w:color="CCEEFF"/>
            </w:tcBorders>
            <w:gridSpan w:val="2"/>
            <w:shd w:val="clear" w:color="auto" w:fill="CCEEFF"/>
          </w:tcPr>
          <w:p>
            <w:pPr>
              <w:spacing w:after="0"/>
              <w:rPr>
                <w:sz w:val="8"/>
                <w:szCs w:val="8"/>
                <w:color w:val="auto"/>
              </w:rPr>
            </w:pPr>
          </w:p>
        </w:tc>
        <w:tc>
          <w:tcPr>
            <w:tcW w:w="20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5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500" w:type="dxa"/>
            <w:vAlign w:val="bottom"/>
            <w:tcBorders>
              <w:bottom w:val="single" w:sz="8" w:color="CCEEFF"/>
            </w:tcBorders>
            <w:shd w:val="clear" w:color="auto" w:fill="CCEEFF"/>
          </w:tcPr>
          <w:p>
            <w:pPr>
              <w:spacing w:after="0"/>
              <w:rPr>
                <w:sz w:val="8"/>
                <w:szCs w:val="8"/>
                <w:color w:val="auto"/>
              </w:rPr>
            </w:pP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Operating Results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Net Interest Income</w:t>
            </w:r>
          </w:p>
        </w:tc>
        <w:tc>
          <w:tcPr>
            <w:tcW w:w="3320" w:type="dxa"/>
            <w:vAlign w:val="bottom"/>
            <w:tcBorders>
              <w:bottom w:val="single" w:sz="8" w:color="CCEEFF"/>
            </w:tcBorders>
            <w:gridSpan w:val="2"/>
            <w:shd w:val="clear" w:color="auto" w:fill="CCEEFF"/>
          </w:tcPr>
          <w:p>
            <w:pPr>
              <w:jc w:val="right"/>
              <w:ind w:right="120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150,990</w:t>
            </w: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7"/>
                <w:szCs w:val="7"/>
                <w:color w:val="auto"/>
              </w:rPr>
              <w:t>$</w:t>
            </w: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145,374</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7"/>
                <w:szCs w:val="7"/>
                <w:color w:val="auto"/>
              </w:rPr>
              <w:t>$</w:t>
            </w: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125,807</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Provision for Credit Losses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1,750</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2,500</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3,250</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Total Noninterest Income</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41,332</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44,271</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44,058</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Total Noninterest Expense</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116,071</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109,518</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110,459</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Pre-Provision Net Revenue</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76,251</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80,127</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59,406</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Net Income</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57,432</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60,935</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43,985</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Net Income Available to Common Shareholders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52,163</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55,666</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38,716</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Basic Earnings Per Common Share</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1.32</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1.40</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0.98</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Diluted Earnings Per Common Share</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1.30</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1.39</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0.97</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Dividends Declared Per Common Share</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0.70</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0.70</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0.70</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Performance Ratios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spacing w:after="0"/>
              <w:rPr>
                <w:sz w:val="9"/>
                <w:szCs w:val="9"/>
                <w:color w:val="auto"/>
              </w:rPr>
            </w:pP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Return on Average Assets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0.97 %</w:t>
            </w:r>
          </w:p>
        </w:tc>
        <w:tc>
          <w:tcPr>
            <w:tcW w:w="360" w:type="dxa"/>
            <w:vAlign w:val="bottom"/>
          </w:tcPr>
          <w:p>
            <w:pPr>
              <w:spacing w:after="0"/>
              <w:rPr>
                <w:sz w:val="8"/>
                <w:szCs w:val="8"/>
                <w:color w:val="auto"/>
              </w:rPr>
            </w:pPr>
          </w:p>
        </w:tc>
        <w:tc>
          <w:tcPr>
            <w:tcW w:w="1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1.01 %</w:t>
            </w:r>
          </w:p>
        </w:tc>
        <w:tc>
          <w:tcPr>
            <w:tcW w:w="4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0.75 %</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Return on Average Shareholders' Equity</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12.47</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13.33</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10.65</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Return on Average Common Equity</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13.90</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15.03</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11.80</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 xml:space="preserve">Efficiency Ratio </w:t>
            </w:r>
            <w:r>
              <w:rPr>
                <w:rFonts w:ascii="Times New Roman" w:cs="Times New Roman" w:eastAsia="Times New Roman" w:hAnsi="Times New Roman"/>
                <w:sz w:val="9"/>
                <w:szCs w:val="9"/>
                <w:color w:val="auto"/>
                <w:vertAlign w:val="superscript"/>
              </w:rPr>
              <w:t>1</w:t>
            </w:r>
          </w:p>
        </w:tc>
        <w:tc>
          <w:tcPr>
            <w:tcW w:w="20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60.35</w:t>
            </w:r>
          </w:p>
        </w:tc>
        <w:tc>
          <w:tcPr>
            <w:tcW w:w="36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57.75</w:t>
            </w:r>
          </w:p>
        </w:tc>
        <w:tc>
          <w:tcPr>
            <w:tcW w:w="400" w:type="dxa"/>
            <w:vAlign w:val="bottom"/>
            <w:shd w:val="clear" w:color="auto" w:fill="CCEEFF"/>
          </w:tcPr>
          <w:p>
            <w:pPr>
              <w:spacing w:after="0"/>
              <w:rPr>
                <w:sz w:val="10"/>
                <w:szCs w:val="10"/>
                <w:color w:val="auto"/>
              </w:rPr>
            </w:pPr>
          </w:p>
        </w:tc>
        <w:tc>
          <w:tcPr>
            <w:tcW w:w="15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65.03</w:t>
            </w:r>
          </w:p>
        </w:tc>
      </w:tr>
      <w:tr>
        <w:trPr>
          <w:trHeight w:val="126"/>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 xml:space="preserve">Net Interest Margin </w:t>
            </w:r>
            <w:r>
              <w:rPr>
                <w:rFonts w:ascii="Times New Roman" w:cs="Times New Roman" w:eastAsia="Times New Roman" w:hAnsi="Times New Roman"/>
                <w:sz w:val="9"/>
                <w:szCs w:val="9"/>
                <w:color w:val="auto"/>
                <w:vertAlign w:val="superscript"/>
              </w:rPr>
              <w:t>2</w:t>
            </w:r>
          </w:p>
        </w:tc>
        <w:tc>
          <w:tcPr>
            <w:tcW w:w="2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2.74</w:t>
            </w:r>
          </w:p>
        </w:tc>
        <w:tc>
          <w:tcPr>
            <w:tcW w:w="360" w:type="dxa"/>
            <w:vAlign w:val="bottom"/>
          </w:tcPr>
          <w:p>
            <w:pPr>
              <w:spacing w:after="0"/>
              <w:rPr>
                <w:sz w:val="10"/>
                <w:szCs w:val="10"/>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2.61</w:t>
            </w:r>
          </w:p>
        </w:tc>
        <w:tc>
          <w:tcPr>
            <w:tcW w:w="400" w:type="dxa"/>
            <w:vAlign w:val="bottom"/>
          </w:tcPr>
          <w:p>
            <w:pPr>
              <w:spacing w:after="0"/>
              <w:rPr>
                <w:sz w:val="10"/>
                <w:szCs w:val="10"/>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2.32</w:t>
            </w:r>
          </w:p>
        </w:tc>
      </w:tr>
      <w:tr>
        <w:trPr>
          <w:trHeight w:val="12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 xml:space="preserve">Dividend Payout Ratio </w:t>
            </w:r>
            <w:r>
              <w:rPr>
                <w:rFonts w:ascii="Times New Roman" w:cs="Times New Roman" w:eastAsia="Times New Roman" w:hAnsi="Times New Roman"/>
                <w:sz w:val="9"/>
                <w:szCs w:val="9"/>
                <w:color w:val="auto"/>
                <w:vertAlign w:val="superscript"/>
              </w:rPr>
              <w:t>3</w:t>
            </w:r>
          </w:p>
        </w:tc>
        <w:tc>
          <w:tcPr>
            <w:tcW w:w="20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53.03</w:t>
            </w:r>
          </w:p>
        </w:tc>
        <w:tc>
          <w:tcPr>
            <w:tcW w:w="36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50.00</w:t>
            </w:r>
          </w:p>
        </w:tc>
        <w:tc>
          <w:tcPr>
            <w:tcW w:w="400" w:type="dxa"/>
            <w:vAlign w:val="bottom"/>
            <w:shd w:val="clear" w:color="auto" w:fill="CCEEFF"/>
          </w:tcPr>
          <w:p>
            <w:pPr>
              <w:spacing w:after="0"/>
              <w:rPr>
                <w:sz w:val="10"/>
                <w:szCs w:val="10"/>
                <w:color w:val="auto"/>
              </w:rPr>
            </w:pPr>
          </w:p>
        </w:tc>
        <w:tc>
          <w:tcPr>
            <w:tcW w:w="15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71.43</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Average Shareholders' Equity to Average Assets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7.81</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7.57</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7.09</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Average Balances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spacing w:after="0"/>
              <w:rPr>
                <w:sz w:val="9"/>
                <w:szCs w:val="9"/>
                <w:color w:val="auto"/>
              </w:rPr>
            </w:pP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Average Loans and Leases</w:t>
            </w:r>
          </w:p>
        </w:tc>
        <w:tc>
          <w:tcPr>
            <w:tcW w:w="3320" w:type="dxa"/>
            <w:vAlign w:val="bottom"/>
            <w:gridSpan w:val="2"/>
          </w:tcPr>
          <w:p>
            <w:pPr>
              <w:jc w:val="right"/>
              <w:ind w:right="120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14,083,875</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7"/>
                <w:szCs w:val="7"/>
                <w:color w:val="auto"/>
              </w:rPr>
              <w:t>$</w:t>
            </w: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14,013,532</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7"/>
                <w:szCs w:val="7"/>
                <w:color w:val="auto"/>
              </w:rPr>
              <w:t>$</w:t>
            </w: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14,062,173</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Average Assets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23,915,334</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23,958,401</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23,638,068</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Average Deposits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20,915,443</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20,980,199</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20,669,539</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Average Shareholders' Equity</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1,867,165</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1,814,000</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1,675,571</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Per Share of Common Stock</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Book Value</w:t>
            </w:r>
          </w:p>
        </w:tc>
        <w:tc>
          <w:tcPr>
            <w:tcW w:w="3320" w:type="dxa"/>
            <w:vAlign w:val="bottom"/>
            <w:tcBorders>
              <w:bottom w:val="single" w:sz="8" w:color="CCEEFF"/>
            </w:tcBorders>
            <w:gridSpan w:val="2"/>
            <w:shd w:val="clear" w:color="auto" w:fill="CCEEFF"/>
          </w:tcPr>
          <w:p>
            <w:pPr>
              <w:jc w:val="right"/>
              <w:ind w:right="120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38.10</w:t>
            </w: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7"/>
                <w:szCs w:val="7"/>
                <w:color w:val="auto"/>
              </w:rPr>
              <w:t>$</w:t>
            </w: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37.92</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7"/>
                <w:szCs w:val="7"/>
                <w:color w:val="auto"/>
              </w:rPr>
              <w:t>$</w:t>
            </w: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34.23</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Tangible Book Value</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37.31</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37.12</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33.43</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b w:val="1"/>
                <w:bCs w:val="1"/>
                <w:color w:val="auto"/>
              </w:rPr>
              <w:t>Market Value</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spacing w:after="0"/>
              <w:rPr>
                <w:sz w:val="9"/>
                <w:szCs w:val="9"/>
                <w:color w:val="auto"/>
              </w:rPr>
            </w:pPr>
          </w:p>
        </w:tc>
      </w:tr>
      <w:tr>
        <w:trPr>
          <w:trHeight w:val="103"/>
        </w:trPr>
        <w:tc>
          <w:tcPr>
            <w:tcW w:w="3540" w:type="dxa"/>
            <w:vAlign w:val="bottom"/>
            <w:gridSpan w:val="3"/>
          </w:tcPr>
          <w:p>
            <w:pPr>
              <w:ind w:left="100"/>
              <w:spacing w:after="0"/>
              <w:rPr>
                <w:sz w:val="20"/>
                <w:szCs w:val="20"/>
                <w:color w:val="auto"/>
              </w:rPr>
            </w:pPr>
            <w:r>
              <w:rPr>
                <w:rFonts w:ascii="Times New Roman" w:cs="Times New Roman" w:eastAsia="Times New Roman" w:hAnsi="Times New Roman"/>
                <w:sz w:val="7"/>
                <w:szCs w:val="7"/>
                <w:color w:val="auto"/>
              </w:rPr>
              <w:t>Closing</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74.25</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68.37</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68.97</w:t>
            </w:r>
          </w:p>
        </w:tc>
      </w:tr>
      <w:tr>
        <w:trPr>
          <w:trHeight w:val="23"/>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High</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80.61</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71.85</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76.00</w:t>
            </w:r>
          </w:p>
        </w:tc>
      </w:tr>
      <w:tr>
        <w:trPr>
          <w:trHeight w:val="103"/>
        </w:trPr>
        <w:tc>
          <w:tcPr>
            <w:tcW w:w="3540" w:type="dxa"/>
            <w:vAlign w:val="bottom"/>
            <w:gridSpan w:val="3"/>
          </w:tcPr>
          <w:p>
            <w:pPr>
              <w:ind w:left="100"/>
              <w:spacing w:after="0"/>
              <w:rPr>
                <w:sz w:val="20"/>
                <w:szCs w:val="20"/>
                <w:color w:val="auto"/>
              </w:rPr>
            </w:pPr>
            <w:r>
              <w:rPr>
                <w:rFonts w:ascii="Times New Roman" w:cs="Times New Roman" w:eastAsia="Times New Roman" w:hAnsi="Times New Roman"/>
                <w:sz w:val="7"/>
                <w:szCs w:val="7"/>
                <w:color w:val="auto"/>
              </w:rPr>
              <w:t>Low</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67.04</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59.36</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65.82</w:t>
            </w:r>
          </w:p>
        </w:tc>
      </w:tr>
      <w:tr>
        <w:trPr>
          <w:trHeight w:val="198"/>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March 31, 2026</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jc w:val="right"/>
              <w:ind w:right="664"/>
              <w:spacing w:after="0"/>
              <w:rPr>
                <w:sz w:val="20"/>
                <w:szCs w:val="20"/>
                <w:color w:val="auto"/>
              </w:rPr>
            </w:pPr>
            <w:r>
              <w:rPr>
                <w:rFonts w:ascii="Times New Roman" w:cs="Times New Roman" w:eastAsia="Times New Roman" w:hAnsi="Times New Roman"/>
                <w:sz w:val="7"/>
                <w:szCs w:val="7"/>
                <w:b w:val="1"/>
                <w:bCs w:val="1"/>
                <w:color w:val="auto"/>
              </w:rPr>
              <w:t>December 31, 2025</w:t>
            </w:r>
          </w:p>
        </w:tc>
        <w:tc>
          <w:tcPr>
            <w:tcW w:w="400" w:type="dxa"/>
            <w:vAlign w:val="bottom"/>
          </w:tcPr>
          <w:p>
            <w:pPr>
              <w:spacing w:after="0"/>
              <w:rPr>
                <w:sz w:val="17"/>
                <w:szCs w:val="17"/>
                <w:color w:val="auto"/>
              </w:rPr>
            </w:pPr>
          </w:p>
        </w:tc>
        <w:tc>
          <w:tcPr>
            <w:tcW w:w="1500" w:type="dxa"/>
            <w:vAlign w:val="bottom"/>
          </w:tcPr>
          <w:p>
            <w:pPr>
              <w:jc w:val="right"/>
              <w:ind w:right="664"/>
              <w:spacing w:after="0"/>
              <w:rPr>
                <w:sz w:val="20"/>
                <w:szCs w:val="20"/>
                <w:color w:val="auto"/>
              </w:rPr>
            </w:pPr>
            <w:r>
              <w:rPr>
                <w:rFonts w:ascii="Times New Roman" w:cs="Times New Roman" w:eastAsia="Times New Roman" w:hAnsi="Times New Roman"/>
                <w:sz w:val="7"/>
                <w:szCs w:val="7"/>
                <w:b w:val="1"/>
                <w:bCs w:val="1"/>
                <w:color w:val="auto"/>
              </w:rPr>
              <w:t>March 31, 2025</w:t>
            </w:r>
          </w:p>
        </w:tc>
      </w:tr>
      <w:tr>
        <w:trPr>
          <w:trHeight w:val="23"/>
        </w:trPr>
        <w:tc>
          <w:tcPr>
            <w:tcW w:w="560" w:type="dxa"/>
            <w:vAlign w:val="bottom"/>
            <w:tcBorders>
              <w:bottom w:val="single" w:sz="8" w:color="auto"/>
            </w:tcBorders>
            <w:gridSpan w:val="2"/>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95"/>
        </w:trPr>
        <w:tc>
          <w:tcPr>
            <w:tcW w:w="560" w:type="dxa"/>
            <w:vAlign w:val="bottom"/>
            <w:tcBorders>
              <w:bottom w:val="single" w:sz="8" w:color="auto"/>
            </w:tcBorders>
            <w:gridSpan w:val="2"/>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As of Period End:</w:t>
            </w:r>
          </w:p>
        </w:tc>
        <w:tc>
          <w:tcPr>
            <w:tcW w:w="2980" w:type="dxa"/>
            <w:vAlign w:val="bottom"/>
            <w:tcBorders>
              <w:bottom w:val="single" w:sz="8" w:color="CCEEFF"/>
            </w:tcBorders>
            <w:shd w:val="clear" w:color="auto" w:fill="CCEEFF"/>
          </w:tcPr>
          <w:p>
            <w:pPr>
              <w:spacing w:after="0"/>
              <w:rPr>
                <w:sz w:val="8"/>
                <w:szCs w:val="8"/>
                <w:color w:val="auto"/>
              </w:rPr>
            </w:pPr>
          </w:p>
        </w:tc>
        <w:tc>
          <w:tcPr>
            <w:tcW w:w="20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5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500" w:type="dxa"/>
            <w:vAlign w:val="bottom"/>
            <w:tcBorders>
              <w:bottom w:val="single" w:sz="8" w:color="CCEEFF"/>
            </w:tcBorders>
            <w:shd w:val="clear" w:color="auto" w:fill="CCEEFF"/>
          </w:tcPr>
          <w:p>
            <w:pPr>
              <w:spacing w:after="0"/>
              <w:rPr>
                <w:sz w:val="8"/>
                <w:szCs w:val="8"/>
                <w:color w:val="auto"/>
              </w:rPr>
            </w:pP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Balance Sheet Totals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Loans and Leases</w:t>
            </w:r>
          </w:p>
        </w:tc>
        <w:tc>
          <w:tcPr>
            <w:tcW w:w="3320" w:type="dxa"/>
            <w:vAlign w:val="bottom"/>
            <w:tcBorders>
              <w:bottom w:val="single" w:sz="8" w:color="CCEEFF"/>
            </w:tcBorders>
            <w:gridSpan w:val="2"/>
            <w:shd w:val="clear" w:color="auto" w:fill="CCEEFF"/>
          </w:tcPr>
          <w:p>
            <w:pPr>
              <w:jc w:val="right"/>
              <w:ind w:right="124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14,192,811</w:t>
            </w: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7"/>
                <w:szCs w:val="7"/>
                <w:color w:val="auto"/>
              </w:rPr>
              <w:t>$</w:t>
            </w: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14,082,050</w:t>
            </w:r>
          </w:p>
        </w:tc>
        <w:tc>
          <w:tcPr>
            <w:tcW w:w="40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7"/>
                <w:szCs w:val="7"/>
                <w:color w:val="auto"/>
              </w:rPr>
              <w:t>$</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14,115,323</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Total Assets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23,909,933</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24,176,364</w:t>
            </w:r>
          </w:p>
        </w:tc>
        <w:tc>
          <w:tcPr>
            <w:tcW w:w="400" w:type="dxa"/>
            <w:vAlign w:val="bottom"/>
          </w:tcPr>
          <w:p>
            <w:pPr>
              <w:spacing w:after="0"/>
              <w:rPr>
                <w:sz w:val="8"/>
                <w:szCs w:val="8"/>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rPr>
              <w:t>23,885,056</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Total Deposits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20,957,930</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21,188,495</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21,008,217</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Other Debt</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558,150</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558,176</w:t>
            </w:r>
          </w:p>
        </w:tc>
        <w:tc>
          <w:tcPr>
            <w:tcW w:w="400" w:type="dxa"/>
            <w:vAlign w:val="bottom"/>
          </w:tcPr>
          <w:p>
            <w:pPr>
              <w:spacing w:after="0"/>
              <w:rPr>
                <w:sz w:val="8"/>
                <w:szCs w:val="8"/>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rPr>
              <w:t>558,250</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Total Shareholders' Equity</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1,854,563</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1,851,212</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1,704,935</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Asset Quality</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Non-Performing Assets</w:t>
            </w:r>
          </w:p>
        </w:tc>
        <w:tc>
          <w:tcPr>
            <w:tcW w:w="3320" w:type="dxa"/>
            <w:vAlign w:val="bottom"/>
            <w:tcBorders>
              <w:bottom w:val="single" w:sz="8" w:color="CCEEFF"/>
            </w:tcBorders>
            <w:gridSpan w:val="2"/>
            <w:shd w:val="clear" w:color="auto" w:fill="CCEEFF"/>
          </w:tcPr>
          <w:p>
            <w:pPr>
              <w:jc w:val="right"/>
              <w:ind w:right="124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12,090</w:t>
            </w: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7"/>
                <w:szCs w:val="7"/>
                <w:color w:val="auto"/>
              </w:rPr>
              <w:t>$</w:t>
            </w: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14,171</w:t>
            </w:r>
          </w:p>
        </w:tc>
        <w:tc>
          <w:tcPr>
            <w:tcW w:w="40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7"/>
                <w:szCs w:val="7"/>
                <w:color w:val="auto"/>
              </w:rPr>
              <w:t>$</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17,451</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Allowance for Credit Losses - Loans and Leases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146,962</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146,766</w:t>
            </w:r>
          </w:p>
        </w:tc>
        <w:tc>
          <w:tcPr>
            <w:tcW w:w="400" w:type="dxa"/>
            <w:vAlign w:val="bottom"/>
          </w:tcPr>
          <w:p>
            <w:pPr>
              <w:spacing w:after="0"/>
              <w:rPr>
                <w:sz w:val="8"/>
                <w:szCs w:val="8"/>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rPr>
              <w:t>147,707</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 xml:space="preserve">Allowance to Loans and Leases Outstanding </w:t>
            </w:r>
            <w:r>
              <w:rPr>
                <w:rFonts w:ascii="Times New Roman" w:cs="Times New Roman" w:eastAsia="Times New Roman" w:hAnsi="Times New Roman"/>
                <w:sz w:val="4"/>
                <w:szCs w:val="4"/>
                <w:color w:val="auto"/>
              </w:rPr>
              <w:t>4</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1.04 %</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1.04 %</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1.05 %</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 xml:space="preserve">Capital Ratios </w:t>
            </w:r>
            <w:r>
              <w:rPr>
                <w:rFonts w:ascii="Times New Roman" w:cs="Times New Roman" w:eastAsia="Times New Roman" w:hAnsi="Times New Roman"/>
                <w:sz w:val="4"/>
                <w:szCs w:val="4"/>
                <w:b w:val="1"/>
                <w:bCs w:val="1"/>
                <w:color w:val="auto"/>
              </w:rPr>
              <w:t>5</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 xml:space="preserve">Common Equity Tier 1 Capital Ratio </w:t>
            </w:r>
            <w:r>
              <w:rPr>
                <w:rFonts w:ascii="Times New Roman" w:cs="Times New Roman" w:eastAsia="Times New Roman" w:hAnsi="Times New Roman"/>
                <w:sz w:val="4"/>
                <w:szCs w:val="4"/>
                <w:color w:val="auto"/>
              </w:rPr>
              <w:t>6</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12.06 %</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7"/>
                <w:szCs w:val="7"/>
                <w:color w:val="auto"/>
              </w:rPr>
              <w:t>12.14 %</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11.58 %</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Tier 1 Capital Ratio</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14.40</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14.49</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13.93</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Total Capital Ratio</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15.44</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15.54</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14.97</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Tier 1 Leverage Ratio</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8.62</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8.57</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8.36</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Total Shareholders' Equity to Total Assets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7.76</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7.66</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7.14</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 xml:space="preserve">Tangible Common Equity to Tangible Assets </w:t>
            </w:r>
            <w:r>
              <w:rPr>
                <w:rFonts w:ascii="Times New Roman" w:cs="Times New Roman" w:eastAsia="Times New Roman" w:hAnsi="Times New Roman"/>
                <w:sz w:val="4"/>
                <w:szCs w:val="4"/>
                <w:color w:val="auto"/>
              </w:rPr>
              <w:t>7</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6.19</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6.11</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5.57</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 xml:space="preserve">Tangible Common Equity to Risk-Weighted Assets </w:t>
            </w:r>
            <w:r>
              <w:rPr>
                <w:rFonts w:ascii="Times New Roman" w:cs="Times New Roman" w:eastAsia="Times New Roman" w:hAnsi="Times New Roman"/>
                <w:sz w:val="4"/>
                <w:szCs w:val="4"/>
                <w:color w:val="auto"/>
              </w:rPr>
              <w:t>7</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10.28</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10.35</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9.28</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Non-Financial Data</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6"/>
        </w:trPr>
        <w:tc>
          <w:tcPr>
            <w:tcW w:w="3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Full-Time Equivalent Employees</w:t>
            </w:r>
          </w:p>
        </w:tc>
        <w:tc>
          <w:tcPr>
            <w:tcW w:w="202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1,866</w:t>
            </w:r>
          </w:p>
        </w:tc>
        <w:tc>
          <w:tcPr>
            <w:tcW w:w="360" w:type="dxa"/>
            <w:vAlign w:val="bottom"/>
            <w:tcBorders>
              <w:bottom w:val="single" w:sz="8" w:color="CCEEFF"/>
            </w:tcBorders>
            <w:shd w:val="clear" w:color="auto" w:fill="CCEEFF"/>
          </w:tcPr>
          <w:p>
            <w:pPr>
              <w:spacing w:after="0"/>
              <w:rPr>
                <w:sz w:val="9"/>
                <w:szCs w:val="9"/>
                <w:color w:val="auto"/>
              </w:rPr>
            </w:pPr>
          </w:p>
        </w:tc>
        <w:tc>
          <w:tcPr>
            <w:tcW w:w="15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1,877</w:t>
            </w:r>
          </w:p>
        </w:tc>
        <w:tc>
          <w:tcPr>
            <w:tcW w:w="40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1,876</w:t>
            </w:r>
          </w:p>
        </w:tc>
      </w:tr>
      <w:tr>
        <w:trPr>
          <w:trHeight w:val="103"/>
        </w:trPr>
        <w:tc>
          <w:tcPr>
            <w:tcW w:w="354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Branches</w:t>
            </w:r>
          </w:p>
        </w:tc>
        <w:tc>
          <w:tcPr>
            <w:tcW w:w="20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7"/>
                <w:szCs w:val="7"/>
                <w:color w:val="auto"/>
              </w:rPr>
              <w:t>52</w:t>
            </w:r>
          </w:p>
        </w:tc>
        <w:tc>
          <w:tcPr>
            <w:tcW w:w="360" w:type="dxa"/>
            <w:vAlign w:val="bottom"/>
          </w:tcPr>
          <w:p>
            <w:pPr>
              <w:spacing w:after="0"/>
              <w:rPr>
                <w:sz w:val="8"/>
                <w:szCs w:val="8"/>
                <w:color w:val="auto"/>
              </w:rPr>
            </w:pPr>
          </w:p>
        </w:tc>
        <w:tc>
          <w:tcPr>
            <w:tcW w:w="1580" w:type="dxa"/>
            <w:vAlign w:val="bottom"/>
          </w:tcPr>
          <w:p>
            <w:pPr>
              <w:jc w:val="right"/>
              <w:ind w:right="104"/>
              <w:spacing w:after="0"/>
              <w:rPr>
                <w:sz w:val="20"/>
                <w:szCs w:val="20"/>
                <w:color w:val="auto"/>
              </w:rPr>
            </w:pPr>
            <w:r>
              <w:rPr>
                <w:rFonts w:ascii="Times New Roman" w:cs="Times New Roman" w:eastAsia="Times New Roman" w:hAnsi="Times New Roman"/>
                <w:sz w:val="7"/>
                <w:szCs w:val="7"/>
                <w:color w:val="auto"/>
              </w:rPr>
              <w:t>51</w:t>
            </w:r>
          </w:p>
        </w:tc>
        <w:tc>
          <w:tcPr>
            <w:tcW w:w="400" w:type="dxa"/>
            <w:vAlign w:val="bottom"/>
          </w:tcPr>
          <w:p>
            <w:pPr>
              <w:spacing w:after="0"/>
              <w:rPr>
                <w:sz w:val="8"/>
                <w:szCs w:val="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50</w:t>
            </w:r>
          </w:p>
        </w:tc>
      </w:tr>
      <w:tr>
        <w:trPr>
          <w:trHeight w:val="23"/>
        </w:trPr>
        <w:tc>
          <w:tcPr>
            <w:tcW w:w="56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7"/>
                <w:szCs w:val="7"/>
                <w:color w:val="auto"/>
              </w:rPr>
              <w:t>ATMs</w:t>
            </w:r>
          </w:p>
        </w:tc>
        <w:tc>
          <w:tcPr>
            <w:tcW w:w="20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6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7"/>
                <w:szCs w:val="7"/>
                <w:color w:val="auto"/>
              </w:rPr>
              <w:t>319</w:t>
            </w:r>
          </w:p>
        </w:tc>
        <w:tc>
          <w:tcPr>
            <w:tcW w:w="360" w:type="dxa"/>
            <w:vAlign w:val="bottom"/>
            <w:shd w:val="clear" w:color="auto" w:fill="CCEEFF"/>
          </w:tcPr>
          <w:p>
            <w:pPr>
              <w:spacing w:after="0"/>
              <w:rPr>
                <w:sz w:val="8"/>
                <w:szCs w:val="8"/>
                <w:color w:val="auto"/>
              </w:rPr>
            </w:pPr>
          </w:p>
        </w:tc>
        <w:tc>
          <w:tcPr>
            <w:tcW w:w="15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7"/>
                <w:szCs w:val="7"/>
                <w:color w:val="auto"/>
              </w:rPr>
              <w:t>320</w:t>
            </w:r>
          </w:p>
        </w:tc>
        <w:tc>
          <w:tcPr>
            <w:tcW w:w="400" w:type="dxa"/>
            <w:vAlign w:val="bottom"/>
            <w:shd w:val="clear" w:color="auto" w:fill="CCEEFF"/>
          </w:tcPr>
          <w:p>
            <w:pPr>
              <w:spacing w:after="0"/>
              <w:rPr>
                <w:sz w:val="8"/>
                <w:szCs w:val="8"/>
                <w:color w:val="auto"/>
              </w:rPr>
            </w:pPr>
          </w:p>
        </w:tc>
        <w:tc>
          <w:tcPr>
            <w:tcW w:w="15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316</w:t>
            </w:r>
          </w:p>
        </w:tc>
      </w:tr>
      <w:tr>
        <w:trPr>
          <w:trHeight w:val="23"/>
        </w:trPr>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28" w:hanging="28"/>
        <w:spacing w:after="0"/>
        <w:tabs>
          <w:tab w:leader="none" w:pos="28" w:val="left"/>
        </w:tabs>
        <w:numPr>
          <w:ilvl w:val="0"/>
          <w:numId w:val="4"/>
        </w:numPr>
        <w:rPr>
          <w:rFonts w:ascii="Times New Roman" w:cs="Times New Roman" w:eastAsia="Times New Roman" w:hAnsi="Times New Roman"/>
          <w:sz w:val="5"/>
          <w:szCs w:val="5"/>
          <w:color w:val="auto"/>
        </w:rPr>
      </w:pPr>
      <w:r>
        <w:rPr>
          <w:rFonts w:ascii="Times New Roman" w:cs="Times New Roman" w:eastAsia="Times New Roman" w:hAnsi="Times New Roman"/>
          <w:sz w:val="7"/>
          <w:szCs w:val="7"/>
          <w:color w:val="auto"/>
        </w:rPr>
        <w:t>Efficiency ratio is defined as noninterest expense divided by total revenue (net interest income and total noninterest income).</w:t>
      </w:r>
    </w:p>
    <w:p>
      <w:pPr>
        <w:spacing w:after="0" w:line="13" w:lineRule="exact"/>
        <w:rPr>
          <w:rFonts w:ascii="Times New Roman" w:cs="Times New Roman" w:eastAsia="Times New Roman" w:hAnsi="Times New Roman"/>
          <w:sz w:val="5"/>
          <w:szCs w:val="5"/>
          <w:color w:val="auto"/>
        </w:rPr>
      </w:pPr>
    </w:p>
    <w:p>
      <w:pPr>
        <w:ind w:left="8"/>
        <w:spacing w:after="0" w:line="196" w:lineRule="auto"/>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2</w:t>
      </w:r>
      <w:r>
        <w:rPr>
          <w:rFonts w:ascii="Times New Roman" w:cs="Times New Roman" w:eastAsia="Times New Roman" w:hAnsi="Times New Roman"/>
          <w:sz w:val="7"/>
          <w:szCs w:val="7"/>
          <w:color w:val="auto"/>
        </w:rPr>
        <w:t xml:space="preserve"> Net interest margin is defined as net interest income, on a taxable-equivalent basis, as a percentage of average earning assets.</w:t>
      </w:r>
    </w:p>
    <w:p>
      <w:pPr>
        <w:ind w:left="8"/>
        <w:spacing w:after="0"/>
        <w:rPr>
          <w:rFonts w:ascii="Times New Roman" w:cs="Times New Roman" w:eastAsia="Times New Roman" w:hAnsi="Times New Roman"/>
          <w:sz w:val="5"/>
          <w:szCs w:val="5"/>
          <w:color w:val="auto"/>
        </w:rPr>
      </w:pPr>
      <w:r>
        <w:rPr>
          <w:rFonts w:ascii="Times New Roman" w:cs="Times New Roman" w:eastAsia="Times New Roman" w:hAnsi="Times New Roman"/>
          <w:sz w:val="5"/>
          <w:szCs w:val="5"/>
          <w:color w:val="auto"/>
        </w:rPr>
        <w:t xml:space="preserve">3 </w:t>
      </w:r>
      <w:r>
        <w:rPr>
          <w:rFonts w:ascii="Times New Roman" w:cs="Times New Roman" w:eastAsia="Times New Roman" w:hAnsi="Times New Roman"/>
          <w:sz w:val="7"/>
          <w:szCs w:val="7"/>
          <w:color w:val="auto"/>
        </w:rPr>
        <w:t>Dividend payout ratio is defined as dividends declared per common share divided by basic earnings per common share.</w:t>
      </w:r>
    </w:p>
    <w:p>
      <w:pPr>
        <w:spacing w:after="0" w:line="5" w:lineRule="exact"/>
        <w:rPr>
          <w:rFonts w:ascii="Times New Roman" w:cs="Times New Roman" w:eastAsia="Times New Roman" w:hAnsi="Times New Roman"/>
          <w:sz w:val="5"/>
          <w:szCs w:val="5"/>
          <w:color w:val="auto"/>
        </w:rPr>
      </w:pPr>
    </w:p>
    <w:p>
      <w:pPr>
        <w:ind w:left="8"/>
        <w:spacing w:after="0" w:line="217" w:lineRule="auto"/>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4</w:t>
      </w:r>
      <w:r>
        <w:rPr>
          <w:rFonts w:ascii="Times New Roman" w:cs="Times New Roman" w:eastAsia="Times New Roman" w:hAnsi="Times New Roman"/>
          <w:sz w:val="7"/>
          <w:szCs w:val="7"/>
          <w:color w:val="auto"/>
        </w:rPr>
        <w:t xml:space="preserve"> The numerator comprises the Allowance for Credit Losses - Loans and Leases.</w:t>
      </w:r>
    </w:p>
    <w:p>
      <w:pPr>
        <w:ind w:left="8"/>
        <w:spacing w:after="0" w:line="187" w:lineRule="auto"/>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5</w:t>
      </w:r>
      <w:r>
        <w:rPr>
          <w:rFonts w:ascii="Times New Roman" w:cs="Times New Roman" w:eastAsia="Times New Roman" w:hAnsi="Times New Roman"/>
          <w:sz w:val="7"/>
          <w:szCs w:val="7"/>
          <w:color w:val="auto"/>
        </w:rPr>
        <w:t xml:space="preserve"> Regulatory capital ratios as of March 31, 2026 are preliminary.</w:t>
      </w:r>
    </w:p>
    <w:p>
      <w:pPr>
        <w:ind w:left="8"/>
        <w:spacing w:after="0" w:line="208" w:lineRule="auto"/>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6</w:t>
      </w:r>
      <w:r>
        <w:rPr>
          <w:rFonts w:ascii="Times New Roman" w:cs="Times New Roman" w:eastAsia="Times New Roman" w:hAnsi="Times New Roman"/>
          <w:sz w:val="7"/>
          <w:szCs w:val="7"/>
          <w:color w:val="auto"/>
        </w:rPr>
        <w:t xml:space="preserve"> Capital Ratio as of December 31, 2025 has been updated to reflect final reported ratio.</w:t>
      </w:r>
    </w:p>
    <w:p>
      <w:pPr>
        <w:ind w:left="8"/>
        <w:spacing w:after="0"/>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7</w:t>
      </w:r>
      <w:r>
        <w:rPr>
          <w:rFonts w:ascii="Times New Roman" w:cs="Times New Roman" w:eastAsia="Times New Roman" w:hAnsi="Times New Roman"/>
          <w:sz w:val="7"/>
          <w:szCs w:val="7"/>
          <w:color w:val="auto"/>
        </w:rPr>
        <w:t xml:space="preserve"> Tangible common equity to tangible assets and tangible common equity to risk-weighted assets are Non-GAAP financial measures. Tangible common equity is defined by the Company as common shareholders' equity minus goodwill. See Table 2 “Reconciliation of Non-GAAP Financial Measures”.</w:t>
      </w:r>
    </w:p>
    <w:p>
      <w:pPr>
        <w:sectPr>
          <w:pgSz w:w="11900" w:h="16838" w:orient="portrait"/>
          <w:cols w:equalWidth="0" w:num="1">
            <w:col w:w="11308"/>
          </w:cols>
          <w:pgMar w:left="292" w:top="767"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w:t>
            </w:r>
          </w:p>
        </w:tc>
        <w:tc>
          <w:tcPr>
            <w:tcW w:w="1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2</w:t>
            </w:r>
          </w:p>
        </w:tc>
      </w:tr>
      <w:tr>
        <w:trPr>
          <w:trHeight w:val="128"/>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7"/>
                <w:szCs w:val="7"/>
                <w:color w:val="auto"/>
              </w:rPr>
              <w:t>(dollars in thousands)</w:t>
            </w:r>
          </w:p>
        </w:tc>
        <w:tc>
          <w:tcPr>
            <w:tcW w:w="1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9"/>
                <w:szCs w:val="9"/>
                <w:b w:val="1"/>
                <w:bCs w:val="1"/>
                <w:color w:val="auto"/>
              </w:rPr>
              <w:t>March 31, 2026</w:t>
            </w: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4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9"/>
                <w:szCs w:val="9"/>
                <w:b w:val="1"/>
                <w:bCs w:val="1"/>
                <w:color w:val="auto"/>
              </w:rPr>
              <w:t>March 31, 2025</w:t>
            </w:r>
          </w:p>
        </w:tc>
      </w:tr>
      <w:tr>
        <w:trPr>
          <w:trHeight w:val="161"/>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1,854,563</w:t>
            </w:r>
          </w:p>
        </w:tc>
        <w:tc>
          <w:tcPr>
            <w:tcW w:w="3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1,851,212</w:t>
            </w:r>
          </w:p>
        </w:tc>
        <w:tc>
          <w:tcPr>
            <w:tcW w:w="4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1,704,935</w:t>
            </w:r>
          </w:p>
        </w:tc>
      </w:tr>
      <w:tr>
        <w:trPr>
          <w:trHeight w:val="156"/>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Less: Preferred Stock</w:t>
            </w:r>
          </w:p>
        </w:tc>
        <w:tc>
          <w:tcPr>
            <w:tcW w:w="1300" w:type="dxa"/>
            <w:vAlign w:val="bottom"/>
          </w:tcPr>
          <w:p>
            <w:pPr>
              <w:spacing w:after="0"/>
              <w:rPr>
                <w:sz w:val="13"/>
                <w:szCs w:val="13"/>
                <w:color w:val="auto"/>
              </w:rPr>
            </w:pP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345,000</w:t>
            </w:r>
          </w:p>
        </w:tc>
        <w:tc>
          <w:tcPr>
            <w:tcW w:w="380" w:type="dxa"/>
            <w:vAlign w:val="bottom"/>
          </w:tcPr>
          <w:p>
            <w:pPr>
              <w:spacing w:after="0"/>
              <w:rPr>
                <w:sz w:val="13"/>
                <w:szCs w:val="13"/>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345,000</w:t>
            </w:r>
          </w:p>
        </w:tc>
        <w:tc>
          <w:tcPr>
            <w:tcW w:w="400" w:type="dxa"/>
            <w:vAlign w:val="bottom"/>
          </w:tcPr>
          <w:p>
            <w:pPr>
              <w:spacing w:after="0"/>
              <w:rPr>
                <w:sz w:val="13"/>
                <w:szCs w:val="13"/>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345,000</w:t>
            </w:r>
          </w:p>
        </w:tc>
      </w:tr>
      <w:tr>
        <w:trPr>
          <w:trHeight w:val="162"/>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Goodwill</w:t>
            </w:r>
          </w:p>
        </w:tc>
        <w:tc>
          <w:tcPr>
            <w:tcW w:w="13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4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31,517</w:t>
            </w:r>
          </w:p>
        </w:tc>
      </w:tr>
      <w:tr>
        <w:trPr>
          <w:trHeight w:val="151"/>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Tangible Common Equity</w:t>
            </w:r>
          </w:p>
        </w:tc>
        <w:tc>
          <w:tcPr>
            <w:tcW w:w="1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1,478,046</w:t>
            </w:r>
          </w:p>
        </w:tc>
        <w:tc>
          <w:tcPr>
            <w:tcW w:w="3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1,474,695</w:t>
            </w:r>
          </w:p>
        </w:tc>
        <w:tc>
          <w:tcPr>
            <w:tcW w:w="4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1,328,418</w:t>
            </w:r>
          </w:p>
        </w:tc>
      </w:tr>
      <w:tr>
        <w:trPr>
          <w:trHeight w:val="131"/>
        </w:trPr>
        <w:tc>
          <w:tcPr>
            <w:tcW w:w="5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55"/>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23,909,933</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24,176,364</w:t>
            </w:r>
          </w:p>
        </w:tc>
        <w:tc>
          <w:tcPr>
            <w:tcW w:w="4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23,885,056</w:t>
            </w:r>
          </w:p>
        </w:tc>
      </w:tr>
      <w:tr>
        <w:trPr>
          <w:trHeight w:val="162"/>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Goodwill</w:t>
            </w:r>
          </w:p>
        </w:tc>
        <w:tc>
          <w:tcPr>
            <w:tcW w:w="13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4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31,517</w:t>
            </w:r>
          </w:p>
        </w:tc>
      </w:tr>
      <w:tr>
        <w:trPr>
          <w:trHeight w:val="151"/>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Tangible Assets</w:t>
            </w:r>
          </w:p>
        </w:tc>
        <w:tc>
          <w:tcPr>
            <w:tcW w:w="1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23,878,416</w:t>
            </w:r>
          </w:p>
        </w:tc>
        <w:tc>
          <w:tcPr>
            <w:tcW w:w="3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24,144,847</w:t>
            </w:r>
          </w:p>
        </w:tc>
        <w:tc>
          <w:tcPr>
            <w:tcW w:w="4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23,853,539</w:t>
            </w:r>
          </w:p>
        </w:tc>
      </w:tr>
      <w:tr>
        <w:trPr>
          <w:trHeight w:val="131"/>
        </w:trPr>
        <w:tc>
          <w:tcPr>
            <w:tcW w:w="5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62"/>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Risk-Weighted Assets, determined in accordance with prescribed regulatory requirements </w:t>
            </w:r>
            <w:r>
              <w:rPr>
                <w:rFonts w:ascii="Times New Roman" w:cs="Times New Roman" w:eastAsia="Times New Roman" w:hAnsi="Times New Roman"/>
                <w:sz w:val="14"/>
                <w:szCs w:val="14"/>
                <w:color w:val="auto"/>
                <w:vertAlign w:val="superscript"/>
              </w:rPr>
              <w:t>1, 2</w:t>
            </w:r>
          </w:p>
        </w:tc>
        <w:tc>
          <w:tcPr>
            <w:tcW w:w="1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14,382,622</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14,246,238</w:t>
            </w:r>
          </w:p>
        </w:tc>
        <w:tc>
          <w:tcPr>
            <w:tcW w:w="4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14,319,932</w:t>
            </w:r>
          </w:p>
        </w:tc>
      </w:tr>
      <w:tr>
        <w:trPr>
          <w:trHeight w:val="144"/>
        </w:trPr>
        <w:tc>
          <w:tcPr>
            <w:tcW w:w="50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55"/>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Total Shareholders' Equity to Total Assets</w:t>
            </w:r>
          </w:p>
        </w:tc>
        <w:tc>
          <w:tcPr>
            <w:tcW w:w="1300" w:type="dxa"/>
            <w:vAlign w:val="bottom"/>
          </w:tcPr>
          <w:p>
            <w:pPr>
              <w:spacing w:after="0"/>
              <w:rPr>
                <w:sz w:val="13"/>
                <w:szCs w:val="13"/>
                <w:color w:val="auto"/>
              </w:rPr>
            </w:pP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7.76%</w:t>
            </w:r>
          </w:p>
        </w:tc>
        <w:tc>
          <w:tcPr>
            <w:tcW w:w="380" w:type="dxa"/>
            <w:vAlign w:val="bottom"/>
          </w:tcPr>
          <w:p>
            <w:pPr>
              <w:spacing w:after="0"/>
              <w:rPr>
                <w:sz w:val="13"/>
                <w:szCs w:val="13"/>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7.66%</w:t>
            </w:r>
          </w:p>
        </w:tc>
        <w:tc>
          <w:tcPr>
            <w:tcW w:w="400" w:type="dxa"/>
            <w:vAlign w:val="bottom"/>
          </w:tcPr>
          <w:p>
            <w:pPr>
              <w:spacing w:after="0"/>
              <w:rPr>
                <w:sz w:val="13"/>
                <w:szCs w:val="13"/>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7.14%</w:t>
            </w:r>
          </w:p>
        </w:tc>
      </w:tr>
      <w:tr>
        <w:trPr>
          <w:trHeight w:val="16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Common Equity to Tangible Assets (Non-GAAP)</w:t>
            </w:r>
          </w:p>
        </w:tc>
        <w:tc>
          <w:tcPr>
            <w:tcW w:w="13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6.19%</w:t>
            </w: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6.11%</w:t>
            </w: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5.57%</w:t>
            </w:r>
          </w:p>
        </w:tc>
      </w:tr>
      <w:tr>
        <w:trPr>
          <w:trHeight w:val="144"/>
        </w:trPr>
        <w:tc>
          <w:tcPr>
            <w:tcW w:w="5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Tier 1 Capital Ratio </w:t>
            </w:r>
            <w:r>
              <w:rPr>
                <w:rFonts w:ascii="Times New Roman" w:cs="Times New Roman" w:eastAsia="Times New Roman" w:hAnsi="Times New Roman"/>
                <w:sz w:val="14"/>
                <w:szCs w:val="14"/>
                <w:color w:val="auto"/>
                <w:vertAlign w:val="superscript"/>
              </w:rPr>
              <w:t>1</w:t>
            </w:r>
          </w:p>
        </w:tc>
        <w:tc>
          <w:tcPr>
            <w:tcW w:w="13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14.40%</w:t>
            </w: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14.49%</w:t>
            </w: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13.93%</w:t>
            </w:r>
          </w:p>
        </w:tc>
      </w:tr>
      <w:tr>
        <w:trPr>
          <w:trHeight w:val="186"/>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Tangible Common Equity to Risk-Weighted Assets (Non-GAAP) </w:t>
            </w:r>
            <w:r>
              <w:rPr>
                <w:rFonts w:ascii="Times New Roman" w:cs="Times New Roman" w:eastAsia="Times New Roman" w:hAnsi="Times New Roman"/>
                <w:sz w:val="14"/>
                <w:szCs w:val="14"/>
                <w:color w:val="auto"/>
                <w:vertAlign w:val="superscript"/>
              </w:rPr>
              <w:t>1</w:t>
            </w:r>
          </w:p>
        </w:tc>
        <w:tc>
          <w:tcPr>
            <w:tcW w:w="1300" w:type="dxa"/>
            <w:vAlign w:val="bottom"/>
          </w:tcPr>
          <w:p>
            <w:pPr>
              <w:spacing w:after="0"/>
              <w:rPr>
                <w:sz w:val="16"/>
                <w:szCs w:val="16"/>
                <w:color w:val="auto"/>
              </w:rPr>
            </w:pPr>
          </w:p>
        </w:tc>
        <w:tc>
          <w:tcPr>
            <w:tcW w:w="14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10.28%</w:t>
            </w:r>
          </w:p>
        </w:tc>
        <w:tc>
          <w:tcPr>
            <w:tcW w:w="380" w:type="dxa"/>
            <w:vAlign w:val="bottom"/>
          </w:tcPr>
          <w:p>
            <w:pPr>
              <w:spacing w:after="0"/>
              <w:rPr>
                <w:sz w:val="16"/>
                <w:szCs w:val="16"/>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10.35%</w:t>
            </w:r>
          </w:p>
        </w:tc>
        <w:tc>
          <w:tcPr>
            <w:tcW w:w="400" w:type="dxa"/>
            <w:vAlign w:val="bottom"/>
          </w:tcPr>
          <w:p>
            <w:pPr>
              <w:spacing w:after="0"/>
              <w:rPr>
                <w:sz w:val="16"/>
                <w:szCs w:val="16"/>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9.28%</w:t>
            </w:r>
          </w:p>
        </w:tc>
      </w:tr>
    </w:tbl>
    <w:p>
      <w:pPr>
        <w:spacing w:after="0" w:line="93" w:lineRule="exact"/>
        <w:rPr>
          <w:sz w:val="20"/>
          <w:szCs w:val="20"/>
          <w:color w:val="auto"/>
        </w:rPr>
      </w:pPr>
    </w:p>
    <w:p>
      <w:pPr>
        <w:ind w:left="48" w:hanging="48"/>
        <w:spacing w:after="0"/>
        <w:tabs>
          <w:tab w:leader="none" w:pos="48" w:val="left"/>
        </w:tabs>
        <w:numPr>
          <w:ilvl w:val="0"/>
          <w:numId w:val="5"/>
        </w:numPr>
        <w:rPr>
          <w:rFonts w:ascii="Times New Roman" w:cs="Times New Roman" w:eastAsia="Times New Roman" w:hAnsi="Times New Roman"/>
          <w:sz w:val="5"/>
          <w:szCs w:val="5"/>
          <w:color w:val="auto"/>
        </w:rPr>
      </w:pPr>
      <w:r>
        <w:rPr>
          <w:rFonts w:ascii="Times New Roman" w:cs="Times New Roman" w:eastAsia="Times New Roman" w:hAnsi="Times New Roman"/>
          <w:sz w:val="7"/>
          <w:szCs w:val="7"/>
          <w:color w:val="auto"/>
        </w:rPr>
        <w:t>Regulatory capital ratios as of March 31, 2026 are preliminary.</w:t>
      </w:r>
    </w:p>
    <w:p>
      <w:pPr>
        <w:spacing w:after="0" w:line="37" w:lineRule="exact"/>
        <w:rPr>
          <w:sz w:val="20"/>
          <w:szCs w:val="20"/>
          <w:color w:val="auto"/>
        </w:rPr>
      </w:pPr>
    </w:p>
    <w:p>
      <w:pPr>
        <w:ind w:left="28" w:hanging="28"/>
        <w:spacing w:after="0"/>
        <w:tabs>
          <w:tab w:leader="none" w:pos="28" w:val="left"/>
        </w:tabs>
        <w:numPr>
          <w:ilvl w:val="0"/>
          <w:numId w:val="6"/>
        </w:numPr>
        <w:rPr>
          <w:rFonts w:ascii="Times New Roman" w:cs="Times New Roman" w:eastAsia="Times New Roman" w:hAnsi="Times New Roman"/>
          <w:sz w:val="8"/>
          <w:szCs w:val="8"/>
          <w:color w:val="auto"/>
          <w:vertAlign w:val="superscript"/>
        </w:rPr>
      </w:pPr>
      <w:r>
        <w:rPr>
          <w:rFonts w:ascii="Times New Roman" w:cs="Times New Roman" w:eastAsia="Times New Roman" w:hAnsi="Times New Roman"/>
          <w:sz w:val="6"/>
          <w:szCs w:val="6"/>
          <w:color w:val="auto"/>
        </w:rPr>
        <w:t>Capital Ratio as of December 31, 2025 has been updated to reflect final reported ratio.</w:t>
      </w:r>
    </w:p>
    <w:p>
      <w:pPr>
        <w:sectPr>
          <w:pgSz w:w="11900" w:h="16838" w:orient="portrait"/>
          <w:cols w:equalWidth="0" w:num="1">
            <w:col w:w="11308"/>
          </w:cols>
          <w:pgMar w:left="292" w:top="108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3</w:t>
            </w:r>
          </w:p>
        </w:tc>
      </w:tr>
      <w:tr>
        <w:trPr>
          <w:trHeight w:val="108"/>
        </w:trPr>
        <w:tc>
          <w:tcPr>
            <w:tcW w:w="5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1"/>
        </w:trPr>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3"/>
        </w:trPr>
        <w:tc>
          <w:tcPr>
            <w:tcW w:w="5660" w:type="dxa"/>
            <w:vAlign w:val="bottom"/>
          </w:tcPr>
          <w:p>
            <w:pPr>
              <w:spacing w:after="0"/>
              <w:rPr>
                <w:sz w:val="20"/>
                <w:szCs w:val="20"/>
                <w:color w:val="auto"/>
              </w:rPr>
            </w:pPr>
            <w:r>
              <w:rPr>
                <w:rFonts w:ascii="Times New Roman" w:cs="Times New Roman" w:eastAsia="Times New Roman" w:hAnsi="Times New Roman"/>
                <w:sz w:val="7"/>
                <w:szCs w:val="7"/>
                <w:color w:val="auto"/>
              </w:rPr>
              <w:t>(dollars in thousands, except per share amounts)</w:t>
            </w:r>
          </w:p>
        </w:tc>
        <w:tc>
          <w:tcPr>
            <w:tcW w:w="340" w:type="dxa"/>
            <w:vAlign w:val="bottom"/>
          </w:tcPr>
          <w:p>
            <w:pPr>
              <w:spacing w:after="0"/>
              <w:rPr>
                <w:sz w:val="8"/>
                <w:szCs w:val="8"/>
                <w:color w:val="auto"/>
              </w:rPr>
            </w:pP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March 31, 2026</w:t>
            </w:r>
          </w:p>
        </w:tc>
        <w:tc>
          <w:tcPr>
            <w:tcW w:w="340" w:type="dxa"/>
            <w:vAlign w:val="bottom"/>
          </w:tcPr>
          <w:p>
            <w:pPr>
              <w:spacing w:after="0"/>
              <w:rPr>
                <w:sz w:val="8"/>
                <w:szCs w:val="8"/>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400" w:type="dxa"/>
            <w:vAlign w:val="bottom"/>
          </w:tcPr>
          <w:p>
            <w:pPr>
              <w:spacing w:after="0"/>
              <w:rPr>
                <w:sz w:val="8"/>
                <w:szCs w:val="8"/>
                <w:color w:val="auto"/>
              </w:rPr>
            </w:pPr>
          </w:p>
        </w:tc>
        <w:tc>
          <w:tcPr>
            <w:tcW w:w="148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March 31, 2025</w:t>
            </w: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 Income</w:t>
            </w:r>
          </w:p>
        </w:tc>
        <w:tc>
          <w:tcPr>
            <w:tcW w:w="34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Interest and Fees on Loans and Leases</w:t>
            </w:r>
          </w:p>
        </w:tc>
        <w:tc>
          <w:tcPr>
            <w:tcW w:w="340" w:type="dxa"/>
            <w:vAlign w:val="bottom"/>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164,469</w:t>
            </w: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168,234</w:t>
            </w: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163,082</w:t>
            </w:r>
          </w:p>
        </w:tc>
      </w:tr>
      <w:tr>
        <w:trPr>
          <w:trHeight w:val="15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Income on Investment Securities</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34"/>
        </w:trPr>
        <w:tc>
          <w:tcPr>
            <w:tcW w:w="56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Available-for-Sale</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34,575</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32,950</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24,368</w:t>
            </w:r>
          </w:p>
        </w:tc>
      </w:tr>
      <w:tr>
        <w:trPr>
          <w:trHeight w:val="153"/>
        </w:trPr>
        <w:tc>
          <w:tcPr>
            <w:tcW w:w="5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Held-to-Maturity</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18,541</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18,929</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20,291</w:t>
            </w:r>
          </w:p>
        </w:tc>
      </w:tr>
      <w:tr>
        <w:trPr>
          <w:trHeight w:val="135"/>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Cash and Cash Equivalents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3,329</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5,936</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5,460</w:t>
            </w:r>
          </w:p>
        </w:tc>
      </w:tr>
      <w:tr>
        <w:trPr>
          <w:trHeight w:val="144"/>
        </w:trPr>
        <w:tc>
          <w:tcPr>
            <w:tcW w:w="56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3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1,293</w:t>
            </w:r>
          </w:p>
        </w:tc>
        <w:tc>
          <w:tcPr>
            <w:tcW w:w="3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1,245</w:t>
            </w:r>
          </w:p>
        </w:tc>
        <w:tc>
          <w:tcPr>
            <w:tcW w:w="4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1,085</w:t>
            </w:r>
          </w:p>
        </w:tc>
      </w:tr>
      <w:tr>
        <w:trPr>
          <w:trHeight w:val="13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Total Interest Income</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222,207</w:t>
            </w: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227,294</w:t>
            </w: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214,286</w:t>
            </w:r>
          </w:p>
        </w:tc>
      </w:tr>
      <w:tr>
        <w:trPr>
          <w:trHeight w:val="1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 Expense</w:t>
            </w:r>
          </w:p>
        </w:tc>
        <w:tc>
          <w:tcPr>
            <w:tcW w:w="3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Deposits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64,886</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75,477</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81,692</w:t>
            </w:r>
          </w:p>
        </w:tc>
      </w:tr>
      <w:tr>
        <w:trPr>
          <w:trHeight w:val="15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486</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496</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744</w:t>
            </w:r>
          </w:p>
        </w:tc>
      </w:tr>
      <w:tr>
        <w:trPr>
          <w:trHeight w:val="134"/>
        </w:trPr>
        <w:tc>
          <w:tcPr>
            <w:tcW w:w="5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Other Debt</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5,845</w:t>
            </w: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5,947</w:t>
            </w: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6,043</w:t>
            </w:r>
          </w:p>
        </w:tc>
      </w:tr>
      <w:tr>
        <w:trPr>
          <w:trHeight w:val="133"/>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Interest Expense</w:t>
            </w:r>
          </w:p>
        </w:tc>
        <w:tc>
          <w:tcPr>
            <w:tcW w:w="34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71,217</w:t>
            </w:r>
          </w:p>
        </w:tc>
        <w:tc>
          <w:tcPr>
            <w:tcW w:w="340" w:type="dxa"/>
            <w:vAlign w:val="bottom"/>
            <w:tcBorders>
              <w:bottom w:val="single" w:sz="8" w:color="auto"/>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81,920</w:t>
            </w:r>
          </w:p>
        </w:tc>
        <w:tc>
          <w:tcPr>
            <w:tcW w:w="40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88,479</w:t>
            </w:r>
          </w:p>
        </w:tc>
      </w:tr>
      <w:tr>
        <w:trPr>
          <w:trHeight w:val="133"/>
        </w:trPr>
        <w:tc>
          <w:tcPr>
            <w:tcW w:w="56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Net Interest Income</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150,990</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145,374</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125,807</w:t>
            </w:r>
          </w:p>
        </w:tc>
      </w:tr>
      <w:tr>
        <w:trPr>
          <w:trHeight w:val="144"/>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Provision for Credit Losses</w:t>
            </w:r>
          </w:p>
        </w:tc>
        <w:tc>
          <w:tcPr>
            <w:tcW w:w="3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1,750</w:t>
            </w:r>
          </w:p>
        </w:tc>
        <w:tc>
          <w:tcPr>
            <w:tcW w:w="3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2,500</w:t>
            </w:r>
          </w:p>
        </w:tc>
        <w:tc>
          <w:tcPr>
            <w:tcW w:w="4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3,250</w:t>
            </w:r>
          </w:p>
        </w:tc>
      </w:tr>
      <w:tr>
        <w:trPr>
          <w:trHeight w:val="13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Net Interest Income After Provision for Credit Losses</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149,240</w:t>
            </w: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142,874</w:t>
            </w: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122,557</w:t>
            </w:r>
          </w:p>
        </w:tc>
      </w:tr>
      <w:tr>
        <w:trPr>
          <w:trHeight w:val="142"/>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Noninterest Income</w:t>
            </w:r>
          </w:p>
        </w:tc>
        <w:tc>
          <w:tcPr>
            <w:tcW w:w="3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35"/>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Trust and Asset Management</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12,445</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12,883</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11,741</w:t>
            </w:r>
          </w:p>
        </w:tc>
      </w:tr>
      <w:tr>
        <w:trPr>
          <w:trHeight w:val="153"/>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Fees, Exchange, and Other Service Charges</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10,928</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12,298</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14,437</w:t>
            </w:r>
          </w:p>
        </w:tc>
      </w:tr>
      <w:tr>
        <w:trPr>
          <w:trHeight w:val="135"/>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Service Charges on Deposit Accounts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8,440</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8,694</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8,259</w:t>
            </w:r>
          </w:p>
        </w:tc>
      </w:tr>
      <w:tr>
        <w:trPr>
          <w:trHeight w:val="153"/>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Bank-Owned Life Insurance</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4,147</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3,758</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3,611</w:t>
            </w: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Annuity and Insurance</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1,469</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1,124</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1,555</w:t>
            </w:r>
          </w:p>
        </w:tc>
      </w:tr>
      <w:tr>
        <w:trPr>
          <w:trHeight w:val="15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Mortgage Banking</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876</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917</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988</w:t>
            </w: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Investment Securities Losses, Net</w:t>
            </w:r>
          </w:p>
        </w:tc>
        <w:tc>
          <w:tcPr>
            <w:tcW w:w="340" w:type="dxa"/>
            <w:vAlign w:val="bottom"/>
          </w:tcPr>
          <w:p>
            <w:pPr>
              <w:spacing w:after="0"/>
              <w:rPr>
                <w:sz w:val="11"/>
                <w:szCs w:val="1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(1,272)</w:t>
            </w:r>
          </w:p>
        </w:tc>
        <w:tc>
          <w:tcPr>
            <w:tcW w:w="34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(18,717)</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(1,607)</w:t>
            </w:r>
          </w:p>
        </w:tc>
      </w:tr>
      <w:tr>
        <w:trPr>
          <w:trHeight w:val="144"/>
        </w:trPr>
        <w:tc>
          <w:tcPr>
            <w:tcW w:w="56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3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4,299</w:t>
            </w:r>
          </w:p>
        </w:tc>
        <w:tc>
          <w:tcPr>
            <w:tcW w:w="3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23,314</w:t>
            </w:r>
          </w:p>
        </w:tc>
        <w:tc>
          <w:tcPr>
            <w:tcW w:w="4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5,074</w:t>
            </w:r>
          </w:p>
        </w:tc>
      </w:tr>
      <w:tr>
        <w:trPr>
          <w:trHeight w:val="13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Noninterest Income</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41,332</w:t>
            </w: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44,271</w:t>
            </w: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44,058</w:t>
            </w:r>
          </w:p>
        </w:tc>
      </w:tr>
      <w:tr>
        <w:trPr>
          <w:trHeight w:val="1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Noninterest Expense</w:t>
            </w:r>
          </w:p>
        </w:tc>
        <w:tc>
          <w:tcPr>
            <w:tcW w:w="3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35"/>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Salaries and Benefits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68,457</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61,675</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62,884</w:t>
            </w:r>
          </w:p>
        </w:tc>
      </w:tr>
      <w:tr>
        <w:trPr>
          <w:trHeight w:val="153"/>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Net Occupancy</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10,782</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10,029</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10,559</w:t>
            </w: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Net Equipment</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10,611</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10,047</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10,192</w:t>
            </w:r>
          </w:p>
        </w:tc>
      </w:tr>
      <w:tr>
        <w:trPr>
          <w:trHeight w:val="15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Data Processing</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5,581</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5,659</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5,267</w:t>
            </w:r>
          </w:p>
        </w:tc>
      </w:tr>
      <w:tr>
        <w:trPr>
          <w:trHeight w:val="134"/>
        </w:trPr>
        <w:tc>
          <w:tcPr>
            <w:tcW w:w="5660" w:type="dxa"/>
            <w:vAlign w:val="bottom"/>
          </w:tcPr>
          <w:p>
            <w:pPr>
              <w:ind w:left="40"/>
              <w:spacing w:after="0"/>
              <w:rPr>
                <w:sz w:val="20"/>
                <w:szCs w:val="20"/>
                <w:color w:val="auto"/>
              </w:rPr>
            </w:pPr>
            <w:r>
              <w:rPr>
                <w:rFonts w:ascii="Times New Roman" w:cs="Times New Roman" w:eastAsia="Times New Roman" w:hAnsi="Times New Roman"/>
                <w:sz w:val="9"/>
                <w:szCs w:val="9"/>
                <w:color w:val="auto"/>
              </w:rPr>
              <w:t>Professional Fees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4,226</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3,682</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4,264</w:t>
            </w:r>
          </w:p>
        </w:tc>
      </w:tr>
      <w:tr>
        <w:trPr>
          <w:trHeight w:val="15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FDIC Insurance</w:t>
            </w:r>
          </w:p>
        </w:tc>
        <w:tc>
          <w:tcPr>
            <w:tcW w:w="34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2,719</w:t>
            </w:r>
          </w:p>
        </w:tc>
        <w:tc>
          <w:tcPr>
            <w:tcW w:w="34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2,378</w:t>
            </w:r>
          </w:p>
        </w:tc>
        <w:tc>
          <w:tcPr>
            <w:tcW w:w="4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1,642</w:t>
            </w:r>
          </w:p>
        </w:tc>
      </w:tr>
      <w:tr>
        <w:trPr>
          <w:trHeight w:val="135"/>
        </w:trPr>
        <w:tc>
          <w:tcPr>
            <w:tcW w:w="5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13,695</w:t>
            </w:r>
          </w:p>
        </w:tc>
        <w:tc>
          <w:tcPr>
            <w:tcW w:w="3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16,048</w:t>
            </w: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15,651</w:t>
            </w:r>
          </w:p>
        </w:tc>
      </w:tr>
      <w:tr>
        <w:trPr>
          <w:trHeight w:val="133"/>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Noninterest Expense</w:t>
            </w:r>
          </w:p>
        </w:tc>
        <w:tc>
          <w:tcPr>
            <w:tcW w:w="34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116,071</w:t>
            </w:r>
          </w:p>
        </w:tc>
        <w:tc>
          <w:tcPr>
            <w:tcW w:w="340" w:type="dxa"/>
            <w:vAlign w:val="bottom"/>
            <w:tcBorders>
              <w:bottom w:val="single" w:sz="8" w:color="auto"/>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109,518</w:t>
            </w:r>
          </w:p>
        </w:tc>
        <w:tc>
          <w:tcPr>
            <w:tcW w:w="40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110,459</w:t>
            </w:r>
          </w:p>
        </w:tc>
      </w:tr>
      <w:tr>
        <w:trPr>
          <w:trHeight w:val="133"/>
        </w:trPr>
        <w:tc>
          <w:tcPr>
            <w:tcW w:w="5660" w:type="dxa"/>
            <w:vAlign w:val="bottom"/>
          </w:tcPr>
          <w:p>
            <w:pPr>
              <w:spacing w:after="0"/>
              <w:rPr>
                <w:sz w:val="20"/>
                <w:szCs w:val="20"/>
                <w:color w:val="auto"/>
              </w:rPr>
            </w:pPr>
            <w:r>
              <w:rPr>
                <w:rFonts w:ascii="Times New Roman" w:cs="Times New Roman" w:eastAsia="Times New Roman" w:hAnsi="Times New Roman"/>
                <w:sz w:val="9"/>
                <w:szCs w:val="9"/>
                <w:color w:val="auto"/>
              </w:rPr>
              <w:t>Income Before Provision for Income Taxes</w:t>
            </w:r>
          </w:p>
        </w:tc>
        <w:tc>
          <w:tcPr>
            <w:tcW w:w="340" w:type="dxa"/>
            <w:vAlign w:val="bottom"/>
          </w:tcPr>
          <w:p>
            <w:pPr>
              <w:spacing w:after="0"/>
              <w:rPr>
                <w:sz w:val="11"/>
                <w:szCs w:val="1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74,501</w:t>
            </w:r>
          </w:p>
        </w:tc>
        <w:tc>
          <w:tcPr>
            <w:tcW w:w="340" w:type="dxa"/>
            <w:vAlign w:val="bottom"/>
          </w:tcPr>
          <w:p>
            <w:pPr>
              <w:spacing w:after="0"/>
              <w:rPr>
                <w:sz w:val="11"/>
                <w:szCs w:val="11"/>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77,627</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56,156</w:t>
            </w:r>
          </w:p>
        </w:tc>
      </w:tr>
      <w:tr>
        <w:trPr>
          <w:trHeight w:val="144"/>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Provision for Income Taxes</w:t>
            </w:r>
          </w:p>
        </w:tc>
        <w:tc>
          <w:tcPr>
            <w:tcW w:w="34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17,069</w:t>
            </w:r>
          </w:p>
        </w:tc>
        <w:tc>
          <w:tcPr>
            <w:tcW w:w="340" w:type="dxa"/>
            <w:vAlign w:val="bottom"/>
            <w:tcBorders>
              <w:bottom w:val="single" w:sz="8" w:color="auto"/>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16,692</w:t>
            </w:r>
          </w:p>
        </w:tc>
        <w:tc>
          <w:tcPr>
            <w:tcW w:w="4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12,171</w:t>
            </w:r>
          </w:p>
        </w:tc>
      </w:tr>
      <w:tr>
        <w:trPr>
          <w:trHeight w:val="158"/>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57,432</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60,935</w:t>
            </w:r>
          </w:p>
        </w:tc>
        <w:tc>
          <w:tcPr>
            <w:tcW w:w="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43,985</w:t>
            </w:r>
          </w:p>
        </w:tc>
      </w:tr>
      <w:tr>
        <w:trPr>
          <w:trHeight w:val="135"/>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Preferred Stock Dividends</w:t>
            </w:r>
          </w:p>
        </w:tc>
        <w:tc>
          <w:tcPr>
            <w:tcW w:w="34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5,269</w:t>
            </w:r>
          </w:p>
        </w:tc>
        <w:tc>
          <w:tcPr>
            <w:tcW w:w="340" w:type="dxa"/>
            <w:vAlign w:val="bottom"/>
            <w:tcBorders>
              <w:bottom w:val="single" w:sz="8" w:color="auto"/>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5,269</w:t>
            </w:r>
          </w:p>
        </w:tc>
        <w:tc>
          <w:tcPr>
            <w:tcW w:w="400" w:type="dxa"/>
            <w:vAlign w:val="bottom"/>
            <w:tcBorders>
              <w:bottom w:val="single" w:sz="8" w:color="auto"/>
            </w:tcBorders>
            <w:shd w:val="clear" w:color="auto" w:fill="CFF0FC"/>
          </w:tcPr>
          <w:p>
            <w:pPr>
              <w:spacing w:after="0"/>
              <w:rPr>
                <w:sz w:val="11"/>
                <w:szCs w:val="1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5,269</w:t>
            </w:r>
          </w:p>
        </w:tc>
      </w:tr>
      <w:tr>
        <w:trPr>
          <w:trHeight w:val="159"/>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Net Income Available to Common Shareholders</w:t>
            </w:r>
          </w:p>
        </w:tc>
        <w:tc>
          <w:tcPr>
            <w:tcW w:w="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52,163</w:t>
            </w:r>
          </w:p>
        </w:tc>
        <w:tc>
          <w:tcPr>
            <w:tcW w:w="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55,666</w:t>
            </w:r>
          </w:p>
        </w:tc>
        <w:tc>
          <w:tcPr>
            <w:tcW w:w="4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38,716</w:t>
            </w:r>
          </w:p>
        </w:tc>
      </w:tr>
      <w:tr>
        <w:trPr>
          <w:trHeight w:val="14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Basic Earnings Per Common Share</w:t>
            </w:r>
          </w:p>
        </w:tc>
        <w:tc>
          <w:tcPr>
            <w:tcW w:w="34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1.32</w:t>
            </w:r>
          </w:p>
        </w:tc>
        <w:tc>
          <w:tcPr>
            <w:tcW w:w="34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1.40</w:t>
            </w:r>
          </w:p>
        </w:tc>
        <w:tc>
          <w:tcPr>
            <w:tcW w:w="40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0.98</w:t>
            </w:r>
          </w:p>
        </w:tc>
      </w:tr>
      <w:tr>
        <w:trPr>
          <w:trHeight w:val="135"/>
        </w:trPr>
        <w:tc>
          <w:tcPr>
            <w:tcW w:w="5660" w:type="dxa"/>
            <w:vAlign w:val="bottom"/>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340" w:type="dxa"/>
            <w:vAlign w:val="bottom"/>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1.30</w:t>
            </w: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1.39</w:t>
            </w: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0.97</w:t>
            </w:r>
          </w:p>
        </w:tc>
      </w:tr>
      <w:tr>
        <w:trPr>
          <w:trHeight w:val="15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Dividends Declared Per Common Share</w:t>
            </w:r>
          </w:p>
        </w:tc>
        <w:tc>
          <w:tcPr>
            <w:tcW w:w="34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9"/>
                <w:szCs w:val="9"/>
                <w:color w:val="auto"/>
                <w:w w:val="87"/>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0.70</w:t>
            </w:r>
          </w:p>
        </w:tc>
        <w:tc>
          <w:tcPr>
            <w:tcW w:w="34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9"/>
                <w:szCs w:val="9"/>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0.70</w:t>
            </w:r>
          </w:p>
        </w:tc>
        <w:tc>
          <w:tcPr>
            <w:tcW w:w="40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0.70</w:t>
            </w:r>
          </w:p>
        </w:tc>
      </w:tr>
      <w:tr>
        <w:trPr>
          <w:trHeight w:val="135"/>
        </w:trPr>
        <w:tc>
          <w:tcPr>
            <w:tcW w:w="5660" w:type="dxa"/>
            <w:vAlign w:val="bottom"/>
          </w:tcPr>
          <w:p>
            <w:pPr>
              <w:spacing w:after="0"/>
              <w:rPr>
                <w:sz w:val="20"/>
                <w:szCs w:val="20"/>
                <w:color w:val="auto"/>
              </w:rPr>
            </w:pPr>
            <w:r>
              <w:rPr>
                <w:rFonts w:ascii="Times New Roman" w:cs="Times New Roman" w:eastAsia="Times New Roman" w:hAnsi="Times New Roman"/>
                <w:sz w:val="9"/>
                <w:szCs w:val="9"/>
                <w:color w:val="auto"/>
              </w:rPr>
              <w:t>Basic Weighted Average Common Shares</w:t>
            </w:r>
          </w:p>
        </w:tc>
        <w:tc>
          <w:tcPr>
            <w:tcW w:w="340" w:type="dxa"/>
            <w:vAlign w:val="bottom"/>
          </w:tcPr>
          <w:p>
            <w:pPr>
              <w:spacing w:after="0"/>
              <w:rPr>
                <w:sz w:val="11"/>
                <w:szCs w:val="1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39,568,000</w:t>
            </w:r>
          </w:p>
        </w:tc>
        <w:tc>
          <w:tcPr>
            <w:tcW w:w="34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39,641,382</w:t>
            </w:r>
          </w:p>
        </w:tc>
        <w:tc>
          <w:tcPr>
            <w:tcW w:w="4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39,554,834</w:t>
            </w:r>
          </w:p>
        </w:tc>
      </w:tr>
      <w:tr>
        <w:trPr>
          <w:trHeight w:val="170"/>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Diluted Weighted Average Common Shares</w:t>
            </w:r>
          </w:p>
        </w:tc>
        <w:tc>
          <w:tcPr>
            <w:tcW w:w="3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39,981,356</w:t>
            </w:r>
          </w:p>
        </w:tc>
        <w:tc>
          <w:tcPr>
            <w:tcW w:w="3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40,003,635</w:t>
            </w:r>
          </w:p>
        </w:tc>
        <w:tc>
          <w:tcPr>
            <w:tcW w:w="4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39,876,406</w:t>
            </w:r>
          </w:p>
        </w:tc>
      </w:tr>
    </w:tbl>
    <w:p>
      <w:pPr>
        <w:sectPr>
          <w:pgSz w:w="11900" w:h="16838" w:orient="portrait"/>
          <w:cols w:equalWidth="0" w:num="1">
            <w:col w:w="11300"/>
          </w:cols>
          <w:pgMar w:left="300" w:top="1084"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4</w:t>
            </w:r>
          </w:p>
        </w:tc>
      </w:tr>
      <w:tr>
        <w:trPr>
          <w:trHeight w:val="123"/>
        </w:trPr>
        <w:tc>
          <w:tcPr>
            <w:tcW w:w="56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r>
        <w:trPr>
          <w:trHeight w:val="13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7"/>
                <w:szCs w:val="7"/>
                <w:color w:val="auto"/>
              </w:rPr>
              <w:t>(dollars in thousands)</w:t>
            </w:r>
          </w:p>
        </w:tc>
        <w:tc>
          <w:tcPr>
            <w:tcW w:w="3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9"/>
                <w:szCs w:val="9"/>
                <w:b w:val="1"/>
                <w:bCs w:val="1"/>
                <w:color w:val="auto"/>
              </w:rPr>
              <w:t>March 31, 2026</w:t>
            </w:r>
          </w:p>
        </w:tc>
        <w:tc>
          <w:tcPr>
            <w:tcW w:w="3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9"/>
                <w:szCs w:val="9"/>
                <w:b w:val="1"/>
                <w:bCs w:val="1"/>
                <w:color w:val="auto"/>
              </w:rPr>
              <w:t>March 31, 2025</w:t>
            </w:r>
          </w:p>
        </w:tc>
      </w:tr>
      <w:tr>
        <w:trPr>
          <w:trHeight w:val="161"/>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57,432</w:t>
            </w:r>
          </w:p>
        </w:tc>
        <w:tc>
          <w:tcPr>
            <w:tcW w:w="3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60,935</w:t>
            </w: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43,985</w:t>
            </w:r>
          </w:p>
        </w:tc>
      </w:tr>
      <w:tr>
        <w:trPr>
          <w:trHeight w:val="156"/>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8"/>
        </w:trPr>
        <w:tc>
          <w:tcPr>
            <w:tcW w:w="5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Change in Unrealized Gains (Losses) on Investment Securities</w:t>
            </w:r>
          </w:p>
        </w:tc>
        <w:tc>
          <w:tcPr>
            <w:tcW w:w="34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(3,001)</w:t>
            </w:r>
          </w:p>
        </w:tc>
        <w:tc>
          <w:tcPr>
            <w:tcW w:w="32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1"/>
                <w:szCs w:val="11"/>
                <w:color w:val="auto"/>
              </w:rPr>
              <w:t>29,367</w:t>
            </w: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24,760</w:t>
            </w:r>
          </w:p>
        </w:tc>
      </w:tr>
      <w:tr>
        <w:trPr>
          <w:trHeight w:val="155"/>
        </w:trPr>
        <w:tc>
          <w:tcPr>
            <w:tcW w:w="5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Net Change in Defined Benefit Plans</w:t>
            </w: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222</w:t>
            </w: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1"/>
                <w:szCs w:val="11"/>
                <w:color w:val="auto"/>
              </w:rPr>
              <w:t>2,446</w:t>
            </w: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51"/>
        </w:trPr>
        <w:tc>
          <w:tcPr>
            <w:tcW w:w="56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3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(2,779)</w:t>
            </w:r>
          </w:p>
        </w:tc>
        <w:tc>
          <w:tcPr>
            <w:tcW w:w="32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1"/>
                <w:szCs w:val="11"/>
                <w:color w:val="auto"/>
              </w:rPr>
              <w:t>31,813</w:t>
            </w:r>
          </w:p>
        </w:tc>
        <w:tc>
          <w:tcPr>
            <w:tcW w:w="3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24,992</w:t>
            </w:r>
          </w:p>
        </w:tc>
      </w:tr>
      <w:tr>
        <w:trPr>
          <w:trHeight w:val="151"/>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54,653</w:t>
            </w:r>
          </w:p>
        </w:tc>
        <w:tc>
          <w:tcPr>
            <w:tcW w:w="3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1"/>
                <w:szCs w:val="11"/>
                <w:color w:val="auto"/>
              </w:rPr>
              <w:t>92,748</w:t>
            </w:r>
          </w:p>
        </w:tc>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68,977</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084"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Condition</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5</w:t>
            </w:r>
          </w:p>
        </w:tc>
      </w:tr>
      <w:tr>
        <w:trPr>
          <w:trHeight w:val="108"/>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(dollars in thousands, except per share amounts)</w:t>
            </w:r>
          </w:p>
        </w:tc>
        <w:tc>
          <w:tcPr>
            <w:tcW w:w="380" w:type="dxa"/>
            <w:vAlign w:val="bottom"/>
          </w:tcPr>
          <w:p>
            <w:pPr>
              <w:spacing w:after="0"/>
              <w:rPr>
                <w:sz w:val="9"/>
                <w:szCs w:val="9"/>
                <w:color w:val="auto"/>
              </w:rPr>
            </w:pPr>
          </w:p>
        </w:tc>
        <w:tc>
          <w:tcPr>
            <w:tcW w:w="12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March 31, 2026</w:t>
            </w:r>
          </w:p>
        </w:tc>
        <w:tc>
          <w:tcPr>
            <w:tcW w:w="280" w:type="dxa"/>
            <w:vAlign w:val="bottom"/>
          </w:tcPr>
          <w:p>
            <w:pPr>
              <w:spacing w:after="0"/>
              <w:rPr>
                <w:sz w:val="9"/>
                <w:szCs w:val="9"/>
                <w:color w:val="auto"/>
              </w:rPr>
            </w:pP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320" w:type="dxa"/>
            <w:vAlign w:val="bottom"/>
          </w:tcPr>
          <w:p>
            <w:pPr>
              <w:spacing w:after="0"/>
              <w:rPr>
                <w:sz w:val="9"/>
                <w:szCs w:val="9"/>
                <w:color w:val="auto"/>
              </w:rPr>
            </w:pPr>
          </w:p>
        </w:tc>
        <w:tc>
          <w:tcPr>
            <w:tcW w:w="1220" w:type="dxa"/>
            <w:vAlign w:val="bottom"/>
          </w:tcPr>
          <w:p>
            <w:pPr>
              <w:jc w:val="right"/>
              <w:ind w:right="418"/>
              <w:spacing w:after="0"/>
              <w:rPr>
                <w:sz w:val="20"/>
                <w:szCs w:val="20"/>
                <w:color w:val="auto"/>
              </w:rPr>
            </w:pPr>
            <w:r>
              <w:rPr>
                <w:rFonts w:ascii="Times New Roman" w:cs="Times New Roman" w:eastAsia="Times New Roman" w:hAnsi="Times New Roman"/>
                <w:sz w:val="8"/>
                <w:szCs w:val="8"/>
                <w:b w:val="1"/>
                <w:bCs w:val="1"/>
                <w:color w:val="auto"/>
              </w:rPr>
              <w:t>March 31, 2025</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4"/>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1220" w:type="dxa"/>
            <w:vAlign w:val="bottom"/>
            <w:tcBorders>
              <w:bottom w:val="single" w:sz="8" w:color="CFF0FC"/>
            </w:tcBorders>
            <w:shd w:val="clear" w:color="auto" w:fill="CFF0FC"/>
          </w:tcPr>
          <w:p>
            <w:pPr>
              <w:spacing w:after="0"/>
              <w:rPr>
                <w:sz w:val="9"/>
                <w:szCs w:val="9"/>
                <w:color w:val="auto"/>
              </w:rPr>
            </w:pP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3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425,080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946,520</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935,200</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r>
      <w:tr>
        <w:trPr>
          <w:trHeight w:val="114"/>
        </w:trPr>
        <w:tc>
          <w:tcPr>
            <w:tcW w:w="65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Available-for-Sale</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3,722,405</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3,510,652</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2,887,019</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Held-to-Maturity (Fair Value of $3,549,687; $3,651,966; and $3,823,655)</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4,163,261</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4,245,681</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4,535,108</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Loans Held for Sale</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3,609</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4,369</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Loans and Leases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14,192,811</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14,082,050</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14,115,323</w:t>
            </w:r>
          </w:p>
        </w:tc>
      </w:tr>
      <w:tr>
        <w:trPr>
          <w:trHeight w:val="114"/>
        </w:trPr>
        <w:tc>
          <w:tcPr>
            <w:tcW w:w="65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Allowance for Credit Losses</w:t>
            </w:r>
          </w:p>
        </w:tc>
        <w:tc>
          <w:tcPr>
            <w:tcW w:w="380" w:type="dxa"/>
            <w:vAlign w:val="bottom"/>
          </w:tcPr>
          <w:p>
            <w:pPr>
              <w:spacing w:after="0"/>
              <w:rPr>
                <w:sz w:val="9"/>
                <w:szCs w:val="9"/>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(146,962)</w:t>
            </w:r>
          </w:p>
        </w:tc>
        <w:tc>
          <w:tcPr>
            <w:tcW w:w="280" w:type="dxa"/>
            <w:vAlign w:val="bottom"/>
          </w:tcPr>
          <w:p>
            <w:pPr>
              <w:spacing w:after="0"/>
              <w:rPr>
                <w:sz w:val="9"/>
                <w:szCs w:val="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(146,766)</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(147,707)</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6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8"/>
                <w:szCs w:val="8"/>
                <w:color w:val="auto"/>
              </w:rPr>
              <w:t>Net Loans and Leases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14,045,849</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13,935,284</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13,967,616</w:t>
            </w:r>
          </w:p>
        </w:tc>
      </w:tr>
      <w:tr>
        <w:trPr>
          <w:trHeight w:val="103"/>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Premises and Equipment, Net</w:t>
            </w:r>
          </w:p>
        </w:tc>
        <w:tc>
          <w:tcPr>
            <w:tcW w:w="3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215,859</w:t>
            </w: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199,747</w:t>
            </w:r>
          </w:p>
        </w:tc>
        <w:tc>
          <w:tcPr>
            <w:tcW w:w="3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187,858</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Operating Lease Right-of-Use Assets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82,244</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83,424</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83,577</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Accrued Interest Receivable</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70,555</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69,899</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67,706</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Mortgage Servicing Rights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17,036</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17,455</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18,770</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Goodwill</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31,517</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31,517</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31,517</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Bank-Owned Life Insurance</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499,681</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499,795</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481,260</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Other Assets</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632,837</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632,021</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686,785</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380" w:type="dxa"/>
            <w:vAlign w:val="bottom"/>
            <w:tcBorders>
              <w:bottom w:val="single" w:sz="8" w:color="CFF0FC"/>
            </w:tcBorders>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23,909,933</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24,176,364</w:t>
            </w:r>
          </w:p>
        </w:tc>
        <w:tc>
          <w:tcPr>
            <w:tcW w:w="32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23,885,056</w:t>
            </w:r>
          </w:p>
        </w:tc>
      </w:tr>
      <w:tr>
        <w:trPr>
          <w:trHeight w:val="114"/>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Liabilities</w:t>
            </w:r>
          </w:p>
        </w:tc>
        <w:tc>
          <w:tcPr>
            <w:tcW w:w="3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Deposits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r>
      <w:tr>
        <w:trPr>
          <w:trHeight w:val="114"/>
        </w:trPr>
        <w:tc>
          <w:tcPr>
            <w:tcW w:w="65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Noninterest-Bearing Demand</w:t>
            </w:r>
          </w:p>
        </w:tc>
        <w:tc>
          <w:tcPr>
            <w:tcW w:w="38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5,653,265</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5,755,371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5,493,232</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Interest-Bearing Demand</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3,884,305</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3,910,952</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3,775,948</w:t>
            </w:r>
          </w:p>
        </w:tc>
      </w:tr>
      <w:tr>
        <w:trPr>
          <w:trHeight w:val="114"/>
        </w:trPr>
        <w:tc>
          <w:tcPr>
            <w:tcW w:w="65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Savings</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8,683,875</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8,741,090</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8,700,143</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0"/>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Time</w:t>
            </w:r>
          </w:p>
        </w:tc>
        <w:tc>
          <w:tcPr>
            <w:tcW w:w="38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2,736,485</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2,781,082</w:t>
            </w:r>
          </w:p>
        </w:tc>
        <w:tc>
          <w:tcPr>
            <w:tcW w:w="32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3,038,894</w:t>
            </w:r>
          </w:p>
        </w:tc>
      </w:tr>
      <w:tr>
        <w:trPr>
          <w:trHeight w:val="103"/>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Deposits</w:t>
            </w:r>
          </w:p>
        </w:tc>
        <w:tc>
          <w:tcPr>
            <w:tcW w:w="3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20,957,930</w:t>
            </w: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21,188,495</w:t>
            </w:r>
          </w:p>
        </w:tc>
        <w:tc>
          <w:tcPr>
            <w:tcW w:w="3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21,008,217</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4"/>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3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50,000</w:t>
            </w: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50,000</w:t>
            </w:r>
          </w:p>
        </w:tc>
        <w:tc>
          <w:tcPr>
            <w:tcW w:w="320" w:type="dxa"/>
            <w:vAlign w:val="bottom"/>
            <w:tcBorders>
              <w:bottom w:val="single" w:sz="8" w:color="CFF0FC"/>
            </w:tcBorders>
            <w:shd w:val="clear" w:color="auto" w:fill="CFF0FC"/>
          </w:tcPr>
          <w:p>
            <w:pPr>
              <w:spacing w:after="0"/>
              <w:rPr>
                <w:sz w:val="9"/>
                <w:szCs w:val="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50,000</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Other Debt</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558,150</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558,176</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558,250</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Operating Lease Liabilities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91,213</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92,402</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92,267</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Retirement Benefits Payable</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25,686</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20,139</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23,640</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Interest Payable</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19,757</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22,370</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23,261</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352,634</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393,570</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424,486</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Liabilities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22,055,370</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22,325,152</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22,180,121</w:t>
            </w:r>
          </w:p>
        </w:tc>
      </w:tr>
      <w:tr>
        <w:trPr>
          <w:trHeight w:val="103"/>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Shareholders’ Equity</w:t>
            </w:r>
          </w:p>
        </w:tc>
        <w:tc>
          <w:tcPr>
            <w:tcW w:w="3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Preferred Stock (Series A, $.01 par value; authorized 180,000 shares issued and outstanding)</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180,000</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180,000</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Preferred Stock (Series B, $.01 par value; authorized 165,000 shares issued and outstanding)</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165,000</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165,000</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0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Common Stock ($.01 par value; authorized 500,000,000 shares; issued / outstanding: March 31, 2026 - 59,000,929 / 39,620,563; December 31, 2025 - 58,780,253 / 39,725,698; and March 31,</w:t>
            </w:r>
          </w:p>
        </w:tc>
        <w:tc>
          <w:tcPr>
            <w:tcW w:w="38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08"/>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2025 - 58,765,864 / 39,734,304)</w:t>
            </w:r>
          </w:p>
        </w:tc>
        <w:tc>
          <w:tcPr>
            <w:tcW w:w="3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590</w:t>
            </w: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587</w:t>
            </w:r>
          </w:p>
        </w:tc>
        <w:tc>
          <w:tcPr>
            <w:tcW w:w="320" w:type="dxa"/>
            <w:vAlign w:val="bottom"/>
            <w:tcBorders>
              <w:bottom w:val="single" w:sz="8" w:color="CFF0FC"/>
            </w:tcBorders>
            <w:shd w:val="clear" w:color="auto" w:fill="CFF0FC"/>
          </w:tcPr>
          <w:p>
            <w:pPr>
              <w:spacing w:after="0"/>
              <w:rPr>
                <w:sz w:val="9"/>
                <w:szCs w:val="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586</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Capital Surplus</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672,584</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664,781</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651,374</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15"/>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3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(247,217)</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(244,438)</w:t>
            </w:r>
          </w:p>
        </w:tc>
        <w:tc>
          <w:tcPr>
            <w:tcW w:w="32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(318,397)</w:t>
            </w:r>
          </w:p>
        </w:tc>
      </w:tr>
      <w:tr>
        <w:trPr>
          <w:trHeight w:val="114"/>
        </w:trPr>
        <w:tc>
          <w:tcPr>
            <w:tcW w:w="6560" w:type="dxa"/>
            <w:vAlign w:val="bottom"/>
          </w:tcPr>
          <w:p>
            <w:pPr>
              <w:spacing w:after="0"/>
              <w:rPr>
                <w:sz w:val="20"/>
                <w:szCs w:val="20"/>
                <w:color w:val="auto"/>
              </w:rPr>
            </w:pPr>
            <w:r>
              <w:rPr>
                <w:rFonts w:ascii="Times New Roman" w:cs="Times New Roman" w:eastAsia="Times New Roman" w:hAnsi="Times New Roman"/>
                <w:sz w:val="8"/>
                <w:szCs w:val="8"/>
                <w:color w:val="auto"/>
              </w:rPr>
              <w:t>Retained Earnings</w:t>
            </w:r>
          </w:p>
        </w:tc>
        <w:tc>
          <w:tcPr>
            <w:tcW w:w="380" w:type="dxa"/>
            <w:vAlign w:val="bottom"/>
          </w:tcPr>
          <w:p>
            <w:pPr>
              <w:spacing w:after="0"/>
              <w:rPr>
                <w:sz w:val="9"/>
                <w:szCs w:val="9"/>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2,229,539</w:t>
            </w:r>
          </w:p>
        </w:tc>
        <w:tc>
          <w:tcPr>
            <w:tcW w:w="28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2,205,707</w:t>
            </w: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2,144,326</w:t>
            </w:r>
          </w:p>
        </w:tc>
      </w:tr>
      <w:tr>
        <w:trPr>
          <w:trHeight w:val="21"/>
        </w:trPr>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Treasury Stock, at Cost (Shares: March 31, 2026 - 19,380,366; December 31, 2025 - 19,054,555; and March 31, 2025 - 19,031,560)</w:t>
            </w:r>
          </w:p>
        </w:tc>
        <w:tc>
          <w:tcPr>
            <w:tcW w:w="38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(1,145,933)</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(1,120,425)</w:t>
            </w:r>
          </w:p>
        </w:tc>
        <w:tc>
          <w:tcPr>
            <w:tcW w:w="32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(1,117,954)</w:t>
            </w:r>
          </w:p>
        </w:tc>
      </w:tr>
      <w:tr>
        <w:trPr>
          <w:trHeight w:val="103"/>
        </w:trPr>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Total Shareholders’ Equity</w:t>
            </w:r>
          </w:p>
        </w:tc>
        <w:tc>
          <w:tcPr>
            <w:tcW w:w="3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1,854,563</w:t>
            </w: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1,851,212</w:t>
            </w:r>
          </w:p>
        </w:tc>
        <w:tc>
          <w:tcPr>
            <w:tcW w:w="32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1,704,935</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4"/>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Liabilities and Shareholders’ Equity</w:t>
            </w:r>
          </w:p>
        </w:tc>
        <w:tc>
          <w:tcPr>
            <w:tcW w:w="380" w:type="dxa"/>
            <w:vAlign w:val="bottom"/>
            <w:tcBorders>
              <w:bottom w:val="single" w:sz="8" w:color="CFF0FC"/>
            </w:tcBorders>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23,909,933</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24,176,364</w:t>
            </w:r>
          </w:p>
        </w:tc>
        <w:tc>
          <w:tcPr>
            <w:tcW w:w="32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23,885,056</w:t>
            </w:r>
          </w:p>
        </w:tc>
      </w:tr>
      <w:tr>
        <w:trPr>
          <w:trHeight w:val="36"/>
        </w:trPr>
        <w:tc>
          <w:tcPr>
            <w:tcW w:w="65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r>
    </w:tbl>
    <w:p>
      <w:pPr>
        <w:sectPr>
          <w:pgSz w:w="11900" w:h="16838" w:orient="portrait"/>
          <w:cols w:equalWidth="0" w:num="1">
            <w:col w:w="11300"/>
          </w:cols>
          <w:pgMar w:left="300" w:top="1084"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6</w:t>
            </w:r>
          </w:p>
        </w:tc>
      </w:tr>
      <w:tr>
        <w:trPr>
          <w:trHeight w:val="84"/>
        </w:trPr>
        <w:tc>
          <w:tcPr>
            <w:tcW w:w="1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jc w:val="center"/>
              <w:ind w:right="79"/>
              <w:spacing w:after="0"/>
              <w:rPr>
                <w:sz w:val="20"/>
                <w:szCs w:val="20"/>
                <w:color w:val="auto"/>
              </w:rPr>
            </w:pPr>
            <w:r>
              <w:rPr>
                <w:rFonts w:ascii="Times New Roman" w:cs="Times New Roman" w:eastAsia="Times New Roman" w:hAnsi="Times New Roman"/>
                <w:sz w:val="7"/>
                <w:szCs w:val="7"/>
                <w:b w:val="1"/>
                <w:bCs w:val="1"/>
                <w:color w:val="auto"/>
              </w:rPr>
              <w:t>Accum. Other</w:t>
            </w: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0"/>
        </w:trPr>
        <w:tc>
          <w:tcPr>
            <w:tcW w:w="1720" w:type="dxa"/>
            <w:vAlign w:val="bottom"/>
          </w:tcPr>
          <w:p>
            <w:pPr>
              <w:spacing w:after="0"/>
              <w:rPr>
                <w:sz w:val="7"/>
                <w:szCs w:val="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7"/>
                <w:szCs w:val="7"/>
                <w:b w:val="1"/>
                <w:bCs w:val="1"/>
                <w:color w:val="auto"/>
              </w:rPr>
              <w:t>Preferred Shares Series</w:t>
            </w: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7"/>
                <w:szCs w:val="7"/>
                <w:b w:val="1"/>
                <w:bCs w:val="1"/>
                <w:color w:val="auto"/>
              </w:rPr>
              <w:t>Preferred Shares Series</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7"/>
                <w:szCs w:val="7"/>
                <w:b w:val="1"/>
                <w:bCs w:val="1"/>
                <w:color w:val="auto"/>
              </w:rPr>
              <w:t>Common Shares</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Comprehensive Income</w:t>
            </w: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4"/>
        </w:trPr>
        <w:tc>
          <w:tcPr>
            <w:tcW w:w="1720" w:type="dxa"/>
            <w:vAlign w:val="bottom"/>
          </w:tcPr>
          <w:p>
            <w:pPr>
              <w:spacing w:after="0"/>
              <w:rPr>
                <w:sz w:val="20"/>
                <w:szCs w:val="20"/>
                <w:color w:val="auto"/>
              </w:rPr>
            </w:pPr>
            <w:r>
              <w:rPr>
                <w:rFonts w:ascii="Times New Roman" w:cs="Times New Roman" w:eastAsia="Times New Roman" w:hAnsi="Times New Roman"/>
                <w:sz w:val="7"/>
                <w:szCs w:val="7"/>
                <w:color w:val="auto"/>
              </w:rPr>
              <w:t>(dollars in thousands, except per share amounts)</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7"/>
                <w:szCs w:val="7"/>
                <w:b w:val="1"/>
                <w:bCs w:val="1"/>
                <w:color w:val="auto"/>
              </w:rPr>
              <w:t>A Outstanding</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7"/>
                <w:szCs w:val="7"/>
                <w:b w:val="1"/>
                <w:bCs w:val="1"/>
                <w:color w:val="auto"/>
              </w:rPr>
              <w:t>Preferred Series A Stock</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7"/>
                <w:szCs w:val="7"/>
                <w:b w:val="1"/>
                <w:bCs w:val="1"/>
                <w:color w:val="auto"/>
              </w:rPr>
              <w:t>B Outstanding</w:t>
            </w:r>
          </w:p>
        </w:tc>
        <w:tc>
          <w:tcPr>
            <w:tcW w:w="940" w:type="dxa"/>
            <w:vAlign w:val="bottom"/>
            <w:gridSpan w:val="2"/>
          </w:tcPr>
          <w:p>
            <w:pPr>
              <w:jc w:val="right"/>
              <w:ind w:right="78"/>
              <w:spacing w:after="0"/>
              <w:rPr>
                <w:sz w:val="20"/>
                <w:szCs w:val="20"/>
                <w:color w:val="auto"/>
              </w:rPr>
            </w:pPr>
            <w:r>
              <w:rPr>
                <w:rFonts w:ascii="Times New Roman" w:cs="Times New Roman" w:eastAsia="Times New Roman" w:hAnsi="Times New Roman"/>
                <w:sz w:val="7"/>
                <w:szCs w:val="7"/>
                <w:b w:val="1"/>
                <w:bCs w:val="1"/>
                <w:color w:val="auto"/>
              </w:rPr>
              <w:t>Preferred Series B Stock</w:t>
            </w: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7"/>
                <w:szCs w:val="7"/>
                <w:b w:val="1"/>
                <w:bCs w:val="1"/>
                <w:color w:val="auto"/>
              </w:rPr>
              <w:t>Outstanding</w:t>
            </w:r>
          </w:p>
        </w:tc>
        <w:tc>
          <w:tcPr>
            <w:tcW w:w="160" w:type="dxa"/>
            <w:vAlign w:val="bottom"/>
          </w:tcPr>
          <w:p>
            <w:pPr>
              <w:spacing w:after="0"/>
              <w:rPr>
                <w:sz w:val="8"/>
                <w:szCs w:val="8"/>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160" w:type="dxa"/>
            <w:vAlign w:val="bottom"/>
          </w:tcPr>
          <w:p>
            <w:pPr>
              <w:spacing w:after="0"/>
              <w:rPr>
                <w:sz w:val="8"/>
                <w:szCs w:val="8"/>
                <w:color w:val="auto"/>
              </w:rPr>
            </w:pP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7"/>
                <w:szCs w:val="7"/>
                <w:b w:val="1"/>
                <w:bCs w:val="1"/>
                <w:color w:val="auto"/>
              </w:rPr>
              <w:t>Capital Surplus</w:t>
            </w:r>
          </w:p>
        </w:tc>
        <w:tc>
          <w:tcPr>
            <w:tcW w:w="160" w:type="dxa"/>
            <w:vAlign w:val="bottom"/>
          </w:tcPr>
          <w:p>
            <w:pPr>
              <w:spacing w:after="0"/>
              <w:rPr>
                <w:sz w:val="8"/>
                <w:szCs w:val="8"/>
                <w:color w:val="auto"/>
              </w:rPr>
            </w:pPr>
          </w:p>
        </w:tc>
        <w:tc>
          <w:tcPr>
            <w:tcW w:w="720" w:type="dxa"/>
            <w:vAlign w:val="bottom"/>
          </w:tcPr>
          <w:p>
            <w:pPr>
              <w:jc w:val="center"/>
              <w:ind w:right="99"/>
              <w:spacing w:after="0"/>
              <w:rPr>
                <w:sz w:val="20"/>
                <w:szCs w:val="20"/>
                <w:color w:val="auto"/>
              </w:rPr>
            </w:pPr>
            <w:r>
              <w:rPr>
                <w:rFonts w:ascii="Times New Roman" w:cs="Times New Roman" w:eastAsia="Times New Roman" w:hAnsi="Times New Roman"/>
                <w:sz w:val="7"/>
                <w:szCs w:val="7"/>
                <w:b w:val="1"/>
                <w:bCs w:val="1"/>
                <w:color w:val="auto"/>
                <w:w w:val="98"/>
              </w:rPr>
              <w:t>(Loss)</w:t>
            </w:r>
          </w:p>
        </w:tc>
        <w:tc>
          <w:tcPr>
            <w:tcW w:w="120" w:type="dxa"/>
            <w:vAlign w:val="bottom"/>
          </w:tcPr>
          <w:p>
            <w:pPr>
              <w:spacing w:after="0"/>
              <w:rPr>
                <w:sz w:val="8"/>
                <w:szCs w:val="8"/>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7"/>
                <w:szCs w:val="7"/>
                <w:b w:val="1"/>
                <w:bCs w:val="1"/>
                <w:color w:val="auto"/>
              </w:rPr>
              <w:t>Retained Earnings</w:t>
            </w:r>
          </w:p>
        </w:tc>
        <w:tc>
          <w:tcPr>
            <w:tcW w:w="140" w:type="dxa"/>
            <w:vAlign w:val="bottom"/>
          </w:tcPr>
          <w:p>
            <w:pPr>
              <w:spacing w:after="0"/>
              <w:rPr>
                <w:sz w:val="8"/>
                <w:szCs w:val="8"/>
                <w:color w:val="auto"/>
              </w:rPr>
            </w:pPr>
          </w:p>
        </w:tc>
        <w:tc>
          <w:tcPr>
            <w:tcW w:w="740" w:type="dxa"/>
            <w:vAlign w:val="bottom"/>
          </w:tcPr>
          <w:p>
            <w:pPr>
              <w:jc w:val="right"/>
              <w:ind w:right="158"/>
              <w:spacing w:after="0"/>
              <w:rPr>
                <w:sz w:val="20"/>
                <w:szCs w:val="20"/>
                <w:color w:val="auto"/>
              </w:rPr>
            </w:pPr>
            <w:r>
              <w:rPr>
                <w:rFonts w:ascii="Times New Roman" w:cs="Times New Roman" w:eastAsia="Times New Roman" w:hAnsi="Times New Roman"/>
                <w:sz w:val="7"/>
                <w:szCs w:val="7"/>
                <w:b w:val="1"/>
                <w:bCs w:val="1"/>
                <w:color w:val="auto"/>
              </w:rPr>
              <w:t>Treasury Stock</w:t>
            </w:r>
          </w:p>
        </w:tc>
        <w:tc>
          <w:tcPr>
            <w:tcW w:w="220" w:type="dxa"/>
            <w:vAlign w:val="bottom"/>
          </w:tcPr>
          <w:p>
            <w:pPr>
              <w:spacing w:after="0"/>
              <w:rPr>
                <w:sz w:val="8"/>
                <w:szCs w:val="8"/>
                <w:color w:val="auto"/>
              </w:rPr>
            </w:pPr>
          </w:p>
        </w:tc>
        <w:tc>
          <w:tcPr>
            <w:tcW w:w="620" w:type="dxa"/>
            <w:vAlign w:val="bottom"/>
          </w:tcPr>
          <w:p>
            <w:pPr>
              <w:jc w:val="right"/>
              <w:ind w:right="297"/>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23"/>
        </w:trPr>
        <w:tc>
          <w:tcPr>
            <w:tcW w:w="1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04"/>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of December 31, 2025</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180,000</w:t>
            </w:r>
          </w:p>
        </w:tc>
        <w:tc>
          <w:tcPr>
            <w:tcW w:w="4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Borders>
              <w:bottom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165,000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39,725,698</w:t>
            </w:r>
          </w:p>
        </w:tc>
        <w:tc>
          <w:tcPr>
            <w:tcW w:w="1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587</w:t>
            </w:r>
          </w:p>
        </w:tc>
        <w:tc>
          <w:tcPr>
            <w:tcW w:w="1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664,781</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(244,438)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2,205,707</w:t>
            </w:r>
          </w:p>
        </w:tc>
        <w:tc>
          <w:tcPr>
            <w:tcW w:w="1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(1,120,425)</w:t>
            </w:r>
          </w:p>
        </w:tc>
        <w:tc>
          <w:tcPr>
            <w:tcW w:w="2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1,851,212</w:t>
            </w:r>
          </w:p>
        </w:tc>
      </w:tr>
      <w:tr>
        <w:trPr>
          <w:trHeight w:val="114"/>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57,432</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57,432</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15"/>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Other Comprehensive Loss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(2,779)</w:t>
            </w: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(2,779)</w:t>
            </w:r>
          </w:p>
        </w:tc>
      </w:tr>
      <w:tr>
        <w:trPr>
          <w:trHeight w:val="114"/>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7,459</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7,459</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0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Common Stock Issued Under Purchase and</w:t>
            </w:r>
          </w:p>
        </w:tc>
        <w:tc>
          <w:tcPr>
            <w:tcW w:w="8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r>
      <w:tr>
        <w:trPr>
          <w:trHeight w:val="108"/>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Equity Compensation Plans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237,399</w:t>
            </w:r>
          </w:p>
        </w:tc>
        <w:tc>
          <w:tcPr>
            <w:tcW w:w="16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344</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881</w:t>
            </w:r>
          </w:p>
        </w:tc>
        <w:tc>
          <w:tcPr>
            <w:tcW w:w="2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1,228</w:t>
            </w:r>
          </w:p>
        </w:tc>
      </w:tr>
      <w:tr>
        <w:trPr>
          <w:trHeight w:val="106"/>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Repurchased Under Share</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Repurchase Program</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(194,096)</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(15,109)</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(15,109)</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0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Equity Compensation Plan Common Stock</w:t>
            </w:r>
          </w:p>
        </w:tc>
        <w:tc>
          <w:tcPr>
            <w:tcW w:w="8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r>
      <w:tr>
        <w:trPr>
          <w:trHeight w:val="108"/>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Repurchases</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(148,438)</w:t>
            </w:r>
          </w:p>
        </w:tc>
        <w:tc>
          <w:tcPr>
            <w:tcW w:w="16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(11,280)</w:t>
            </w:r>
          </w:p>
        </w:tc>
        <w:tc>
          <w:tcPr>
            <w:tcW w:w="2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(11,280)</w:t>
            </w:r>
          </w:p>
        </w:tc>
      </w:tr>
      <w:tr>
        <w:trPr>
          <w:trHeight w:val="106"/>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Cash Dividends Declared Common Stock ($0.70</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(28,331)</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(28,331)</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0"/>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Cash Dividends Declared Preferred Stock</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(5,269)</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(5,269)</w:t>
            </w:r>
          </w:p>
        </w:tc>
      </w:tr>
      <w:tr>
        <w:trPr>
          <w:trHeight w:val="103"/>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Balance as of March 31,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180,000</w:t>
            </w:r>
          </w:p>
        </w:tc>
        <w:tc>
          <w:tcPr>
            <w:tcW w:w="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165,000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39,620,563</w:t>
            </w: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590</w:t>
            </w: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672,584</w:t>
            </w: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(247,217)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2,229,539</w:t>
            </w:r>
          </w:p>
        </w:tc>
        <w:tc>
          <w:tcPr>
            <w:tcW w:w="1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(1,145,933)</w:t>
            </w:r>
          </w:p>
        </w:tc>
        <w:tc>
          <w:tcPr>
            <w:tcW w:w="2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1,854,563</w:t>
            </w:r>
          </w:p>
        </w:tc>
      </w:tr>
      <w:tr>
        <w:trPr>
          <w:trHeight w:val="37"/>
        </w:trPr>
        <w:tc>
          <w:tcPr>
            <w:tcW w:w="17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62"/>
        </w:trPr>
        <w:tc>
          <w:tcPr>
            <w:tcW w:w="1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14"/>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of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180,000</w:t>
            </w:r>
          </w:p>
        </w:tc>
        <w:tc>
          <w:tcPr>
            <w:tcW w:w="480" w:type="dxa"/>
            <w:vAlign w:val="bottom"/>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165,000</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39,762,255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585</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647,403</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(343,389)</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2,133,838</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(1,115,663)</w:t>
            </w:r>
          </w:p>
        </w:tc>
        <w:tc>
          <w:tcPr>
            <w:tcW w:w="2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1,667,774</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15"/>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Net Income</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43,985</w:t>
            </w:r>
          </w:p>
        </w:tc>
        <w:tc>
          <w:tcPr>
            <w:tcW w:w="1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43,985</w:t>
            </w:r>
          </w:p>
        </w:tc>
      </w:tr>
      <w:tr>
        <w:trPr>
          <w:trHeight w:val="114"/>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Other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24,992</w:t>
            </w:r>
          </w:p>
        </w:tc>
        <w:tc>
          <w:tcPr>
            <w:tcW w:w="120" w:type="dxa"/>
            <w:vAlign w:val="bottom"/>
          </w:tcPr>
          <w:p>
            <w:pPr>
              <w:spacing w:after="0"/>
              <w:rPr>
                <w:sz w:val="9"/>
                <w:szCs w:val="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24,992</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15"/>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Share-Based Compensation</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3,680</w:t>
            </w: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3,680</w:t>
            </w:r>
          </w:p>
        </w:tc>
      </w:tr>
      <w:tr>
        <w:trPr>
          <w:trHeight w:val="106"/>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 Under Purchase and</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Equity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19,477</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291</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1,023</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1,315</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06"/>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Equity Compensation Plan Common Stock</w:t>
            </w:r>
          </w:p>
        </w:tc>
        <w:tc>
          <w:tcPr>
            <w:tcW w:w="8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r>
      <w:tr>
        <w:trPr>
          <w:trHeight w:val="108"/>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Repurchases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(47,428)</w:t>
            </w:r>
          </w:p>
        </w:tc>
        <w:tc>
          <w:tcPr>
            <w:tcW w:w="160" w:type="dxa"/>
            <w:vAlign w:val="bottom"/>
            <w:tcBorders>
              <w:bottom w:val="single" w:sz="8" w:color="CFF0FC"/>
            </w:tcBorders>
            <w:shd w:val="clear" w:color="auto" w:fill="CFF0FC"/>
          </w:tcPr>
          <w:p>
            <w:pPr>
              <w:spacing w:after="0"/>
              <w:rPr>
                <w:sz w:val="9"/>
                <w:szCs w:val="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9"/>
                <w:szCs w:val="9"/>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9"/>
                <w:szCs w:val="9"/>
                <w:color w:val="auto"/>
              </w:rPr>
            </w:pPr>
          </w:p>
        </w:tc>
        <w:tc>
          <w:tcPr>
            <w:tcW w:w="76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(3,314)</w:t>
            </w:r>
          </w:p>
        </w:tc>
        <w:tc>
          <w:tcPr>
            <w:tcW w:w="220" w:type="dxa"/>
            <w:vAlign w:val="bottom"/>
            <w:tcBorders>
              <w:bottom w:val="single" w:sz="8" w:color="CFF0FC"/>
            </w:tcBorders>
            <w:shd w:val="clear" w:color="auto" w:fill="CFF0FC"/>
          </w:tcPr>
          <w:p>
            <w:pPr>
              <w:spacing w:after="0"/>
              <w:rPr>
                <w:sz w:val="9"/>
                <w:szCs w:val="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(3,314)</w:t>
            </w:r>
          </w:p>
        </w:tc>
      </w:tr>
      <w:tr>
        <w:trPr>
          <w:trHeight w:val="106"/>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Cash Dividends Declared Common Stock ($0.70</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07"/>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spacing w:after="0"/>
              <w:rPr>
                <w:sz w:val="9"/>
                <w:szCs w:val="9"/>
                <w:color w:val="auto"/>
              </w:rPr>
            </w:pPr>
          </w:p>
        </w:tc>
        <w:tc>
          <w:tcPr>
            <w:tcW w:w="4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6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(28,228)</w:t>
            </w:r>
          </w:p>
        </w:tc>
        <w:tc>
          <w:tcPr>
            <w:tcW w:w="140" w:type="dxa"/>
            <w:vAlign w:val="bottom"/>
          </w:tcPr>
          <w:p>
            <w:pPr>
              <w:spacing w:after="0"/>
              <w:rPr>
                <w:sz w:val="9"/>
                <w:szCs w:val="9"/>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(28,228)</w:t>
            </w: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0"/>
        </w:trPr>
        <w:tc>
          <w:tcPr>
            <w:tcW w:w="1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Cash Dividends Declared Preferred Stock</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(5,269)</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(5,269)</w:t>
            </w:r>
          </w:p>
        </w:tc>
      </w:tr>
      <w:tr>
        <w:trPr>
          <w:trHeight w:val="103"/>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Balance as of March 31,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180,000</w:t>
            </w:r>
          </w:p>
        </w:tc>
        <w:tc>
          <w:tcPr>
            <w:tcW w:w="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165,000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39,734,304</w:t>
            </w: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586</w:t>
            </w: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651,374</w:t>
            </w:r>
          </w:p>
        </w:tc>
        <w:tc>
          <w:tcPr>
            <w:tcW w:w="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(318,397)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7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2,144,326</w:t>
            </w:r>
          </w:p>
        </w:tc>
        <w:tc>
          <w:tcPr>
            <w:tcW w:w="1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(1,117,954)</w:t>
            </w:r>
          </w:p>
        </w:tc>
        <w:tc>
          <w:tcPr>
            <w:tcW w:w="2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1,704,935</w:t>
            </w: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084"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 xml:space="preserve">Average Balances and Interest Rates - Taxable-Equivalent Basis </w:t>
            </w:r>
            <w:r>
              <w:rPr>
                <w:rFonts w:ascii="Times New Roman" w:cs="Times New Roman" w:eastAsia="Times New Roman" w:hAnsi="Times New Roman"/>
                <w:sz w:val="18"/>
                <w:szCs w:val="18"/>
                <w:b w:val="1"/>
                <w:bCs w:val="1"/>
                <w:color w:val="auto"/>
                <w:vertAlign w:val="superscript"/>
              </w:rPr>
              <w:t>1</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w w:val="93"/>
              </w:rPr>
              <w:t>Table 7</w:t>
            </w:r>
          </w:p>
        </w:tc>
      </w:tr>
      <w:tr>
        <w:trPr>
          <w:trHeight w:val="104"/>
        </w:trPr>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8"/>
                <w:szCs w:val="8"/>
                <w:b w:val="1"/>
                <w:bCs w:val="1"/>
                <w:color w:val="auto"/>
              </w:rPr>
              <w:t>Three Months Ended March 31, 2026</w:t>
            </w: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8"/>
                <w:szCs w:val="8"/>
                <w:b w:val="1"/>
                <w:bCs w:val="1"/>
                <w:color w:val="auto"/>
                <w:w w:val="98"/>
              </w:rPr>
              <w:t>Three Months Ended December 31, 2025</w:t>
            </w: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8"/>
                <w:szCs w:val="8"/>
                <w:b w:val="1"/>
                <w:bCs w:val="1"/>
                <w:color w:val="auto"/>
              </w:rPr>
              <w:t>Three Months Ended March 31, 2025</w:t>
            </w:r>
          </w:p>
        </w:tc>
        <w:tc>
          <w:tcPr>
            <w:tcW w:w="740" w:type="dxa"/>
            <w:vAlign w:val="bottom"/>
            <w:tcBorders>
              <w:bottom w:val="single" w:sz="8" w:color="auto"/>
            </w:tcBorders>
          </w:tcPr>
          <w:p>
            <w:pPr>
              <w:spacing w:after="0"/>
              <w:rPr>
                <w:sz w:val="9"/>
                <w:szCs w:val="9"/>
                <w:color w:val="auto"/>
              </w:rPr>
            </w:pPr>
          </w:p>
        </w:tc>
      </w:tr>
      <w:tr>
        <w:trPr>
          <w:trHeight w:val="13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(dollars in millions)</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rPr>
              <w:t>Yield/Rate</w:t>
            </w:r>
          </w:p>
        </w:tc>
      </w:tr>
      <w:tr>
        <w:trPr>
          <w:trHeight w:val="10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Earning Assets</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r>
      <w:tr>
        <w:trPr>
          <w:trHeight w:val="11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372.5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3.58 %</w:t>
            </w:r>
          </w:p>
        </w:tc>
        <w:tc>
          <w:tcPr>
            <w:tcW w:w="8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604.5</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3.84 %</w:t>
            </w:r>
          </w:p>
        </w:tc>
        <w:tc>
          <w:tcPr>
            <w:tcW w:w="8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500.0</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4.37 %</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r>
      <w:tr>
        <w:trPr>
          <w:trHeight w:val="11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Available-for-Sale</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3,598.1</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34.2</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3.82</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3,363.4</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32.5</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3.86</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2,790.3</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24.1</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3.47</w:t>
            </w:r>
          </w:p>
        </w:tc>
      </w:tr>
      <w:tr>
        <w:trPr>
          <w:trHeight w:val="114"/>
        </w:trPr>
        <w:tc>
          <w:tcPr>
            <w:tcW w:w="26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32.1</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0.4</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5.07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32.0</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5.80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21.3</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0.3</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5.68</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Held-to-Maturity</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r>
      <w:tr>
        <w:trPr>
          <w:trHeight w:val="114"/>
        </w:trPr>
        <w:tc>
          <w:tcPr>
            <w:tcW w:w="26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4,175.4</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1.76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4,265.7</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18.8</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1.76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4,548.6</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1.77</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33.5</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2.10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33.7</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2.10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34.1</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2.09</w:t>
            </w:r>
          </w:p>
        </w:tc>
      </w:tr>
      <w:tr>
        <w:trPr>
          <w:trHeight w:val="103"/>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Investment Securities</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7,839.1</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53.2</w:t>
            </w: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8"/>
                <w:szCs w:val="8"/>
                <w:color w:val="auto"/>
              </w:rPr>
              <w:t>2.72</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7,694.8</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52.0</w:t>
            </w: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2.70</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7,394.3</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44.8</w:t>
            </w: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2.43</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Loans Held for Sale</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w:t>
            </w:r>
          </w:p>
        </w:tc>
        <w:tc>
          <w:tcPr>
            <w:tcW w:w="2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5.22</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w:t>
            </w: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5.51</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w:t>
            </w:r>
          </w:p>
        </w:tc>
        <w:tc>
          <w:tcPr>
            <w:tcW w:w="24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6.06</w:t>
            </w:r>
          </w:p>
        </w:tc>
      </w:tr>
      <w:tr>
        <w:trPr>
          <w:trHeight w:val="135"/>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Loans and Leases </w:t>
            </w:r>
            <w:r>
              <w:rPr>
                <w:rFonts w:ascii="Times New Roman" w:cs="Times New Roman" w:eastAsia="Times New Roman" w:hAnsi="Times New Roman"/>
                <w:sz w:val="10"/>
                <w:szCs w:val="10"/>
                <w:color w:val="auto"/>
                <w:vertAlign w:val="superscript"/>
              </w:rPr>
              <w:t>3</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1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Commercial Mortgage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4,220.6</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54.1</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5.19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4,124.5</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55.2</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5.31</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4,015.2</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52.5</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5.30</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and Industrial</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1,583.4</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18.7</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4.79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1,590.0</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19.6</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4.90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1,703.7</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21.3</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5.06</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Construction</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215.7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6.46</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265.5</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6.89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338.5</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7.22</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Lease Financing</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86.9</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4.29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89.7</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4.19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91.1</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3.83</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Residential Mortgage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4,781.9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47.8</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4.00</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4,719.8</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47.5</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4.03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4,616.7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44.8</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3.88</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Home Equity</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2,103.1</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4.55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2,122.1</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24.3</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4.54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2,154.4</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22.5</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4.23</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Automobile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684.6</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5.57</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692.7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5.49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752.6</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5.02</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407.7</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7.76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409.2</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7.64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390.0</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7.1</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7.41</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Loans and Leases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14,083.9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165.7</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4.75</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14,013.5</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169.6</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4.81</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14,062.2</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164.4</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4.72</w:t>
            </w:r>
          </w:p>
        </w:tc>
      </w:tr>
      <w:tr>
        <w:trPr>
          <w:trHeight w:val="103"/>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Other</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81.9</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8"/>
                <w:szCs w:val="8"/>
                <w:color w:val="auto"/>
              </w:rPr>
              <w:t>6.31</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82.2</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6.06</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65.1</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6.67</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Earning Assets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22,381.0</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223.6</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4.03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22,397.4</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228.8</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4.07</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22,023.9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215.8</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3.95</w:t>
            </w:r>
          </w:p>
        </w:tc>
      </w:tr>
      <w:tr>
        <w:trPr>
          <w:trHeight w:val="103"/>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Non-Earning Assets</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1,534.3</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1,561.0</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1,614.2</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r>
      <w:tr>
        <w:trPr>
          <w:trHeight w:val="21"/>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14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23,915.3</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23,958.4</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23,638.1</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r>
        <w:trPr>
          <w:trHeight w:val="12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15"/>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Interest-Bearing Liabilities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r>
      <w:tr>
        <w:trPr>
          <w:trHeight w:val="11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Interest-Bearing Deposits</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Demand</w:t>
            </w:r>
          </w:p>
        </w:tc>
        <w:tc>
          <w:tcPr>
            <w:tcW w:w="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3,839.0</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0.69 %</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3,697.9</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0.78 %</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3,773.4</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0.76 %</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Savings</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8,668.4</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1.81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8,738.2</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44.3</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2.01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8,544.5</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2.23</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Time</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2,753.6</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w:t>
            </w:r>
          </w:p>
        </w:tc>
        <w:tc>
          <w:tcPr>
            <w:tcW w:w="2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2.89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2,974.0</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23.9</w:t>
            </w: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3.18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3,037.3</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27.5</w:t>
            </w:r>
          </w:p>
        </w:tc>
        <w:tc>
          <w:tcPr>
            <w:tcW w:w="2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3.67</w:t>
            </w:r>
          </w:p>
        </w:tc>
      </w:tr>
      <w:tr>
        <w:trPr>
          <w:trHeight w:val="103"/>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Interest-Bearing Deposits</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15,261.0</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64.9</w:t>
            </w: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8"/>
                <w:szCs w:val="8"/>
                <w:color w:val="auto"/>
              </w:rPr>
              <w:t>1.72</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15,410.1</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75.5</w:t>
            </w:r>
          </w:p>
        </w:tc>
        <w:tc>
          <w:tcPr>
            <w:tcW w:w="2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1.94</w:t>
            </w: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15,355.2</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81.7</w:t>
            </w: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2.16</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3.89</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3.89</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76.7</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0.7</w:t>
            </w:r>
          </w:p>
        </w:tc>
        <w:tc>
          <w:tcPr>
            <w:tcW w:w="24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3.88</w:t>
            </w:r>
          </w:p>
        </w:tc>
      </w:tr>
      <w:tr>
        <w:trPr>
          <w:trHeight w:val="11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Other Debt</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560.9</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w:t>
            </w: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4.23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558.2</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w:t>
            </w: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4.23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578.2</w:t>
            </w:r>
          </w:p>
        </w:tc>
        <w:tc>
          <w:tcPr>
            <w:tcW w:w="120" w:type="dxa"/>
            <w:vAlign w:val="bottom"/>
          </w:tcPr>
          <w:p>
            <w:pPr>
              <w:spacing w:after="0"/>
              <w:rPr>
                <w:sz w:val="9"/>
                <w:szCs w:val="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w:t>
            </w: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4.24</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Interest-Bearing Liabilities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15,871.9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71.2</w:t>
            </w: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1.82</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16,018.3</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81.9</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2.03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16,010.1</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88.5</w:t>
            </w: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2.24</w:t>
            </w:r>
          </w:p>
        </w:tc>
      </w:tr>
      <w:tr>
        <w:trPr>
          <w:trHeight w:val="140"/>
        </w:trPr>
        <w:tc>
          <w:tcPr>
            <w:tcW w:w="26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Net Interest Income</w:t>
            </w:r>
          </w:p>
        </w:tc>
        <w:tc>
          <w:tcPr>
            <w:tcW w:w="1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152.4</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146.9</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127.3</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r>
      <w:tr>
        <w:trPr>
          <w:trHeight w:val="9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Interest Rate Spread</w:t>
            </w: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8"/>
                <w:szCs w:val="8"/>
                <w:color w:val="auto"/>
              </w:rPr>
              <w:t>2.21 %</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2.04 %</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1.71 %</w:t>
            </w:r>
          </w:p>
        </w:tc>
      </w:tr>
      <w:tr>
        <w:trPr>
          <w:trHeight w:val="114"/>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Interest Margin</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8"/>
                <w:szCs w:val="8"/>
                <w:color w:val="auto"/>
              </w:rPr>
              <w:t>2.74 %</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2.61 %</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2.32 %</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5"/>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Noninterest-Bearing Demand Deposits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5,654.4</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5,570.1</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5,314.3</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r>
      <w:tr>
        <w:trPr>
          <w:trHeight w:val="11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10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521.8</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556.0</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638.1</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35"/>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Shareholders' Equity</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1,867.2</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1,814.0</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1,675.6</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Liabilities and Shareholders' Equity</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23,915.3</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23,958.4</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23,638.1</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8" w:lineRule="exact"/>
        <w:rPr>
          <w:sz w:val="20"/>
          <w:szCs w:val="20"/>
          <w:color w:val="auto"/>
        </w:rPr>
      </w:pPr>
    </w:p>
    <w:p>
      <w:pPr>
        <w:ind w:left="48" w:hanging="48"/>
        <w:spacing w:after="0"/>
        <w:tabs>
          <w:tab w:leader="none" w:pos="48" w:val="left"/>
        </w:tabs>
        <w:numPr>
          <w:ilvl w:val="0"/>
          <w:numId w:val="7"/>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Due to rounding, the amounts presented in this table may not tie to other amounts presented elsewhere in this report.</w:t>
      </w:r>
    </w:p>
    <w:p>
      <w:pPr>
        <w:ind w:left="48" w:hanging="48"/>
        <w:spacing w:after="0" w:line="198" w:lineRule="auto"/>
        <w:tabs>
          <w:tab w:leader="none" w:pos="48" w:val="left"/>
        </w:tabs>
        <w:numPr>
          <w:ilvl w:val="0"/>
          <w:numId w:val="8"/>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Interest income includes taxable-equivalent basis adjustments, based upon a federal statutory tax rate of 21%, of $1.4 million, $1.6 million, and $1.5 million for the three months ended March 31, 2026, December 31, 2025, and March 31, 2025, respectively.</w:t>
      </w:r>
    </w:p>
    <w:p>
      <w:pPr>
        <w:ind w:left="8"/>
        <w:spacing w:after="0"/>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9"/>
          <w:szCs w:val="9"/>
          <w:color w:val="auto"/>
          <w:vertAlign w:val="superscript"/>
        </w:rPr>
        <w:t>3</w:t>
      </w:r>
      <w:r>
        <w:rPr>
          <w:rFonts w:ascii="Times New Roman" w:cs="Times New Roman" w:eastAsia="Times New Roman" w:hAnsi="Times New Roman"/>
          <w:sz w:val="7"/>
          <w:szCs w:val="7"/>
          <w:color w:val="auto"/>
        </w:rPr>
        <w:t xml:space="preserve"> Non-performing loans and leases are included in the respective average loan and lease balances.</w:t>
      </w:r>
    </w:p>
    <w:p>
      <w:pPr>
        <w:sectPr>
          <w:pgSz w:w="11900" w:h="16838" w:orient="portrait"/>
          <w:cols w:equalWidth="0" w:num="1">
            <w:col w:w="11308"/>
          </w:cols>
          <w:pgMar w:left="292" w:top="1084"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2"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Analysis of Change in Net Interest Income - Taxable-Equivalent Basis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8a</w:t>
            </w:r>
          </w:p>
        </w:tc>
      </w:tr>
      <w:tr>
        <w:trPr>
          <w:trHeight w:val="125"/>
        </w:trPr>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 2026</w:t>
            </w: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3"/>
        </w:trPr>
        <w:tc>
          <w:tcPr>
            <w:tcW w:w="6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Compared to December 31, 2025</w:t>
            </w: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6"/>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(dollars in millions)</w:t>
            </w: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 xml:space="preserve">Volume </w:t>
            </w:r>
            <w:r>
              <w:rPr>
                <w:rFonts w:ascii="Times New Roman" w:cs="Times New Roman" w:eastAsia="Times New Roman" w:hAnsi="Times New Roman"/>
                <w:sz w:val="12"/>
                <w:szCs w:val="12"/>
                <w:b w:val="1"/>
                <w:bCs w:val="1"/>
                <w:color w:val="auto"/>
                <w:vertAlign w:val="superscript"/>
              </w:rPr>
              <w:t>1</w:t>
            </w: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0"/>
              </w:rPr>
              <w:t xml:space="preserve">Rate </w:t>
            </w:r>
            <w:r>
              <w:rPr>
                <w:rFonts w:ascii="Times New Roman" w:cs="Times New Roman" w:eastAsia="Times New Roman" w:hAnsi="Times New Roman"/>
                <w:sz w:val="12"/>
                <w:szCs w:val="12"/>
                <w:b w:val="1"/>
                <w:bCs w:val="1"/>
                <w:color w:val="auto"/>
                <w:w w:val="90"/>
                <w:vertAlign w:val="superscript"/>
              </w:rPr>
              <w:t>1</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51"/>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Interest Income:</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6"/>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(0.4)</w:t>
            </w:r>
          </w:p>
        </w:tc>
        <w:tc>
          <w:tcPr>
            <w:tcW w:w="4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6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 Securities</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5"/>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Available-for-Sale</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9"/>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(0.4)</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55"/>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Non-Taxable</w:t>
            </w:r>
          </w:p>
        </w:tc>
        <w:tc>
          <w:tcPr>
            <w:tcW w:w="340" w:type="dxa"/>
            <w:vAlign w:val="bottom"/>
          </w:tcPr>
          <w:p>
            <w:pPr>
              <w:spacing w:after="0"/>
              <w:rPr>
                <w:sz w:val="13"/>
                <w:szCs w:val="13"/>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8"/>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Held-to-Maturity</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6"/>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40" w:type="dxa"/>
            <w:vAlign w:val="bottom"/>
          </w:tcPr>
          <w:p>
            <w:pPr>
              <w:spacing w:after="0"/>
              <w:rPr>
                <w:sz w:val="13"/>
                <w:szCs w:val="13"/>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62"/>
        </w:trPr>
        <w:tc>
          <w:tcPr>
            <w:tcW w:w="6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Non-Taxable</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(0.5)</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8"/>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Mortgage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0.6</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6"/>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tcPr>
          <w:p>
            <w:pPr>
              <w:spacing w:after="0"/>
              <w:rPr>
                <w:sz w:val="13"/>
                <w:szCs w:val="13"/>
                <w:color w:val="auto"/>
              </w:rPr>
            </w:pP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(0.8)</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68"/>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Construction</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56"/>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Lease Financing</w:t>
            </w:r>
          </w:p>
        </w:tc>
        <w:tc>
          <w:tcPr>
            <w:tcW w:w="340" w:type="dxa"/>
            <w:vAlign w:val="bottom"/>
          </w:tcPr>
          <w:p>
            <w:pPr>
              <w:spacing w:after="0"/>
              <w:rPr>
                <w:sz w:val="13"/>
                <w:szCs w:val="13"/>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Pr>
          <w:p>
            <w:pPr>
              <w:spacing w:after="0"/>
              <w:rPr>
                <w:sz w:val="13"/>
                <w:szCs w:val="13"/>
                <w:color w:val="auto"/>
              </w:rPr>
            </w:pPr>
          </w:p>
        </w:tc>
        <w:tc>
          <w:tcPr>
            <w:tcW w:w="1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68"/>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Mortgage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0.6</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5"/>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Home Equity</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40" w:type="dxa"/>
            <w:vAlign w:val="bottom"/>
          </w:tcPr>
          <w:p>
            <w:pPr>
              <w:spacing w:after="0"/>
              <w:rPr>
                <w:sz w:val="13"/>
                <w:szCs w:val="13"/>
                <w:color w:val="auto"/>
              </w:rPr>
            </w:pP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69"/>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Automobile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5"/>
        </w:trPr>
        <w:tc>
          <w:tcPr>
            <w:tcW w:w="6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1"/>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Loans and Leases</w:t>
            </w:r>
          </w:p>
        </w:tc>
        <w:tc>
          <w:tcPr>
            <w:tcW w:w="3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4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1"/>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Income</w:t>
            </w:r>
          </w:p>
        </w:tc>
        <w:tc>
          <w:tcPr>
            <w:tcW w:w="3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4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85"/>
        </w:trPr>
        <w:tc>
          <w:tcPr>
            <w:tcW w:w="6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6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Interest Expense:</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9"/>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Demand</w:t>
            </w: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0.2</w:t>
            </w: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(0.9)</w:t>
            </w: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5"/>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40" w:type="dxa"/>
            <w:vAlign w:val="bottom"/>
          </w:tcPr>
          <w:p>
            <w:pPr>
              <w:spacing w:after="0"/>
              <w:rPr>
                <w:sz w:val="13"/>
                <w:szCs w:val="13"/>
                <w:color w:val="auto"/>
              </w:rPr>
            </w:pPr>
          </w:p>
        </w:tc>
        <w:tc>
          <w:tcPr>
            <w:tcW w:w="1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62"/>
        </w:trPr>
        <w:tc>
          <w:tcPr>
            <w:tcW w:w="6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w:t>
            </w:r>
          </w:p>
        </w:tc>
        <w:tc>
          <w:tcPr>
            <w:tcW w:w="4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(8.5)</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r>
      <w:tr>
        <w:trPr>
          <w:trHeight w:val="15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3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5"/>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 Debt</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1"/>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Expense</w:t>
            </w:r>
          </w:p>
        </w:tc>
        <w:tc>
          <w:tcPr>
            <w:tcW w:w="3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w:t>
            </w:r>
          </w:p>
        </w:tc>
        <w:tc>
          <w:tcPr>
            <w:tcW w:w="4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r>
      <w:tr>
        <w:trPr>
          <w:trHeight w:val="94"/>
        </w:trPr>
        <w:tc>
          <w:tcPr>
            <w:tcW w:w="6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167"/>
        </w:trPr>
        <w:tc>
          <w:tcPr>
            <w:tcW w:w="6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Net Interest Income</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bl>
    <w:p>
      <w:pPr>
        <w:spacing w:after="0" w:line="135" w:lineRule="exact"/>
        <w:rPr>
          <w:sz w:val="20"/>
          <w:szCs w:val="20"/>
          <w:color w:val="auto"/>
        </w:rPr>
      </w:pPr>
    </w:p>
    <w:p>
      <w:pPr>
        <w:ind w:left="48" w:hanging="48"/>
        <w:spacing w:after="0"/>
        <w:tabs>
          <w:tab w:leader="none" w:pos="48" w:val="left"/>
        </w:tabs>
        <w:numPr>
          <w:ilvl w:val="0"/>
          <w:numId w:val="9"/>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The change in interest income and expense due to both volume and rate has been allocated between the factors in proportion to the relationship of the absolute dollar amounts of the change in each.</w:t>
      </w:r>
    </w:p>
    <w:p>
      <w:pPr>
        <w:sectPr>
          <w:pgSz w:w="11900" w:h="16838" w:orient="portrait"/>
          <w:cols w:equalWidth="0" w:num="1">
            <w:col w:w="11308"/>
          </w:cols>
          <w:pgMar w:left="292" w:top="1084"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2"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Analysis of Change in Net Interest Income - Taxable-Equivalent Basis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8b</w:t>
            </w:r>
          </w:p>
        </w:tc>
      </w:tr>
      <w:tr>
        <w:trPr>
          <w:trHeight w:val="125"/>
        </w:trPr>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 2026</w:t>
            </w: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3"/>
        </w:trPr>
        <w:tc>
          <w:tcPr>
            <w:tcW w:w="6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5"/>
              </w:rPr>
              <w:t>Compared to March 31, 2025</w:t>
            </w: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6"/>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(dollars in millions)</w:t>
            </w: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 xml:space="preserve">Volume </w:t>
            </w:r>
            <w:r>
              <w:rPr>
                <w:rFonts w:ascii="Times New Roman" w:cs="Times New Roman" w:eastAsia="Times New Roman" w:hAnsi="Times New Roman"/>
                <w:sz w:val="12"/>
                <w:szCs w:val="12"/>
                <w:b w:val="1"/>
                <w:bCs w:val="1"/>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0"/>
              </w:rPr>
              <w:t xml:space="preserve">Rate </w:t>
            </w:r>
            <w:r>
              <w:rPr>
                <w:rFonts w:ascii="Times New Roman" w:cs="Times New Roman" w:eastAsia="Times New Roman" w:hAnsi="Times New Roman"/>
                <w:sz w:val="12"/>
                <w:szCs w:val="12"/>
                <w:b w:val="1"/>
                <w:bCs w:val="1"/>
                <w:color w:val="auto"/>
                <w:w w:val="90"/>
                <w:vertAlign w:val="superscript"/>
              </w:rPr>
              <w:t>1</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51"/>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Interest Income:</w:t>
            </w: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56"/>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(0.9)</w:t>
            </w:r>
          </w:p>
        </w:tc>
        <w:tc>
          <w:tcPr>
            <w:tcW w:w="4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6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Investment Securities</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56"/>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Available-for-Sale</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8"/>
        </w:trPr>
        <w:tc>
          <w:tcPr>
            <w:tcW w:w="6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7.5</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2.6</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w:t>
            </w:r>
          </w:p>
        </w:tc>
      </w:tr>
      <w:tr>
        <w:trPr>
          <w:trHeight w:val="155"/>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Non-Taxable</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0.1</w:t>
            </w:r>
          </w:p>
        </w:tc>
        <w:tc>
          <w:tcPr>
            <w:tcW w:w="180" w:type="dxa"/>
            <w:vAlign w:val="bottom"/>
          </w:tcPr>
          <w:p>
            <w:pPr>
              <w:spacing w:after="0"/>
              <w:rPr>
                <w:sz w:val="13"/>
                <w:szCs w:val="13"/>
                <w:color w:val="auto"/>
              </w:rPr>
            </w:pP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9"/>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Held-to-Maturity</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55"/>
        </w:trPr>
        <w:tc>
          <w:tcPr>
            <w:tcW w:w="6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tcPr>
          <w:p>
            <w:pPr>
              <w:spacing w:after="0"/>
              <w:rPr>
                <w:sz w:val="13"/>
                <w:szCs w:val="13"/>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62"/>
        </w:trPr>
        <w:tc>
          <w:tcPr>
            <w:tcW w:w="636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Non-Taxable</w:t>
            </w:r>
          </w:p>
        </w:tc>
        <w:tc>
          <w:tcPr>
            <w:tcW w:w="3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0.0</w:t>
            </w: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color w:val="auto"/>
              </w:rPr>
              <w:t>6.0</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5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0.0</w:t>
            </w: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9"/>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Commercial Mortgage</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5"/>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tcPr>
          <w:p>
            <w:pPr>
              <w:spacing w:after="0"/>
              <w:rPr>
                <w:sz w:val="13"/>
                <w:szCs w:val="13"/>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68"/>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Construction</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(2.0)</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(0.6)</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6"/>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Lease Financing</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0.0</w:t>
            </w:r>
          </w:p>
        </w:tc>
        <w:tc>
          <w:tcPr>
            <w:tcW w:w="180" w:type="dxa"/>
            <w:vAlign w:val="bottom"/>
          </w:tcPr>
          <w:p>
            <w:pPr>
              <w:spacing w:after="0"/>
              <w:rPr>
                <w:sz w:val="13"/>
                <w:szCs w:val="13"/>
                <w:color w:val="auto"/>
              </w:rPr>
            </w:pP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68"/>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Residential Mortgage</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56"/>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Home Equity</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(0.5)</w:t>
            </w:r>
          </w:p>
        </w:tc>
        <w:tc>
          <w:tcPr>
            <w:tcW w:w="180" w:type="dxa"/>
            <w:vAlign w:val="bottom"/>
          </w:tcPr>
          <w:p>
            <w:pPr>
              <w:spacing w:after="0"/>
              <w:rPr>
                <w:sz w:val="13"/>
                <w:szCs w:val="13"/>
                <w:color w:val="auto"/>
              </w:rPr>
            </w:pPr>
          </w:p>
        </w:tc>
        <w:tc>
          <w:tcPr>
            <w:tcW w:w="1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68"/>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Automobile</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(0.9)</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6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color w:val="auto"/>
              </w:rPr>
              <w:t>0.3</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0.4</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51"/>
        </w:trPr>
        <w:tc>
          <w:tcPr>
            <w:tcW w:w="6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Loans and Leases</w:t>
            </w:r>
          </w:p>
        </w:tc>
        <w:tc>
          <w:tcPr>
            <w:tcW w:w="3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(0.3)</w:t>
            </w: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42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color w:val="auto"/>
              </w:rPr>
              <w:t>0.4</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1"/>
        </w:trPr>
        <w:tc>
          <w:tcPr>
            <w:tcW w:w="6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Income</w:t>
            </w:r>
          </w:p>
        </w:tc>
        <w:tc>
          <w:tcPr>
            <w:tcW w:w="3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4.9</w:t>
            </w: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2.9</w:t>
            </w:r>
          </w:p>
        </w:tc>
        <w:tc>
          <w:tcPr>
            <w:tcW w:w="42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86"/>
        </w:trPr>
        <w:tc>
          <w:tcPr>
            <w:tcW w:w="6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6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Interest Expense:</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9"/>
        </w:trPr>
        <w:tc>
          <w:tcPr>
            <w:tcW w:w="6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Demand</w:t>
            </w:r>
          </w:p>
        </w:tc>
        <w:tc>
          <w:tcPr>
            <w:tcW w:w="340" w:type="dxa"/>
            <w:vAlign w:val="bottom"/>
            <w:shd w:val="clear" w:color="auto" w:fill="CFF0FC"/>
          </w:tcPr>
          <w:p>
            <w:pPr>
              <w:spacing w:after="0"/>
              <w:rPr>
                <w:sz w:val="14"/>
                <w:szCs w:val="14"/>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0.2</w:t>
            </w:r>
          </w:p>
        </w:tc>
        <w:tc>
          <w:tcPr>
            <w:tcW w:w="18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(0.7)</w:t>
            </w:r>
          </w:p>
        </w:tc>
        <w:tc>
          <w:tcPr>
            <w:tcW w:w="4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5"/>
        </w:trPr>
        <w:tc>
          <w:tcPr>
            <w:tcW w:w="6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w:t>
            </w:r>
          </w:p>
        </w:tc>
        <w:tc>
          <w:tcPr>
            <w:tcW w:w="340" w:type="dxa"/>
            <w:vAlign w:val="bottom"/>
          </w:tcPr>
          <w:p>
            <w:pPr>
              <w:spacing w:after="0"/>
              <w:rPr>
                <w:sz w:val="13"/>
                <w:szCs w:val="13"/>
                <w:color w:val="auto"/>
              </w:rPr>
            </w:pPr>
          </w:p>
        </w:tc>
        <w:tc>
          <w:tcPr>
            <w:tcW w:w="1280" w:type="dxa"/>
            <w:vAlign w:val="bottom"/>
          </w:tcPr>
          <w:p>
            <w:pPr>
              <w:jc w:val="center"/>
              <w:ind w:left="926"/>
              <w:spacing w:after="0"/>
              <w:rPr>
                <w:sz w:val="20"/>
                <w:szCs w:val="20"/>
                <w:color w:val="auto"/>
              </w:rPr>
            </w:pPr>
            <w:r>
              <w:rPr>
                <w:rFonts w:ascii="Times New Roman" w:cs="Times New Roman" w:eastAsia="Times New Roman" w:hAnsi="Times New Roman"/>
                <w:sz w:val="11"/>
                <w:szCs w:val="11"/>
                <w:color w:val="auto"/>
              </w:rPr>
              <w:t>0.6</w:t>
            </w:r>
          </w:p>
        </w:tc>
        <w:tc>
          <w:tcPr>
            <w:tcW w:w="180" w:type="dxa"/>
            <w:vAlign w:val="bottom"/>
          </w:tcPr>
          <w:p>
            <w:pPr>
              <w:spacing w:after="0"/>
              <w:rPr>
                <w:sz w:val="13"/>
                <w:szCs w:val="13"/>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4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r>
        <w:trPr>
          <w:trHeight w:val="162"/>
        </w:trPr>
        <w:tc>
          <w:tcPr>
            <w:tcW w:w="63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Time</w:t>
            </w:r>
          </w:p>
        </w:tc>
        <w:tc>
          <w:tcPr>
            <w:tcW w:w="3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(2.4)</w:t>
            </w: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(5.5)</w:t>
            </w:r>
          </w:p>
        </w:tc>
        <w:tc>
          <w:tcPr>
            <w:tcW w:w="4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(15.2)</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w:t>
            </w:r>
          </w:p>
        </w:tc>
      </w:tr>
      <w:tr>
        <w:trPr>
          <w:trHeight w:val="15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(0.3)</w:t>
            </w: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56"/>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 Debt</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926"/>
              <w:spacing w:after="0"/>
              <w:rPr>
                <w:sz w:val="20"/>
                <w:szCs w:val="20"/>
                <w:color w:val="auto"/>
              </w:rPr>
            </w:pPr>
            <w:r>
              <w:rPr>
                <w:rFonts w:ascii="Times New Roman" w:cs="Times New Roman" w:eastAsia="Times New Roman" w:hAnsi="Times New Roman"/>
                <w:sz w:val="11"/>
                <w:szCs w:val="11"/>
                <w:color w:val="auto"/>
              </w:rPr>
              <w:t>(0.2)</w:t>
            </w: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0.0</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51"/>
        </w:trPr>
        <w:tc>
          <w:tcPr>
            <w:tcW w:w="6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Expense</w:t>
            </w:r>
          </w:p>
        </w:tc>
        <w:tc>
          <w:tcPr>
            <w:tcW w:w="34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(2.1)</w:t>
            </w:r>
          </w:p>
        </w:tc>
        <w:tc>
          <w:tcPr>
            <w:tcW w:w="180" w:type="dxa"/>
            <w:vAlign w:val="bottom"/>
            <w:tcBorders>
              <w:bottom w:val="single" w:sz="8" w:color="auto"/>
            </w:tcBorders>
            <w:shd w:val="clear" w:color="auto" w:fill="CFF0FC"/>
          </w:tcPr>
          <w:p>
            <w:pPr>
              <w:spacing w:after="0"/>
              <w:rPr>
                <w:sz w:val="13"/>
                <w:szCs w:val="13"/>
                <w:color w:val="auto"/>
              </w:rPr>
            </w:pPr>
          </w:p>
        </w:tc>
        <w:tc>
          <w:tcPr>
            <w:tcW w:w="150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(15.2)</w:t>
            </w:r>
          </w:p>
        </w:tc>
        <w:tc>
          <w:tcPr>
            <w:tcW w:w="42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w:t>
            </w:r>
          </w:p>
        </w:tc>
      </w:tr>
      <w:tr>
        <w:trPr>
          <w:trHeight w:val="94"/>
        </w:trPr>
        <w:tc>
          <w:tcPr>
            <w:tcW w:w="6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r>
        <w:trPr>
          <w:trHeight w:val="167"/>
        </w:trPr>
        <w:tc>
          <w:tcPr>
            <w:tcW w:w="6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Change in Net Interest Income</w:t>
            </w:r>
          </w:p>
        </w:tc>
        <w:tc>
          <w:tcPr>
            <w:tcW w:w="340" w:type="dxa"/>
            <w:vAlign w:val="bottom"/>
            <w:tcBorders>
              <w:bottom w:val="single" w:sz="8" w:color="auto"/>
            </w:tcBorders>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center"/>
              <w:ind w:left="926"/>
              <w:spacing w:after="0"/>
              <w:rPr>
                <w:sz w:val="20"/>
                <w:szCs w:val="20"/>
                <w:color w:val="auto"/>
              </w:rPr>
            </w:pPr>
            <w:r>
              <w:rPr>
                <w:rFonts w:ascii="Times New Roman" w:cs="Times New Roman" w:eastAsia="Times New Roman" w:hAnsi="Times New Roman"/>
                <w:sz w:val="11"/>
                <w:szCs w:val="11"/>
                <w:color w:val="auto"/>
              </w:rPr>
              <w:t>7.0</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18.1</w:t>
            </w:r>
          </w:p>
        </w:tc>
        <w:tc>
          <w:tcPr>
            <w:tcW w:w="42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25.1</w:t>
            </w:r>
          </w:p>
        </w:tc>
      </w:tr>
    </w:tbl>
    <w:p>
      <w:pPr>
        <w:spacing w:after="0" w:line="99" w:lineRule="exact"/>
        <w:rPr>
          <w:sz w:val="20"/>
          <w:szCs w:val="20"/>
          <w:color w:val="auto"/>
        </w:rPr>
      </w:pPr>
    </w:p>
    <w:p>
      <w:pPr>
        <w:ind w:left="48" w:hanging="48"/>
        <w:spacing w:after="0"/>
        <w:tabs>
          <w:tab w:leader="none" w:pos="48" w:val="left"/>
        </w:tabs>
        <w:numPr>
          <w:ilvl w:val="0"/>
          <w:numId w:val="10"/>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The change in interest income and expense due to both volume and rate has been allocated between the factors in proportion to the relationship of the absolute dollar amounts of the change in each.</w:t>
      </w:r>
    </w:p>
    <w:p>
      <w:pPr>
        <w:sectPr>
          <w:pgSz w:w="11900" w:h="16838" w:orient="portrait"/>
          <w:cols w:equalWidth="0" w:num="1">
            <w:col w:w="11308"/>
          </w:cols>
          <w:pgMar w:left="292" w:top="108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Salaries and Benefits</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9</w:t>
            </w:r>
          </w:p>
        </w:tc>
      </w:tr>
      <w:tr>
        <w:trPr>
          <w:trHeight w:val="128"/>
        </w:trPr>
        <w:tc>
          <w:tcPr>
            <w:tcW w:w="56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3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(dollars in thousands)</w:t>
            </w: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9"/>
                <w:szCs w:val="9"/>
                <w:b w:val="1"/>
                <w:bCs w:val="1"/>
                <w:color w:val="auto"/>
              </w:rPr>
              <w:t>March 31, 2026</w:t>
            </w:r>
          </w:p>
        </w:tc>
        <w:tc>
          <w:tcPr>
            <w:tcW w:w="3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9"/>
                <w:szCs w:val="9"/>
                <w:b w:val="1"/>
                <w:bCs w:val="1"/>
                <w:color w:val="auto"/>
              </w:rPr>
              <w:t>March 31, 2025</w:t>
            </w:r>
          </w:p>
        </w:tc>
      </w:tr>
      <w:tr>
        <w:trPr>
          <w:trHeight w:val="16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Salaries</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38,990</w:t>
            </w:r>
          </w:p>
        </w:tc>
        <w:tc>
          <w:tcPr>
            <w:tcW w:w="3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39,915</w:t>
            </w: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38,242</w:t>
            </w:r>
          </w:p>
        </w:tc>
      </w:tr>
      <w:tr>
        <w:trPr>
          <w:trHeight w:val="155"/>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340" w:type="dxa"/>
            <w:vAlign w:val="bottom"/>
          </w:tcPr>
          <w:p>
            <w:pPr>
              <w:spacing w:after="0"/>
              <w:rPr>
                <w:sz w:val="13"/>
                <w:szCs w:val="13"/>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7,282</w:t>
            </w:r>
          </w:p>
        </w:tc>
        <w:tc>
          <w:tcPr>
            <w:tcW w:w="340" w:type="dxa"/>
            <w:vAlign w:val="bottom"/>
          </w:tcPr>
          <w:p>
            <w:pPr>
              <w:spacing w:after="0"/>
              <w:rPr>
                <w:sz w:val="13"/>
                <w:szCs w:val="1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4,379</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3,501</w:t>
            </w:r>
          </w:p>
        </w:tc>
      </w:tr>
      <w:tr>
        <w:trPr>
          <w:trHeight w:val="16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Incentive Compensation</w:t>
            </w: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6,083</w:t>
            </w: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4,535</w:t>
            </w: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5,573</w:t>
            </w:r>
          </w:p>
        </w:tc>
      </w:tr>
      <w:tr>
        <w:trPr>
          <w:trHeight w:val="155"/>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Payroll Taxes</w:t>
            </w:r>
          </w:p>
        </w:tc>
        <w:tc>
          <w:tcPr>
            <w:tcW w:w="340" w:type="dxa"/>
            <w:vAlign w:val="bottom"/>
          </w:tcPr>
          <w:p>
            <w:pPr>
              <w:spacing w:after="0"/>
              <w:rPr>
                <w:sz w:val="13"/>
                <w:szCs w:val="13"/>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5,321</w:t>
            </w:r>
          </w:p>
        </w:tc>
        <w:tc>
          <w:tcPr>
            <w:tcW w:w="340" w:type="dxa"/>
            <w:vAlign w:val="bottom"/>
          </w:tcPr>
          <w:p>
            <w:pPr>
              <w:spacing w:after="0"/>
              <w:rPr>
                <w:sz w:val="13"/>
                <w:szCs w:val="1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2,740</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4,766</w:t>
            </w:r>
          </w:p>
        </w:tc>
      </w:tr>
      <w:tr>
        <w:trPr>
          <w:trHeight w:val="16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Retirement and Other Benefits</w:t>
            </w: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4,597</w:t>
            </w: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4,378</w:t>
            </w: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5,061</w:t>
            </w:r>
          </w:p>
        </w:tc>
      </w:tr>
      <w:tr>
        <w:trPr>
          <w:trHeight w:val="156"/>
        </w:trPr>
        <w:tc>
          <w:tcPr>
            <w:tcW w:w="5660" w:type="dxa"/>
            <w:vAlign w:val="bottom"/>
          </w:tcPr>
          <w:p>
            <w:pPr>
              <w:spacing w:after="0"/>
              <w:rPr>
                <w:sz w:val="20"/>
                <w:szCs w:val="20"/>
                <w:color w:val="auto"/>
              </w:rPr>
            </w:pPr>
            <w:r>
              <w:rPr>
                <w:rFonts w:ascii="Times New Roman" w:cs="Times New Roman" w:eastAsia="Times New Roman" w:hAnsi="Times New Roman"/>
                <w:sz w:val="11"/>
                <w:szCs w:val="11"/>
                <w:color w:val="auto"/>
              </w:rPr>
              <w:t>Medical, Dental, and Life Insurance</w:t>
            </w:r>
          </w:p>
        </w:tc>
        <w:tc>
          <w:tcPr>
            <w:tcW w:w="340" w:type="dxa"/>
            <w:vAlign w:val="bottom"/>
          </w:tcPr>
          <w:p>
            <w:pPr>
              <w:spacing w:after="0"/>
              <w:rPr>
                <w:sz w:val="13"/>
                <w:szCs w:val="13"/>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4,222</w:t>
            </w:r>
          </w:p>
        </w:tc>
        <w:tc>
          <w:tcPr>
            <w:tcW w:w="340" w:type="dxa"/>
            <w:vAlign w:val="bottom"/>
          </w:tcPr>
          <w:p>
            <w:pPr>
              <w:spacing w:after="0"/>
              <w:rPr>
                <w:sz w:val="13"/>
                <w:szCs w:val="1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3,916</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4,537</w:t>
            </w:r>
          </w:p>
        </w:tc>
      </w:tr>
      <w:tr>
        <w:trPr>
          <w:trHeight w:val="16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Commission Expense</w:t>
            </w: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1,213</w:t>
            </w: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1,670</w:t>
            </w: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r>
      <w:tr>
        <w:trPr>
          <w:trHeight w:val="156"/>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Separation Expense</w:t>
            </w: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749</w:t>
            </w: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142</w:t>
            </w: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w:t>
            </w:r>
          </w:p>
        </w:tc>
      </w:tr>
      <w:tr>
        <w:trPr>
          <w:trHeight w:val="173"/>
        </w:trPr>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Salaries and Benefits</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68,457</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61,675</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62,884</w:t>
            </w:r>
          </w:p>
        </w:tc>
      </w:tr>
    </w:tbl>
    <w:p>
      <w:pPr>
        <w:sectPr>
          <w:pgSz w:w="11900" w:h="16838" w:orient="portrait"/>
          <w:cols w:equalWidth="0" w:num="1">
            <w:col w:w="11300"/>
          </w:cols>
          <w:pgMar w:left="300" w:top="108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Loan and Lease Portfolio Balances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10</w:t>
            </w:r>
          </w:p>
        </w:tc>
      </w:tr>
      <w:tr>
        <w:trPr>
          <w:trHeight w:val="104"/>
        </w:trPr>
        <w:tc>
          <w:tcPr>
            <w:tcW w:w="3120" w:type="dxa"/>
            <w:vAlign w:val="bottom"/>
          </w:tcPr>
          <w:p>
            <w:pPr>
              <w:spacing w:after="0"/>
              <w:rPr>
                <w:sz w:val="9"/>
                <w:szCs w:val="9"/>
                <w:color w:val="auto"/>
              </w:rPr>
            </w:pPr>
          </w:p>
        </w:tc>
        <w:tc>
          <w:tcPr>
            <w:tcW w:w="1000" w:type="dxa"/>
            <w:vAlign w:val="bottom"/>
          </w:tcPr>
          <w:p>
            <w:pPr>
              <w:jc w:val="center"/>
              <w:ind w:left="489"/>
              <w:spacing w:after="0" w:line="104"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center"/>
              <w:ind w:right="267"/>
              <w:spacing w:after="0" w:line="104"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9"/>
                <w:szCs w:val="9"/>
                <w:color w:val="auto"/>
              </w:rPr>
            </w:pPr>
          </w:p>
        </w:tc>
        <w:tc>
          <w:tcPr>
            <w:tcW w:w="1380" w:type="dxa"/>
            <w:vAlign w:val="bottom"/>
          </w:tcPr>
          <w:p>
            <w:pPr>
              <w:jc w:val="center"/>
              <w:ind w:right="188"/>
              <w:spacing w:after="0" w:line="104"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00" w:type="dxa"/>
            <w:vAlign w:val="bottom"/>
          </w:tcPr>
          <w:p>
            <w:pPr>
              <w:spacing w:after="0"/>
              <w:rPr>
                <w:sz w:val="9"/>
                <w:szCs w:val="9"/>
                <w:color w:val="auto"/>
              </w:rPr>
            </w:pPr>
          </w:p>
        </w:tc>
        <w:tc>
          <w:tcPr>
            <w:tcW w:w="1260" w:type="dxa"/>
            <w:vAlign w:val="bottom"/>
          </w:tcPr>
          <w:p>
            <w:pPr>
              <w:jc w:val="center"/>
              <w:ind w:right="307"/>
              <w:spacing w:after="0" w:line="104" w:lineRule="exact"/>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9"/>
                <w:szCs w:val="9"/>
                <w:color w:val="auto"/>
              </w:rPr>
            </w:pPr>
          </w:p>
        </w:tc>
        <w:tc>
          <w:tcPr>
            <w:tcW w:w="1260" w:type="dxa"/>
            <w:vAlign w:val="bottom"/>
          </w:tcPr>
          <w:p>
            <w:pPr>
              <w:jc w:val="center"/>
              <w:ind w:right="267"/>
              <w:spacing w:after="0" w:line="104" w:lineRule="exact"/>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34"/>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1000" w:type="dxa"/>
            <w:vAlign w:val="bottom"/>
          </w:tcPr>
          <w:p>
            <w:pPr>
              <w:jc w:val="center"/>
              <w:ind w:left="509"/>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60" w:type="dxa"/>
            <w:vAlign w:val="bottom"/>
          </w:tcPr>
          <w:p>
            <w:pPr>
              <w:spacing w:after="0"/>
              <w:rPr>
                <w:sz w:val="11"/>
                <w:szCs w:val="11"/>
                <w:color w:val="auto"/>
              </w:rPr>
            </w:pPr>
          </w:p>
        </w:tc>
        <w:tc>
          <w:tcPr>
            <w:tcW w:w="138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400" w:type="dxa"/>
            <w:vAlign w:val="bottom"/>
          </w:tcPr>
          <w:p>
            <w:pPr>
              <w:spacing w:after="0"/>
              <w:rPr>
                <w:sz w:val="11"/>
                <w:szCs w:val="11"/>
                <w:color w:val="auto"/>
              </w:rPr>
            </w:pPr>
          </w:p>
        </w:tc>
        <w:tc>
          <w:tcPr>
            <w:tcW w:w="1260" w:type="dxa"/>
            <w:vAlign w:val="bottom"/>
          </w:tcPr>
          <w:p>
            <w:pPr>
              <w:jc w:val="center"/>
              <w:ind w:right="307"/>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380" w:type="dxa"/>
            <w:vAlign w:val="bottom"/>
          </w:tcPr>
          <w:p>
            <w:pPr>
              <w:spacing w:after="0"/>
              <w:rPr>
                <w:sz w:val="11"/>
                <w:szCs w:val="11"/>
                <w:color w:val="auto"/>
              </w:rPr>
            </w:pPr>
          </w:p>
        </w:tc>
        <w:tc>
          <w:tcPr>
            <w:tcW w:w="126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5"/>
        </w:trPr>
        <w:tc>
          <w:tcPr>
            <w:tcW w:w="3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Commercial Mortgage</w:t>
            </w:r>
          </w:p>
        </w:tc>
        <w:tc>
          <w:tcPr>
            <w:tcW w:w="1000" w:type="dxa"/>
            <w:vAlign w:val="bottom"/>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4,341,448</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4,205,791</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4,040,711</w:t>
            </w:r>
          </w:p>
        </w:tc>
        <w:tc>
          <w:tcPr>
            <w:tcW w:w="40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4,038,956</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4,038,287</w:t>
            </w:r>
          </w:p>
        </w:tc>
      </w:tr>
      <w:tr>
        <w:trPr>
          <w:trHeight w:val="169"/>
        </w:trPr>
        <w:tc>
          <w:tcPr>
            <w:tcW w:w="3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1,575,207</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1,584,245</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1,581,232</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1,597,560</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1,703,290</w:t>
            </w:r>
          </w:p>
        </w:tc>
      </w:tr>
      <w:tr>
        <w:trPr>
          <w:trHeight w:val="155"/>
        </w:trPr>
        <w:tc>
          <w:tcPr>
            <w:tcW w:w="3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Construction</w:t>
            </w:r>
          </w:p>
        </w:tc>
        <w:tc>
          <w:tcPr>
            <w:tcW w:w="10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204,993</w:t>
            </w:r>
          </w:p>
        </w:tc>
        <w:tc>
          <w:tcPr>
            <w:tcW w:w="34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208,584</w:t>
            </w:r>
          </w:p>
        </w:tc>
        <w:tc>
          <w:tcPr>
            <w:tcW w:w="26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380,944</w:t>
            </w:r>
          </w:p>
        </w:tc>
        <w:tc>
          <w:tcPr>
            <w:tcW w:w="400" w:type="dxa"/>
            <w:vAlign w:val="bottom"/>
          </w:tcPr>
          <w:p>
            <w:pPr>
              <w:spacing w:after="0"/>
              <w:rPr>
                <w:sz w:val="13"/>
                <w:szCs w:val="13"/>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374,768</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363,716</w:t>
            </w:r>
          </w:p>
        </w:tc>
      </w:tr>
      <w:tr>
        <w:trPr>
          <w:trHeight w:val="162"/>
        </w:trPr>
        <w:tc>
          <w:tcPr>
            <w:tcW w:w="31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Lease Financing</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84,651</w:t>
            </w: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88,303</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92,213</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92,842</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92,456</w:t>
            </w:r>
          </w:p>
        </w:tc>
      </w:tr>
      <w:tr>
        <w:trPr>
          <w:trHeight w:val="151"/>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Commercial</w:t>
            </w: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6,206,299</w:t>
            </w: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6,086,923</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6,095,100</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6,104,126</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6,197,749</w:t>
            </w:r>
          </w:p>
        </w:tc>
      </w:tr>
      <w:tr>
        <w:trPr>
          <w:trHeight w:val="15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5"/>
        </w:trPr>
        <w:tc>
          <w:tcPr>
            <w:tcW w:w="3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Residential Mortgage</w:t>
            </w:r>
          </w:p>
        </w:tc>
        <w:tc>
          <w:tcPr>
            <w:tcW w:w="10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4,800,256</w:t>
            </w:r>
          </w:p>
        </w:tc>
        <w:tc>
          <w:tcPr>
            <w:tcW w:w="34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4,775,502</w:t>
            </w:r>
          </w:p>
        </w:tc>
        <w:tc>
          <w:tcPr>
            <w:tcW w:w="26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4,685,214</w:t>
            </w:r>
          </w:p>
        </w:tc>
        <w:tc>
          <w:tcPr>
            <w:tcW w:w="400" w:type="dxa"/>
            <w:vAlign w:val="bottom"/>
          </w:tcPr>
          <w:p>
            <w:pPr>
              <w:spacing w:after="0"/>
              <w:rPr>
                <w:sz w:val="13"/>
                <w:szCs w:val="13"/>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4,637,014</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4,630,876</w:t>
            </w:r>
          </w:p>
        </w:tc>
      </w:tr>
      <w:tr>
        <w:trPr>
          <w:trHeight w:val="168"/>
        </w:trPr>
        <w:tc>
          <w:tcPr>
            <w:tcW w:w="3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Home Equity</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2,095,521</w:t>
            </w: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2,114,809</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2,129,599</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2,139,025</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2,144,955</w:t>
            </w:r>
          </w:p>
        </w:tc>
      </w:tr>
      <w:tr>
        <w:trPr>
          <w:trHeight w:val="156"/>
        </w:trPr>
        <w:tc>
          <w:tcPr>
            <w:tcW w:w="3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Automobile</w:t>
            </w:r>
          </w:p>
        </w:tc>
        <w:tc>
          <w:tcPr>
            <w:tcW w:w="10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680,570</w:t>
            </w:r>
          </w:p>
        </w:tc>
        <w:tc>
          <w:tcPr>
            <w:tcW w:w="34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690,376</w:t>
            </w:r>
          </w:p>
        </w:tc>
        <w:tc>
          <w:tcPr>
            <w:tcW w:w="26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699,244</w:t>
            </w:r>
          </w:p>
        </w:tc>
        <w:tc>
          <w:tcPr>
            <w:tcW w:w="400" w:type="dxa"/>
            <w:vAlign w:val="bottom"/>
          </w:tcPr>
          <w:p>
            <w:pPr>
              <w:spacing w:after="0"/>
              <w:rPr>
                <w:sz w:val="13"/>
                <w:szCs w:val="13"/>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715,688</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740,390</w:t>
            </w:r>
          </w:p>
        </w:tc>
      </w:tr>
      <w:tr>
        <w:trPr>
          <w:trHeight w:val="162"/>
        </w:trPr>
        <w:tc>
          <w:tcPr>
            <w:tcW w:w="31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410,165</w:t>
            </w: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414,440</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412,422</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406,325</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401,353</w:t>
            </w:r>
          </w:p>
        </w:tc>
      </w:tr>
      <w:tr>
        <w:trPr>
          <w:trHeight w:val="151"/>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Consumer</w:t>
            </w: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7,986,512</w:t>
            </w: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7,995,127</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7,926,479</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7,898,052</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7,917,574</w:t>
            </w:r>
          </w:p>
        </w:tc>
      </w:tr>
      <w:tr>
        <w:trPr>
          <w:trHeight w:val="174"/>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Loans and Leases</w:t>
            </w:r>
          </w:p>
        </w:tc>
        <w:tc>
          <w:tcPr>
            <w:tcW w:w="100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14,192,811</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14,082,050</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14,021,579</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14,002,178</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14,115,323</w:t>
            </w:r>
          </w:p>
        </w:tc>
      </w:tr>
      <w:tr>
        <w:trPr>
          <w:trHeight w:val="598"/>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13"/>
        </w:trPr>
        <w:tc>
          <w:tcPr>
            <w:tcW w:w="3120" w:type="dxa"/>
            <w:vAlign w:val="bottom"/>
          </w:tcPr>
          <w:p>
            <w:pPr>
              <w:spacing w:after="0"/>
              <w:rPr>
                <w:sz w:val="9"/>
                <w:szCs w:val="9"/>
                <w:color w:val="auto"/>
              </w:rPr>
            </w:pPr>
          </w:p>
        </w:tc>
        <w:tc>
          <w:tcPr>
            <w:tcW w:w="1000" w:type="dxa"/>
            <w:vAlign w:val="bottom"/>
          </w:tcPr>
          <w:p>
            <w:pPr>
              <w:jc w:val="center"/>
              <w:ind w:left="489"/>
              <w:spacing w:after="0" w:line="113"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center"/>
              <w:ind w:right="267"/>
              <w:spacing w:after="0" w:line="113"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9"/>
                <w:szCs w:val="9"/>
                <w:color w:val="auto"/>
              </w:rPr>
            </w:pPr>
          </w:p>
        </w:tc>
        <w:tc>
          <w:tcPr>
            <w:tcW w:w="1380" w:type="dxa"/>
            <w:vAlign w:val="bottom"/>
          </w:tcPr>
          <w:p>
            <w:pPr>
              <w:jc w:val="center"/>
              <w:ind w:right="188"/>
              <w:spacing w:after="0" w:line="113"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00" w:type="dxa"/>
            <w:vAlign w:val="bottom"/>
          </w:tcPr>
          <w:p>
            <w:pPr>
              <w:spacing w:after="0"/>
              <w:rPr>
                <w:sz w:val="9"/>
                <w:szCs w:val="9"/>
                <w:color w:val="auto"/>
              </w:rPr>
            </w:pPr>
          </w:p>
        </w:tc>
        <w:tc>
          <w:tcPr>
            <w:tcW w:w="1260" w:type="dxa"/>
            <w:vAlign w:val="bottom"/>
          </w:tcPr>
          <w:p>
            <w:pPr>
              <w:jc w:val="center"/>
              <w:ind w:right="307"/>
              <w:spacing w:after="0" w:line="113" w:lineRule="exact"/>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9"/>
                <w:szCs w:val="9"/>
                <w:color w:val="auto"/>
              </w:rPr>
            </w:pPr>
          </w:p>
        </w:tc>
        <w:tc>
          <w:tcPr>
            <w:tcW w:w="1260" w:type="dxa"/>
            <w:vAlign w:val="bottom"/>
          </w:tcPr>
          <w:p>
            <w:pPr>
              <w:jc w:val="center"/>
              <w:ind w:right="267"/>
              <w:spacing w:after="0" w:line="113" w:lineRule="exact"/>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25"/>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1000" w:type="dxa"/>
            <w:vAlign w:val="bottom"/>
          </w:tcPr>
          <w:p>
            <w:pPr>
              <w:jc w:val="center"/>
              <w:ind w:left="509"/>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60" w:type="dxa"/>
            <w:vAlign w:val="bottom"/>
          </w:tcPr>
          <w:p>
            <w:pPr>
              <w:spacing w:after="0"/>
              <w:rPr>
                <w:sz w:val="10"/>
                <w:szCs w:val="10"/>
                <w:color w:val="auto"/>
              </w:rPr>
            </w:pPr>
          </w:p>
        </w:tc>
        <w:tc>
          <w:tcPr>
            <w:tcW w:w="138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400" w:type="dxa"/>
            <w:vAlign w:val="bottom"/>
          </w:tcPr>
          <w:p>
            <w:pPr>
              <w:spacing w:after="0"/>
              <w:rPr>
                <w:sz w:val="10"/>
                <w:szCs w:val="10"/>
                <w:color w:val="auto"/>
              </w:rPr>
            </w:pPr>
          </w:p>
        </w:tc>
        <w:tc>
          <w:tcPr>
            <w:tcW w:w="1260" w:type="dxa"/>
            <w:vAlign w:val="bottom"/>
          </w:tcPr>
          <w:p>
            <w:pPr>
              <w:jc w:val="center"/>
              <w:ind w:right="307"/>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380" w:type="dxa"/>
            <w:vAlign w:val="bottom"/>
          </w:tcPr>
          <w:p>
            <w:pPr>
              <w:spacing w:after="0"/>
              <w:rPr>
                <w:sz w:val="10"/>
                <w:szCs w:val="10"/>
                <w:color w:val="auto"/>
              </w:rPr>
            </w:pPr>
          </w:p>
        </w:tc>
        <w:tc>
          <w:tcPr>
            <w:tcW w:w="126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100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10,530,223</w:t>
            </w:r>
          </w:p>
        </w:tc>
        <w:tc>
          <w:tcPr>
            <w:tcW w:w="3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10,466,617</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10,393,932</w:t>
            </w:r>
          </w:p>
        </w:tc>
        <w:tc>
          <w:tcPr>
            <w:tcW w:w="40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10,429,271</w:t>
            </w: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10,522,627</w:t>
            </w: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Commercial</w:t>
            </w:r>
          </w:p>
        </w:tc>
        <w:tc>
          <w:tcPr>
            <w:tcW w:w="10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8,340,279</w:t>
            </w:r>
          </w:p>
        </w:tc>
        <w:tc>
          <w:tcPr>
            <w:tcW w:w="34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8,597,265</w:t>
            </w:r>
          </w:p>
        </w:tc>
        <w:tc>
          <w:tcPr>
            <w:tcW w:w="26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8,348,396</w:t>
            </w:r>
          </w:p>
        </w:tc>
        <w:tc>
          <w:tcPr>
            <w:tcW w:w="400" w:type="dxa"/>
            <w:vAlign w:val="bottom"/>
          </w:tcPr>
          <w:p>
            <w:pPr>
              <w:spacing w:after="0"/>
              <w:rPr>
                <w:sz w:val="13"/>
                <w:szCs w:val="13"/>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8,243,898</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8,411,838</w:t>
            </w:r>
          </w:p>
        </w:tc>
      </w:tr>
      <w:tr>
        <w:trPr>
          <w:trHeight w:val="162"/>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Public and Other</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2,087,428</w:t>
            </w: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2,124,613</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2,338,341</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2,125,745</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2,073,752</w:t>
            </w:r>
          </w:p>
        </w:tc>
      </w:tr>
      <w:tr>
        <w:trPr>
          <w:trHeight w:val="151"/>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Deposits</w:t>
            </w:r>
          </w:p>
        </w:tc>
        <w:tc>
          <w:tcPr>
            <w:tcW w:w="1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20,957,930</w:t>
            </w:r>
          </w:p>
        </w:tc>
        <w:tc>
          <w:tcPr>
            <w:tcW w:w="3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21,188,495</w:t>
            </w: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21,080,669</w:t>
            </w:r>
          </w:p>
        </w:tc>
        <w:tc>
          <w:tcPr>
            <w:tcW w:w="4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20,798,914</w:t>
            </w: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21,008,217</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9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Average Deposits</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21"/>
        </w:trPr>
        <w:tc>
          <w:tcPr>
            <w:tcW w:w="3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6"/>
        </w:trPr>
        <w:tc>
          <w:tcPr>
            <w:tcW w:w="3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08"/>
        </w:trPr>
        <w:tc>
          <w:tcPr>
            <w:tcW w:w="3120" w:type="dxa"/>
            <w:vAlign w:val="bottom"/>
          </w:tcPr>
          <w:p>
            <w:pPr>
              <w:spacing w:after="0"/>
              <w:rPr>
                <w:sz w:val="9"/>
                <w:szCs w:val="9"/>
                <w:color w:val="auto"/>
              </w:rPr>
            </w:pPr>
          </w:p>
        </w:tc>
        <w:tc>
          <w:tcPr>
            <w:tcW w:w="1000" w:type="dxa"/>
            <w:vAlign w:val="bottom"/>
          </w:tcPr>
          <w:p>
            <w:pPr>
              <w:jc w:val="center"/>
              <w:ind w:left="489"/>
              <w:spacing w:after="0" w:line="108"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jc w:val="center"/>
              <w:ind w:right="267"/>
              <w:spacing w:after="0" w:line="108"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60" w:type="dxa"/>
            <w:vAlign w:val="bottom"/>
          </w:tcPr>
          <w:p>
            <w:pPr>
              <w:spacing w:after="0"/>
              <w:rPr>
                <w:sz w:val="9"/>
                <w:szCs w:val="9"/>
                <w:color w:val="auto"/>
              </w:rPr>
            </w:pPr>
          </w:p>
        </w:tc>
        <w:tc>
          <w:tcPr>
            <w:tcW w:w="1380" w:type="dxa"/>
            <w:vAlign w:val="bottom"/>
          </w:tcPr>
          <w:p>
            <w:pPr>
              <w:jc w:val="center"/>
              <w:ind w:right="188"/>
              <w:spacing w:after="0" w:line="108"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400" w:type="dxa"/>
            <w:vAlign w:val="bottom"/>
          </w:tcPr>
          <w:p>
            <w:pPr>
              <w:spacing w:after="0"/>
              <w:rPr>
                <w:sz w:val="9"/>
                <w:szCs w:val="9"/>
                <w:color w:val="auto"/>
              </w:rPr>
            </w:pPr>
          </w:p>
        </w:tc>
        <w:tc>
          <w:tcPr>
            <w:tcW w:w="1260" w:type="dxa"/>
            <w:vAlign w:val="bottom"/>
          </w:tcPr>
          <w:p>
            <w:pPr>
              <w:jc w:val="center"/>
              <w:ind w:right="307"/>
              <w:spacing w:after="0" w:line="108" w:lineRule="exact"/>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9"/>
                <w:szCs w:val="9"/>
                <w:color w:val="auto"/>
              </w:rPr>
            </w:pPr>
          </w:p>
        </w:tc>
        <w:tc>
          <w:tcPr>
            <w:tcW w:w="1260" w:type="dxa"/>
            <w:vAlign w:val="bottom"/>
          </w:tcPr>
          <w:p>
            <w:pPr>
              <w:jc w:val="center"/>
              <w:ind w:right="267"/>
              <w:spacing w:after="0" w:line="108" w:lineRule="exact"/>
              <w:rPr>
                <w:sz w:val="20"/>
                <w:szCs w:val="20"/>
                <w:color w:val="auto"/>
              </w:rPr>
            </w:pPr>
            <w:r>
              <w:rPr>
                <w:rFonts w:ascii="Times New Roman" w:cs="Times New Roman" w:eastAsia="Times New Roman" w:hAnsi="Times New Roman"/>
                <w:sz w:val="10"/>
                <w:szCs w:val="10"/>
                <w:b w:val="1"/>
                <w:bCs w:val="1"/>
                <w:color w:val="auto"/>
                <w:w w:val="95"/>
              </w:rPr>
              <w:t>March 31,</w:t>
            </w:r>
          </w:p>
        </w:tc>
      </w:tr>
      <w:tr>
        <w:trPr>
          <w:trHeight w:val="125"/>
        </w:trPr>
        <w:tc>
          <w:tcPr>
            <w:tcW w:w="312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1000" w:type="dxa"/>
            <w:vAlign w:val="bottom"/>
          </w:tcPr>
          <w:p>
            <w:pPr>
              <w:jc w:val="center"/>
              <w:ind w:left="509"/>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60" w:type="dxa"/>
            <w:vAlign w:val="bottom"/>
          </w:tcPr>
          <w:p>
            <w:pPr>
              <w:spacing w:after="0"/>
              <w:rPr>
                <w:sz w:val="10"/>
                <w:szCs w:val="10"/>
                <w:color w:val="auto"/>
              </w:rPr>
            </w:pPr>
          </w:p>
        </w:tc>
        <w:tc>
          <w:tcPr>
            <w:tcW w:w="138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400" w:type="dxa"/>
            <w:vAlign w:val="bottom"/>
          </w:tcPr>
          <w:p>
            <w:pPr>
              <w:spacing w:after="0"/>
              <w:rPr>
                <w:sz w:val="10"/>
                <w:szCs w:val="10"/>
                <w:color w:val="auto"/>
              </w:rPr>
            </w:pPr>
          </w:p>
        </w:tc>
        <w:tc>
          <w:tcPr>
            <w:tcW w:w="1260" w:type="dxa"/>
            <w:vAlign w:val="bottom"/>
          </w:tcPr>
          <w:p>
            <w:pPr>
              <w:jc w:val="center"/>
              <w:ind w:right="307"/>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380" w:type="dxa"/>
            <w:vAlign w:val="bottom"/>
          </w:tcPr>
          <w:p>
            <w:pPr>
              <w:spacing w:after="0"/>
              <w:rPr>
                <w:sz w:val="10"/>
                <w:szCs w:val="10"/>
                <w:color w:val="auto"/>
              </w:rPr>
            </w:pPr>
          </w:p>
        </w:tc>
        <w:tc>
          <w:tcPr>
            <w:tcW w:w="126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3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100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10,461,004</w:t>
            </w:r>
          </w:p>
        </w:tc>
        <w:tc>
          <w:tcPr>
            <w:tcW w:w="3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10,373,200</w:t>
            </w: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10,387,715</w:t>
            </w:r>
          </w:p>
        </w:tc>
        <w:tc>
          <w:tcPr>
            <w:tcW w:w="40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10,435,867</w:t>
            </w: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10,408,747</w:t>
            </w: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1"/>
                <w:szCs w:val="11"/>
                <w:color w:val="auto"/>
              </w:rPr>
              <w:t>Commercial</w:t>
            </w:r>
          </w:p>
        </w:tc>
        <w:tc>
          <w:tcPr>
            <w:tcW w:w="100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8,431,519</w:t>
            </w:r>
          </w:p>
        </w:tc>
        <w:tc>
          <w:tcPr>
            <w:tcW w:w="34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8,478,592</w:t>
            </w:r>
          </w:p>
        </w:tc>
        <w:tc>
          <w:tcPr>
            <w:tcW w:w="260" w:type="dxa"/>
            <w:vAlign w:val="bottom"/>
          </w:tcPr>
          <w:p>
            <w:pPr>
              <w:spacing w:after="0"/>
              <w:rPr>
                <w:sz w:val="13"/>
                <w:szCs w:val="13"/>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8,504,078</w:t>
            </w:r>
          </w:p>
        </w:tc>
        <w:tc>
          <w:tcPr>
            <w:tcW w:w="400" w:type="dxa"/>
            <w:vAlign w:val="bottom"/>
          </w:tcPr>
          <w:p>
            <w:pPr>
              <w:spacing w:after="0"/>
              <w:rPr>
                <w:sz w:val="13"/>
                <w:szCs w:val="13"/>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8,316,893</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8,318,182</w:t>
            </w:r>
          </w:p>
        </w:tc>
      </w:tr>
      <w:tr>
        <w:trPr>
          <w:trHeight w:val="162"/>
        </w:trPr>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Public and Other</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2,022,920</w:t>
            </w:r>
          </w:p>
        </w:tc>
        <w:tc>
          <w:tcPr>
            <w:tcW w:w="3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2,128,407</w:t>
            </w: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2,176,493</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1,946,933</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1,942,610</w:t>
            </w:r>
          </w:p>
        </w:tc>
      </w:tr>
      <w:tr>
        <w:trPr>
          <w:trHeight w:val="151"/>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Deposits</w:t>
            </w:r>
          </w:p>
        </w:tc>
        <w:tc>
          <w:tcPr>
            <w:tcW w:w="10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20,915,443</w:t>
            </w:r>
          </w:p>
        </w:tc>
        <w:tc>
          <w:tcPr>
            <w:tcW w:w="3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20,980,199</w:t>
            </w:r>
          </w:p>
        </w:tc>
        <w:tc>
          <w:tcPr>
            <w:tcW w:w="2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21,068,286</w:t>
            </w:r>
          </w:p>
        </w:tc>
        <w:tc>
          <w:tcPr>
            <w:tcW w:w="4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20,699,693</w:t>
            </w: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20,669,539</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08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Non-Performing Assets and Accruing Loans and Leases Past Due 90 Days or More</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Table 11</w:t>
            </w:r>
          </w:p>
        </w:tc>
      </w:tr>
      <w:tr>
        <w:trPr>
          <w:trHeight w:val="23"/>
        </w:trPr>
        <w:tc>
          <w:tcPr>
            <w:tcW w:w="3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93"/>
        </w:trPr>
        <w:tc>
          <w:tcPr>
            <w:tcW w:w="3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jc w:val="right"/>
              <w:ind w:right="578"/>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320" w:type="dxa"/>
            <w:vAlign w:val="bottom"/>
          </w:tcPr>
          <w:p>
            <w:pPr>
              <w:spacing w:after="0"/>
              <w:rPr>
                <w:sz w:val="8"/>
                <w:szCs w:val="8"/>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320" w:type="dxa"/>
            <w:vAlign w:val="bottom"/>
          </w:tcPr>
          <w:p>
            <w:pPr>
              <w:spacing w:after="0"/>
              <w:rPr>
                <w:sz w:val="8"/>
                <w:szCs w:val="8"/>
                <w:color w:val="auto"/>
              </w:rPr>
            </w:pPr>
          </w:p>
        </w:tc>
        <w:tc>
          <w:tcPr>
            <w:tcW w:w="128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380" w:type="dxa"/>
            <w:vAlign w:val="bottom"/>
          </w:tcPr>
          <w:p>
            <w:pPr>
              <w:spacing w:after="0"/>
              <w:rPr>
                <w:sz w:val="8"/>
                <w:szCs w:val="8"/>
                <w:color w:val="auto"/>
              </w:rPr>
            </w:pPr>
          </w:p>
        </w:tc>
        <w:tc>
          <w:tcPr>
            <w:tcW w:w="1220" w:type="dxa"/>
            <w:vAlign w:val="bottom"/>
          </w:tcPr>
          <w:p>
            <w:pPr>
              <w:jc w:val="right"/>
              <w:ind w:right="618"/>
              <w:spacing w:after="0"/>
              <w:rPr>
                <w:sz w:val="20"/>
                <w:szCs w:val="20"/>
                <w:color w:val="auto"/>
              </w:rPr>
            </w:pPr>
            <w:r>
              <w:rPr>
                <w:rFonts w:ascii="Times New Roman" w:cs="Times New Roman" w:eastAsia="Times New Roman" w:hAnsi="Times New Roman"/>
                <w:sz w:val="8"/>
                <w:szCs w:val="8"/>
                <w:b w:val="1"/>
                <w:bCs w:val="1"/>
                <w:color w:val="auto"/>
              </w:rPr>
              <w:t>June 30,</w:t>
            </w:r>
          </w:p>
        </w:tc>
        <w:tc>
          <w:tcPr>
            <w:tcW w:w="360" w:type="dxa"/>
            <w:vAlign w:val="bottom"/>
          </w:tcPr>
          <w:p>
            <w:pPr>
              <w:spacing w:after="0"/>
              <w:rPr>
                <w:sz w:val="8"/>
                <w:szCs w:val="8"/>
                <w:color w:val="auto"/>
              </w:rPr>
            </w:pPr>
          </w:p>
        </w:tc>
        <w:tc>
          <w:tcPr>
            <w:tcW w:w="1200" w:type="dxa"/>
            <w:vAlign w:val="bottom"/>
          </w:tcPr>
          <w:p>
            <w:pPr>
              <w:jc w:val="right"/>
              <w:ind w:right="537"/>
              <w:spacing w:after="0"/>
              <w:rPr>
                <w:sz w:val="20"/>
                <w:szCs w:val="20"/>
                <w:color w:val="auto"/>
              </w:rPr>
            </w:pPr>
            <w:r>
              <w:rPr>
                <w:rFonts w:ascii="Times New Roman" w:cs="Times New Roman" w:eastAsia="Times New Roman" w:hAnsi="Times New Roman"/>
                <w:sz w:val="8"/>
                <w:szCs w:val="8"/>
                <w:b w:val="1"/>
                <w:bCs w:val="1"/>
                <w:color w:val="auto"/>
              </w:rPr>
              <w:t>March 31,</w:t>
            </w:r>
          </w:p>
        </w:tc>
      </w:tr>
      <w:tr>
        <w:trPr>
          <w:trHeight w:val="109"/>
        </w:trPr>
        <w:tc>
          <w:tcPr>
            <w:tcW w:w="3400" w:type="dxa"/>
            <w:vAlign w:val="bottom"/>
          </w:tcPr>
          <w:p>
            <w:pPr>
              <w:spacing w:after="0"/>
              <w:rPr>
                <w:sz w:val="20"/>
                <w:szCs w:val="20"/>
                <w:color w:val="auto"/>
              </w:rPr>
            </w:pPr>
            <w:r>
              <w:rPr>
                <w:rFonts w:ascii="Times New Roman" w:cs="Times New Roman" w:eastAsia="Times New Roman" w:hAnsi="Times New Roman"/>
                <w:sz w:val="7"/>
                <w:szCs w:val="7"/>
                <w:color w:val="auto"/>
              </w:rPr>
              <w:t>(dollars in thousands)</w:t>
            </w:r>
          </w:p>
        </w:tc>
        <w:tc>
          <w:tcPr>
            <w:tcW w:w="320" w:type="dxa"/>
            <w:vAlign w:val="bottom"/>
          </w:tcPr>
          <w:p>
            <w:pPr>
              <w:spacing w:after="0"/>
              <w:rPr>
                <w:sz w:val="9"/>
                <w:szCs w:val="9"/>
                <w:color w:val="auto"/>
              </w:rPr>
            </w:pPr>
          </w:p>
        </w:tc>
        <w:tc>
          <w:tcPr>
            <w:tcW w:w="1240" w:type="dxa"/>
            <w:vAlign w:val="bottom"/>
          </w:tcPr>
          <w:p>
            <w:pPr>
              <w:jc w:val="right"/>
              <w:ind w:right="678"/>
              <w:spacing w:after="0"/>
              <w:rPr>
                <w:sz w:val="20"/>
                <w:szCs w:val="20"/>
                <w:color w:val="auto"/>
              </w:rPr>
            </w:pPr>
            <w:r>
              <w:rPr>
                <w:rFonts w:ascii="Times New Roman" w:cs="Times New Roman" w:eastAsia="Times New Roman" w:hAnsi="Times New Roman"/>
                <w:sz w:val="8"/>
                <w:szCs w:val="8"/>
                <w:b w:val="1"/>
                <w:bCs w:val="1"/>
                <w:color w:val="auto"/>
              </w:rPr>
              <w:t>2026</w:t>
            </w:r>
          </w:p>
        </w:tc>
        <w:tc>
          <w:tcPr>
            <w:tcW w:w="320" w:type="dxa"/>
            <w:vAlign w:val="bottom"/>
          </w:tcPr>
          <w:p>
            <w:pPr>
              <w:spacing w:after="0"/>
              <w:rPr>
                <w:sz w:val="9"/>
                <w:szCs w:val="9"/>
                <w:color w:val="auto"/>
              </w:rPr>
            </w:pPr>
          </w:p>
        </w:tc>
        <w:tc>
          <w:tcPr>
            <w:tcW w:w="1260" w:type="dxa"/>
            <w:vAlign w:val="bottom"/>
          </w:tcPr>
          <w:p>
            <w:pPr>
              <w:jc w:val="right"/>
              <w:ind w:right="658"/>
              <w:spacing w:after="0"/>
              <w:rPr>
                <w:sz w:val="20"/>
                <w:szCs w:val="20"/>
                <w:color w:val="auto"/>
              </w:rPr>
            </w:pPr>
            <w:r>
              <w:rPr>
                <w:rFonts w:ascii="Times New Roman" w:cs="Times New Roman" w:eastAsia="Times New Roman" w:hAnsi="Times New Roman"/>
                <w:sz w:val="8"/>
                <w:szCs w:val="8"/>
                <w:b w:val="1"/>
                <w:bCs w:val="1"/>
                <w:color w:val="auto"/>
              </w:rPr>
              <w:t>2025</w:t>
            </w:r>
          </w:p>
        </w:tc>
        <w:tc>
          <w:tcPr>
            <w:tcW w:w="320" w:type="dxa"/>
            <w:vAlign w:val="bottom"/>
          </w:tcPr>
          <w:p>
            <w:pPr>
              <w:spacing w:after="0"/>
              <w:rPr>
                <w:sz w:val="9"/>
                <w:szCs w:val="9"/>
                <w:color w:val="auto"/>
              </w:rPr>
            </w:pPr>
          </w:p>
        </w:tc>
        <w:tc>
          <w:tcPr>
            <w:tcW w:w="1280" w:type="dxa"/>
            <w:vAlign w:val="bottom"/>
          </w:tcPr>
          <w:p>
            <w:pPr>
              <w:jc w:val="right"/>
              <w:ind w:right="678"/>
              <w:spacing w:after="0"/>
              <w:rPr>
                <w:sz w:val="20"/>
                <w:szCs w:val="20"/>
                <w:color w:val="auto"/>
              </w:rPr>
            </w:pPr>
            <w:r>
              <w:rPr>
                <w:rFonts w:ascii="Times New Roman" w:cs="Times New Roman" w:eastAsia="Times New Roman" w:hAnsi="Times New Roman"/>
                <w:sz w:val="8"/>
                <w:szCs w:val="8"/>
                <w:b w:val="1"/>
                <w:bCs w:val="1"/>
                <w:color w:val="auto"/>
              </w:rPr>
              <w:t>2025</w:t>
            </w:r>
          </w:p>
        </w:tc>
        <w:tc>
          <w:tcPr>
            <w:tcW w:w="380" w:type="dxa"/>
            <w:vAlign w:val="bottom"/>
          </w:tcPr>
          <w:p>
            <w:pPr>
              <w:spacing w:after="0"/>
              <w:rPr>
                <w:sz w:val="9"/>
                <w:szCs w:val="9"/>
                <w:color w:val="auto"/>
              </w:rPr>
            </w:pPr>
          </w:p>
        </w:tc>
        <w:tc>
          <w:tcPr>
            <w:tcW w:w="1220" w:type="dxa"/>
            <w:vAlign w:val="bottom"/>
          </w:tcPr>
          <w:p>
            <w:pPr>
              <w:jc w:val="right"/>
              <w:ind w:right="678"/>
              <w:spacing w:after="0"/>
              <w:rPr>
                <w:sz w:val="20"/>
                <w:szCs w:val="20"/>
                <w:color w:val="auto"/>
              </w:rPr>
            </w:pPr>
            <w:r>
              <w:rPr>
                <w:rFonts w:ascii="Times New Roman" w:cs="Times New Roman" w:eastAsia="Times New Roman" w:hAnsi="Times New Roman"/>
                <w:sz w:val="8"/>
                <w:szCs w:val="8"/>
                <w:b w:val="1"/>
                <w:bCs w:val="1"/>
                <w:color w:val="auto"/>
              </w:rPr>
              <w:t>2025</w:t>
            </w:r>
          </w:p>
        </w:tc>
        <w:tc>
          <w:tcPr>
            <w:tcW w:w="360" w:type="dxa"/>
            <w:vAlign w:val="bottom"/>
          </w:tcPr>
          <w:p>
            <w:pPr>
              <w:spacing w:after="0"/>
              <w:rPr>
                <w:sz w:val="9"/>
                <w:szCs w:val="9"/>
                <w:color w:val="auto"/>
              </w:rPr>
            </w:pPr>
          </w:p>
        </w:tc>
        <w:tc>
          <w:tcPr>
            <w:tcW w:w="1200" w:type="dxa"/>
            <w:vAlign w:val="bottom"/>
          </w:tcPr>
          <w:p>
            <w:pPr>
              <w:jc w:val="right"/>
              <w:ind w:right="637"/>
              <w:spacing w:after="0"/>
              <w:rPr>
                <w:sz w:val="20"/>
                <w:szCs w:val="20"/>
                <w:color w:val="auto"/>
              </w:rPr>
            </w:pPr>
            <w:r>
              <w:rPr>
                <w:rFonts w:ascii="Times New Roman" w:cs="Times New Roman" w:eastAsia="Times New Roman" w:hAnsi="Times New Roman"/>
                <w:sz w:val="8"/>
                <w:szCs w:val="8"/>
                <w:b w:val="1"/>
                <w:bCs w:val="1"/>
                <w:color w:val="auto"/>
              </w:rPr>
              <w:t>2025</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Non-Performing Assets</w:t>
            </w: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28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r>
      <w:tr>
        <w:trPr>
          <w:trHeight w:val="114"/>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Non-Accrual Loans and Leases</w:t>
            </w: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3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rPr>
              <w:t>Commercial</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r>
      <w:tr>
        <w:trPr>
          <w:trHeight w:val="114"/>
        </w:trPr>
        <w:tc>
          <w:tcPr>
            <w:tcW w:w="340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Commercial Mortgage</w:t>
            </w:r>
          </w:p>
        </w:tc>
        <w:tc>
          <w:tcPr>
            <w:tcW w:w="3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2,085</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2,498</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2,566</w:t>
            </w:r>
          </w:p>
        </w:tc>
        <w:tc>
          <w:tcPr>
            <w:tcW w:w="360" w:type="dxa"/>
            <w:vAlign w:val="bottom"/>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8"/>
                <w:szCs w:val="8"/>
                <w:color w:val="auto"/>
              </w:rPr>
              <w:t>2,195</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0"/>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Commercial and Industrial</w:t>
            </w: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1,860</w:t>
            </w:r>
          </w:p>
        </w:tc>
        <w:tc>
          <w:tcPr>
            <w:tcW w:w="3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1,940</w:t>
            </w:r>
          </w:p>
        </w:tc>
        <w:tc>
          <w:tcPr>
            <w:tcW w:w="3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3,506</w:t>
            </w: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3,744</w:t>
            </w: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3,451</w:t>
            </w:r>
          </w:p>
        </w:tc>
      </w:tr>
      <w:tr>
        <w:trPr>
          <w:trHeight w:val="103"/>
        </w:trPr>
        <w:tc>
          <w:tcPr>
            <w:tcW w:w="3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rPr>
              <w:t>Total Commercial</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1,860</w:t>
            </w:r>
          </w:p>
        </w:tc>
        <w:tc>
          <w:tcPr>
            <w:tcW w:w="3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4,025</w:t>
            </w:r>
          </w:p>
        </w:tc>
        <w:tc>
          <w:tcPr>
            <w:tcW w:w="3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6,004</w:t>
            </w: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6,310</w:t>
            </w: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8"/>
                <w:szCs w:val="8"/>
                <w:color w:val="auto"/>
              </w:rPr>
              <w:t>5,646</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4"/>
        </w:trPr>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Consumer</w:t>
            </w: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28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r>
      <w:tr>
        <w:trPr>
          <w:trHeight w:val="114"/>
        </w:trPr>
        <w:tc>
          <w:tcPr>
            <w:tcW w:w="340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Residential Mortgage</w:t>
            </w:r>
          </w:p>
        </w:tc>
        <w:tc>
          <w:tcPr>
            <w:tcW w:w="320" w:type="dxa"/>
            <w:vAlign w:val="bottom"/>
          </w:tcPr>
          <w:p>
            <w:pPr>
              <w:spacing w:after="0"/>
              <w:rPr>
                <w:sz w:val="9"/>
                <w:szCs w:val="9"/>
                <w:color w:val="auto"/>
              </w:rPr>
            </w:pP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5,410</w:t>
            </w:r>
          </w:p>
        </w:tc>
        <w:tc>
          <w:tcPr>
            <w:tcW w:w="32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5,382</w:t>
            </w:r>
          </w:p>
        </w:tc>
        <w:tc>
          <w:tcPr>
            <w:tcW w:w="320" w:type="dxa"/>
            <w:vAlign w:val="bottom"/>
          </w:tcPr>
          <w:p>
            <w:pPr>
              <w:spacing w:after="0"/>
              <w:rPr>
                <w:sz w:val="9"/>
                <w:szCs w:val="9"/>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5,628</w:t>
            </w:r>
          </w:p>
        </w:tc>
        <w:tc>
          <w:tcPr>
            <w:tcW w:w="380" w:type="dxa"/>
            <w:vAlign w:val="bottom"/>
          </w:tcPr>
          <w:p>
            <w:pPr>
              <w:spacing w:after="0"/>
              <w:rPr>
                <w:sz w:val="9"/>
                <w:szCs w:val="9"/>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5,842</w:t>
            </w:r>
          </w:p>
        </w:tc>
        <w:tc>
          <w:tcPr>
            <w:tcW w:w="360" w:type="dxa"/>
            <w:vAlign w:val="bottom"/>
          </w:tcPr>
          <w:p>
            <w:pPr>
              <w:spacing w:after="0"/>
              <w:rPr>
                <w:sz w:val="9"/>
                <w:szCs w:val="9"/>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8"/>
                <w:szCs w:val="8"/>
                <w:color w:val="auto"/>
              </w:rPr>
              <w:t>4,686</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0"/>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Home Equity</w:t>
            </w: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4,525</w:t>
            </w:r>
          </w:p>
        </w:tc>
        <w:tc>
          <w:tcPr>
            <w:tcW w:w="3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4,469</w:t>
            </w:r>
          </w:p>
        </w:tc>
        <w:tc>
          <w:tcPr>
            <w:tcW w:w="3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5,107</w:t>
            </w: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5,387</w:t>
            </w: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5,759</w:t>
            </w:r>
          </w:p>
        </w:tc>
      </w:tr>
      <w:tr>
        <w:trPr>
          <w:trHeight w:val="103"/>
        </w:trPr>
        <w:tc>
          <w:tcPr>
            <w:tcW w:w="3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rPr>
              <w:t>Total Consumer</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9,935</w:t>
            </w:r>
          </w:p>
        </w:tc>
        <w:tc>
          <w:tcPr>
            <w:tcW w:w="3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9,851</w:t>
            </w:r>
          </w:p>
        </w:tc>
        <w:tc>
          <w:tcPr>
            <w:tcW w:w="3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10,735</w:t>
            </w: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11,229</w:t>
            </w: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8"/>
                <w:szCs w:val="8"/>
                <w:color w:val="auto"/>
              </w:rPr>
              <w:t>10,445</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Non-Accrual Loans and Leases</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11,795</w:t>
            </w: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13,876</w:t>
            </w: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16,739</w:t>
            </w: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17,539</w:t>
            </w: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16,091</w:t>
            </w:r>
          </w:p>
        </w:tc>
      </w:tr>
      <w:tr>
        <w:trPr>
          <w:trHeight w:val="103"/>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Foreclosed Real Estate</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295</w:t>
            </w:r>
          </w:p>
        </w:tc>
        <w:tc>
          <w:tcPr>
            <w:tcW w:w="3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295</w:t>
            </w:r>
          </w:p>
        </w:tc>
        <w:tc>
          <w:tcPr>
            <w:tcW w:w="3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125</w:t>
            </w: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342</w:t>
            </w: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8"/>
                <w:szCs w:val="8"/>
                <w:color w:val="auto"/>
              </w:rPr>
              <w:t>1,360</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Non-Performing Assets</w:t>
            </w:r>
          </w:p>
        </w:tc>
        <w:tc>
          <w:tcPr>
            <w:tcW w:w="32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12,090</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14,171</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16,864</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17,881</w:t>
            </w:r>
          </w:p>
        </w:tc>
        <w:tc>
          <w:tcPr>
            <w:tcW w:w="36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17,451</w:t>
            </w:r>
          </w:p>
        </w:tc>
      </w:tr>
      <w:tr>
        <w:trPr>
          <w:trHeight w:val="114"/>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Accruing Loans and Leases Past Due 90 Days or More</w:t>
            </w: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rPr>
              <w:t>Consumer</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r>
      <w:tr>
        <w:trPr>
          <w:trHeight w:val="114"/>
        </w:trPr>
        <w:tc>
          <w:tcPr>
            <w:tcW w:w="340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Residential Mortgage</w:t>
            </w:r>
          </w:p>
        </w:tc>
        <w:tc>
          <w:tcPr>
            <w:tcW w:w="3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10,733</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8,834</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7,456</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9,070</w:t>
            </w:r>
          </w:p>
        </w:tc>
        <w:tc>
          <w:tcPr>
            <w:tcW w:w="360" w:type="dxa"/>
            <w:vAlign w:val="bottom"/>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8"/>
                <w:szCs w:val="8"/>
                <w:color w:val="auto"/>
              </w:rPr>
              <w:t>3,895</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Home Equity</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1,556</w:t>
            </w: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2,152</w:t>
            </w: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2,765</w:t>
            </w: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1,867</w:t>
            </w: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2,228</w:t>
            </w:r>
          </w:p>
        </w:tc>
      </w:tr>
      <w:tr>
        <w:trPr>
          <w:trHeight w:val="114"/>
        </w:trPr>
        <w:tc>
          <w:tcPr>
            <w:tcW w:w="3400" w:type="dxa"/>
            <w:vAlign w:val="bottom"/>
          </w:tcPr>
          <w:p>
            <w:pPr>
              <w:ind w:left="120"/>
              <w:spacing w:after="0"/>
              <w:rPr>
                <w:sz w:val="20"/>
                <w:szCs w:val="20"/>
                <w:color w:val="auto"/>
              </w:rPr>
            </w:pPr>
            <w:r>
              <w:rPr>
                <w:rFonts w:ascii="Times New Roman" w:cs="Times New Roman" w:eastAsia="Times New Roman" w:hAnsi="Times New Roman"/>
                <w:sz w:val="8"/>
                <w:szCs w:val="8"/>
                <w:color w:val="auto"/>
              </w:rPr>
              <w:t>Automobile</w:t>
            </w:r>
          </w:p>
        </w:tc>
        <w:tc>
          <w:tcPr>
            <w:tcW w:w="320" w:type="dxa"/>
            <w:vAlign w:val="bottom"/>
          </w:tcPr>
          <w:p>
            <w:pPr>
              <w:spacing w:after="0"/>
              <w:rPr>
                <w:sz w:val="9"/>
                <w:szCs w:val="9"/>
                <w:color w:val="auto"/>
              </w:rPr>
            </w:pP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672</w:t>
            </w:r>
          </w:p>
        </w:tc>
        <w:tc>
          <w:tcPr>
            <w:tcW w:w="32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520</w:t>
            </w:r>
          </w:p>
        </w:tc>
        <w:tc>
          <w:tcPr>
            <w:tcW w:w="320" w:type="dxa"/>
            <w:vAlign w:val="bottom"/>
          </w:tcPr>
          <w:p>
            <w:pPr>
              <w:spacing w:after="0"/>
              <w:rPr>
                <w:sz w:val="9"/>
                <w:szCs w:val="9"/>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525</w:t>
            </w:r>
          </w:p>
        </w:tc>
        <w:tc>
          <w:tcPr>
            <w:tcW w:w="380" w:type="dxa"/>
            <w:vAlign w:val="bottom"/>
          </w:tcPr>
          <w:p>
            <w:pPr>
              <w:spacing w:after="0"/>
              <w:rPr>
                <w:sz w:val="9"/>
                <w:szCs w:val="9"/>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680</w:t>
            </w:r>
          </w:p>
        </w:tc>
        <w:tc>
          <w:tcPr>
            <w:tcW w:w="360" w:type="dxa"/>
            <w:vAlign w:val="bottom"/>
          </w:tcPr>
          <w:p>
            <w:pPr>
              <w:spacing w:after="0"/>
              <w:rPr>
                <w:sz w:val="9"/>
                <w:szCs w:val="9"/>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8"/>
                <w:szCs w:val="8"/>
                <w:color w:val="auto"/>
              </w:rPr>
              <w:t>486</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0"/>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Other</w:t>
            </w: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764</w:t>
            </w:r>
          </w:p>
        </w:tc>
        <w:tc>
          <w:tcPr>
            <w:tcW w:w="3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753</w:t>
            </w:r>
          </w:p>
        </w:tc>
        <w:tc>
          <w:tcPr>
            <w:tcW w:w="3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578</w:t>
            </w: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630</w:t>
            </w:r>
          </w:p>
        </w:tc>
        <w:tc>
          <w:tcPr>
            <w:tcW w:w="3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943</w:t>
            </w:r>
          </w:p>
        </w:tc>
      </w:tr>
      <w:tr>
        <w:trPr>
          <w:trHeight w:val="103"/>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Consumer</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13,725</w:t>
            </w:r>
          </w:p>
        </w:tc>
        <w:tc>
          <w:tcPr>
            <w:tcW w:w="3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12,259</w:t>
            </w:r>
          </w:p>
        </w:tc>
        <w:tc>
          <w:tcPr>
            <w:tcW w:w="3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11,324</w:t>
            </w: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12,247</w:t>
            </w:r>
          </w:p>
        </w:tc>
        <w:tc>
          <w:tcPr>
            <w:tcW w:w="3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8"/>
                <w:szCs w:val="8"/>
                <w:color w:val="auto"/>
              </w:rPr>
              <w:t>7,552</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Accruing Loans and Leases Past Due 90 Days or More</w:t>
            </w:r>
          </w:p>
        </w:tc>
        <w:tc>
          <w:tcPr>
            <w:tcW w:w="32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13,725</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12,259</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11,324</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12,247</w:t>
            </w:r>
          </w:p>
        </w:tc>
        <w:tc>
          <w:tcPr>
            <w:tcW w:w="36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7,552</w:t>
            </w:r>
          </w:p>
        </w:tc>
      </w:tr>
      <w:tr>
        <w:trPr>
          <w:trHeight w:val="114"/>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Total Loans and Leases</w:t>
            </w:r>
          </w:p>
        </w:tc>
        <w:tc>
          <w:tcPr>
            <w:tcW w:w="32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14,192,811</w:t>
            </w:r>
          </w:p>
        </w:tc>
        <w:tc>
          <w:tcPr>
            <w:tcW w:w="32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14,082,050</w:t>
            </w:r>
          </w:p>
        </w:tc>
        <w:tc>
          <w:tcPr>
            <w:tcW w:w="32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14,021,579</w:t>
            </w:r>
          </w:p>
        </w:tc>
        <w:tc>
          <w:tcPr>
            <w:tcW w:w="38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14,002,178</w:t>
            </w:r>
          </w:p>
        </w:tc>
        <w:tc>
          <w:tcPr>
            <w:tcW w:w="36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8"/>
                <w:szCs w:val="8"/>
                <w:color w:val="auto"/>
              </w:rPr>
              <w:t>14,115,323</w:t>
            </w:r>
          </w:p>
        </w:tc>
      </w:tr>
      <w:tr>
        <w:trPr>
          <w:trHeight w:val="37"/>
        </w:trPr>
        <w:tc>
          <w:tcPr>
            <w:tcW w:w="3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1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Ratio of Non-Accrual Loans and Leases to Total Loans and Leases</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0.08 %</w:t>
            </w: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0.10 %</w:t>
            </w: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0.12 %</w:t>
            </w: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0.13 %</w:t>
            </w: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0.11 %</w:t>
            </w:r>
          </w:p>
        </w:tc>
      </w:tr>
      <w:tr>
        <w:trPr>
          <w:trHeight w:val="114"/>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Ratio of Non-Performing Assets to Total Loans and Leases and Foreclosed Real Estate</w:t>
            </w:r>
          </w:p>
        </w:tc>
        <w:tc>
          <w:tcPr>
            <w:tcW w:w="320" w:type="dxa"/>
            <w:vAlign w:val="bottom"/>
          </w:tcPr>
          <w:p>
            <w:pPr>
              <w:spacing w:after="0"/>
              <w:rPr>
                <w:sz w:val="9"/>
                <w:szCs w:val="9"/>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0.09 %</w:t>
            </w:r>
          </w:p>
        </w:tc>
        <w:tc>
          <w:tcPr>
            <w:tcW w:w="32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0.10 %</w:t>
            </w:r>
          </w:p>
        </w:tc>
        <w:tc>
          <w:tcPr>
            <w:tcW w:w="32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0.12 %</w:t>
            </w:r>
          </w:p>
        </w:tc>
        <w:tc>
          <w:tcPr>
            <w:tcW w:w="380" w:type="dxa"/>
            <w:vAlign w:val="bottom"/>
          </w:tcPr>
          <w:p>
            <w:pPr>
              <w:spacing w:after="0"/>
              <w:rPr>
                <w:sz w:val="9"/>
                <w:szCs w:val="9"/>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0.13 %</w:t>
            </w:r>
          </w:p>
        </w:tc>
        <w:tc>
          <w:tcPr>
            <w:tcW w:w="3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0.12 %</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Ratio of Non-Performing Assets to Total Assets</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0.05 %</w:t>
            </w: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0.06 %</w:t>
            </w: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0.07 %</w:t>
            </w: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0.08 %</w:t>
            </w: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0.07 %</w:t>
            </w:r>
          </w:p>
        </w:tc>
      </w:tr>
      <w:tr>
        <w:trPr>
          <w:trHeight w:val="106"/>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Ratio of Commercial Non-Performing Assets to Total Commercial Loans and Leases and</w:t>
            </w: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7"/>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Commercial Foreclosed Real Estate</w:t>
            </w:r>
          </w:p>
        </w:tc>
        <w:tc>
          <w:tcPr>
            <w:tcW w:w="320" w:type="dxa"/>
            <w:vAlign w:val="bottom"/>
          </w:tcPr>
          <w:p>
            <w:pPr>
              <w:spacing w:after="0"/>
              <w:rPr>
                <w:sz w:val="9"/>
                <w:szCs w:val="9"/>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0.03 %</w:t>
            </w:r>
          </w:p>
        </w:tc>
        <w:tc>
          <w:tcPr>
            <w:tcW w:w="32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0.07 %</w:t>
            </w:r>
          </w:p>
        </w:tc>
        <w:tc>
          <w:tcPr>
            <w:tcW w:w="32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0.10 %</w:t>
            </w:r>
          </w:p>
        </w:tc>
        <w:tc>
          <w:tcPr>
            <w:tcW w:w="380" w:type="dxa"/>
            <w:vAlign w:val="bottom"/>
          </w:tcPr>
          <w:p>
            <w:pPr>
              <w:spacing w:after="0"/>
              <w:rPr>
                <w:sz w:val="9"/>
                <w:szCs w:val="9"/>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0.10 %</w:t>
            </w:r>
          </w:p>
        </w:tc>
        <w:tc>
          <w:tcPr>
            <w:tcW w:w="3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0.09 %</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0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Ratio of Consumer Non-Performing Assets to Total Consumer Loans and Leases and Consumer</w:t>
            </w:r>
          </w:p>
        </w:tc>
        <w:tc>
          <w:tcPr>
            <w:tcW w:w="3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108"/>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Foreclosed Real Estate</w:t>
            </w: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0.13 %</w:t>
            </w:r>
          </w:p>
        </w:tc>
        <w:tc>
          <w:tcPr>
            <w:tcW w:w="32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0.13 %</w:t>
            </w:r>
          </w:p>
        </w:tc>
        <w:tc>
          <w:tcPr>
            <w:tcW w:w="320" w:type="dxa"/>
            <w:vAlign w:val="bottom"/>
            <w:tcBorders>
              <w:bottom w:val="single" w:sz="8" w:color="CCEEFF"/>
            </w:tcBorders>
            <w:shd w:val="clear" w:color="auto" w:fill="CCEEFF"/>
          </w:tcPr>
          <w:p>
            <w:pPr>
              <w:spacing w:after="0"/>
              <w:rPr>
                <w:sz w:val="9"/>
                <w:szCs w:val="9"/>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0.14 %</w:t>
            </w: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0.15 %</w:t>
            </w:r>
          </w:p>
        </w:tc>
        <w:tc>
          <w:tcPr>
            <w:tcW w:w="36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0.15 %</w:t>
            </w:r>
          </w:p>
        </w:tc>
      </w:tr>
      <w:tr>
        <w:trPr>
          <w:trHeight w:val="106"/>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Ratio of Non-Performing Assets and Accruing Loans and Leases Past Due 90 Days or More to Total</w:t>
            </w: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7"/>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Loans and Leases and Foreclosed Real Estate</w:t>
            </w:r>
          </w:p>
        </w:tc>
        <w:tc>
          <w:tcPr>
            <w:tcW w:w="320" w:type="dxa"/>
            <w:vAlign w:val="bottom"/>
          </w:tcPr>
          <w:p>
            <w:pPr>
              <w:spacing w:after="0"/>
              <w:rPr>
                <w:sz w:val="9"/>
                <w:szCs w:val="9"/>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0.18 %</w:t>
            </w:r>
          </w:p>
        </w:tc>
        <w:tc>
          <w:tcPr>
            <w:tcW w:w="32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0.19 %</w:t>
            </w:r>
          </w:p>
        </w:tc>
        <w:tc>
          <w:tcPr>
            <w:tcW w:w="320" w:type="dxa"/>
            <w:vAlign w:val="bottom"/>
          </w:tcPr>
          <w:p>
            <w:pPr>
              <w:spacing w:after="0"/>
              <w:rPr>
                <w:sz w:val="9"/>
                <w:szCs w:val="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0.20 %</w:t>
            </w:r>
          </w:p>
        </w:tc>
        <w:tc>
          <w:tcPr>
            <w:tcW w:w="380" w:type="dxa"/>
            <w:vAlign w:val="bottom"/>
          </w:tcPr>
          <w:p>
            <w:pPr>
              <w:spacing w:after="0"/>
              <w:rPr>
                <w:sz w:val="9"/>
                <w:szCs w:val="9"/>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0.22 %</w:t>
            </w:r>
          </w:p>
        </w:tc>
        <w:tc>
          <w:tcPr>
            <w:tcW w:w="3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0.18 %</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Quarter to Quarter Changes in Non-Performing Assets Balance at Beginning of Quarter</w:t>
            </w:r>
          </w:p>
        </w:tc>
        <w:tc>
          <w:tcPr>
            <w:tcW w:w="32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14,171</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16,864</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17,881</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17,451</w:t>
            </w:r>
          </w:p>
        </w:tc>
        <w:tc>
          <w:tcPr>
            <w:tcW w:w="36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19,300</w:t>
            </w:r>
          </w:p>
        </w:tc>
      </w:tr>
      <w:tr>
        <w:trPr>
          <w:trHeight w:val="135"/>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Additions </w:t>
            </w:r>
            <w:r>
              <w:rPr>
                <w:rFonts w:ascii="Times New Roman" w:cs="Times New Roman" w:eastAsia="Times New Roman" w:hAnsi="Times New Roman"/>
                <w:sz w:val="10"/>
                <w:szCs w:val="10"/>
                <w:color w:val="auto"/>
                <w:vertAlign w:val="superscript"/>
              </w:rPr>
              <w:t>1</w:t>
            </w:r>
          </w:p>
        </w:tc>
        <w:tc>
          <w:tcPr>
            <w:tcW w:w="320" w:type="dxa"/>
            <w:vAlign w:val="bottom"/>
          </w:tcPr>
          <w:p>
            <w:pPr>
              <w:spacing w:after="0"/>
              <w:rPr>
                <w:sz w:val="11"/>
                <w:szCs w:val="11"/>
                <w:color w:val="auto"/>
              </w:rPr>
            </w:pP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1,010</w:t>
            </w:r>
          </w:p>
        </w:tc>
        <w:tc>
          <w:tcPr>
            <w:tcW w:w="320" w:type="dxa"/>
            <w:vAlign w:val="bottom"/>
          </w:tcPr>
          <w:p>
            <w:pPr>
              <w:spacing w:after="0"/>
              <w:rPr>
                <w:sz w:val="11"/>
                <w:szCs w:val="11"/>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2,608</w:t>
            </w:r>
          </w:p>
        </w:tc>
        <w:tc>
          <w:tcPr>
            <w:tcW w:w="320" w:type="dxa"/>
            <w:vAlign w:val="bottom"/>
          </w:tcPr>
          <w:p>
            <w:pPr>
              <w:spacing w:after="0"/>
              <w:rPr>
                <w:sz w:val="11"/>
                <w:szCs w:val="11"/>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959</w:t>
            </w:r>
          </w:p>
        </w:tc>
        <w:tc>
          <w:tcPr>
            <w:tcW w:w="380" w:type="dxa"/>
            <w:vAlign w:val="bottom"/>
          </w:tcPr>
          <w:p>
            <w:pPr>
              <w:spacing w:after="0"/>
              <w:rPr>
                <w:sz w:val="11"/>
                <w:szCs w:val="11"/>
                <w:color w:val="auto"/>
              </w:rPr>
            </w:pPr>
          </w:p>
        </w:tc>
        <w:tc>
          <w:tcPr>
            <w:tcW w:w="122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3,522</w:t>
            </w:r>
          </w:p>
        </w:tc>
        <w:tc>
          <w:tcPr>
            <w:tcW w:w="360" w:type="dxa"/>
            <w:vAlign w:val="bottom"/>
          </w:tcPr>
          <w:p>
            <w:pPr>
              <w:spacing w:after="0"/>
              <w:rPr>
                <w:sz w:val="11"/>
                <w:szCs w:val="11"/>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8"/>
                <w:szCs w:val="8"/>
                <w:color w:val="auto"/>
              </w:rPr>
              <w:t>2,209</w:t>
            </w:r>
          </w:p>
        </w:tc>
      </w:tr>
      <w:tr>
        <w:trPr>
          <w:trHeight w:val="115"/>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Reductions</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r>
      <w:tr>
        <w:trPr>
          <w:trHeight w:val="114"/>
        </w:trPr>
        <w:tc>
          <w:tcPr>
            <w:tcW w:w="3400" w:type="dxa"/>
            <w:vAlign w:val="bottom"/>
          </w:tcPr>
          <w:p>
            <w:pPr>
              <w:ind w:left="80"/>
              <w:spacing w:after="0"/>
              <w:rPr>
                <w:sz w:val="20"/>
                <w:szCs w:val="20"/>
                <w:color w:val="auto"/>
              </w:rPr>
            </w:pPr>
            <w:r>
              <w:rPr>
                <w:rFonts w:ascii="Times New Roman" w:cs="Times New Roman" w:eastAsia="Times New Roman" w:hAnsi="Times New Roman"/>
                <w:sz w:val="8"/>
                <w:szCs w:val="8"/>
                <w:color w:val="auto"/>
              </w:rPr>
              <w:t>Payments</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(2,744)</w:t>
            </w:r>
          </w:p>
        </w:tc>
        <w:tc>
          <w:tcPr>
            <w:tcW w:w="32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(2,631)</w:t>
            </w:r>
          </w:p>
        </w:tc>
        <w:tc>
          <w:tcPr>
            <w:tcW w:w="320" w:type="dxa"/>
            <w:vAlign w:val="bottom"/>
          </w:tcPr>
          <w:p>
            <w:pPr>
              <w:spacing w:after="0"/>
              <w:rPr>
                <w:sz w:val="9"/>
                <w:szCs w:val="9"/>
                <w:color w:val="auto"/>
              </w:rPr>
            </w:pPr>
          </w:p>
        </w:tc>
        <w:tc>
          <w:tcPr>
            <w:tcW w:w="1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(804)</w:t>
            </w:r>
          </w:p>
        </w:tc>
        <w:tc>
          <w:tcPr>
            <w:tcW w:w="380" w:type="dxa"/>
            <w:vAlign w:val="bottom"/>
          </w:tcPr>
          <w:p>
            <w:pPr>
              <w:spacing w:after="0"/>
              <w:rPr>
                <w:sz w:val="9"/>
                <w:szCs w:val="9"/>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(1,424)</w:t>
            </w:r>
          </w:p>
        </w:tc>
        <w:tc>
          <w:tcPr>
            <w:tcW w:w="360" w:type="dxa"/>
            <w:vAlign w:val="bottom"/>
          </w:tcPr>
          <w:p>
            <w:pPr>
              <w:spacing w:after="0"/>
              <w:rPr>
                <w:sz w:val="9"/>
                <w:szCs w:val="9"/>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8"/>
                <w:szCs w:val="8"/>
                <w:color w:val="auto"/>
              </w:rPr>
              <w:t>(1,212)</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3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Return to Accrual Status</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(341)</w:t>
            </w:r>
          </w:p>
        </w:tc>
        <w:tc>
          <w:tcPr>
            <w:tcW w:w="32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(1,217)</w:t>
            </w:r>
          </w:p>
        </w:tc>
        <w:tc>
          <w:tcPr>
            <w:tcW w:w="3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(321)</w:t>
            </w:r>
          </w:p>
        </w:tc>
        <w:tc>
          <w:tcPr>
            <w:tcW w:w="3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(574)</w:t>
            </w: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8"/>
                <w:szCs w:val="8"/>
                <w:color w:val="auto"/>
              </w:rPr>
              <w:t>(244)</w:t>
            </w:r>
          </w:p>
        </w:tc>
      </w:tr>
      <w:tr>
        <w:trPr>
          <w:trHeight w:val="114"/>
        </w:trPr>
        <w:tc>
          <w:tcPr>
            <w:tcW w:w="3400" w:type="dxa"/>
            <w:vAlign w:val="bottom"/>
          </w:tcPr>
          <w:p>
            <w:pPr>
              <w:ind w:left="80"/>
              <w:spacing w:after="0"/>
              <w:rPr>
                <w:sz w:val="20"/>
                <w:szCs w:val="20"/>
                <w:color w:val="auto"/>
              </w:rPr>
            </w:pPr>
            <w:r>
              <w:rPr>
                <w:rFonts w:ascii="Times New Roman" w:cs="Times New Roman" w:eastAsia="Times New Roman" w:hAnsi="Times New Roman"/>
                <w:sz w:val="8"/>
                <w:szCs w:val="8"/>
                <w:color w:val="auto"/>
              </w:rPr>
              <w:t>Sales of Foreclosed Real Estate</w:t>
            </w:r>
          </w:p>
        </w:tc>
        <w:tc>
          <w:tcPr>
            <w:tcW w:w="320" w:type="dxa"/>
            <w:vAlign w:val="bottom"/>
          </w:tcPr>
          <w:p>
            <w:pPr>
              <w:spacing w:after="0"/>
              <w:rPr>
                <w:sz w:val="9"/>
                <w:szCs w:val="9"/>
                <w:color w:val="auto"/>
              </w:rPr>
            </w:pPr>
          </w:p>
        </w:tc>
        <w:tc>
          <w:tcPr>
            <w:tcW w:w="12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(120)</w:t>
            </w:r>
          </w:p>
        </w:tc>
        <w:tc>
          <w:tcPr>
            <w:tcW w:w="320" w:type="dxa"/>
            <w:vAlign w:val="bottom"/>
          </w:tcPr>
          <w:p>
            <w:pPr>
              <w:spacing w:after="0"/>
              <w:rPr>
                <w:sz w:val="9"/>
                <w:szCs w:val="9"/>
                <w:color w:val="auto"/>
              </w:rPr>
            </w:pPr>
          </w:p>
        </w:tc>
        <w:tc>
          <w:tcPr>
            <w:tcW w:w="1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(216)</w:t>
            </w:r>
          </w:p>
        </w:tc>
        <w:tc>
          <w:tcPr>
            <w:tcW w:w="380" w:type="dxa"/>
            <w:vAlign w:val="bottom"/>
          </w:tcPr>
          <w:p>
            <w:pPr>
              <w:spacing w:after="0"/>
              <w:rPr>
                <w:sz w:val="9"/>
                <w:szCs w:val="9"/>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(1,040)</w:t>
            </w:r>
          </w:p>
        </w:tc>
        <w:tc>
          <w:tcPr>
            <w:tcW w:w="360" w:type="dxa"/>
            <w:vAlign w:val="bottom"/>
          </w:tcPr>
          <w:p>
            <w:pPr>
              <w:spacing w:after="0"/>
              <w:rPr>
                <w:sz w:val="9"/>
                <w:szCs w:val="9"/>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8"/>
                <w:szCs w:val="8"/>
                <w:color w:val="auto"/>
              </w:rPr>
              <w:t>(1,492)</w:t>
            </w:r>
          </w:p>
        </w:tc>
      </w:tr>
      <w:tr>
        <w:trPr>
          <w:trHeight w:val="21"/>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35"/>
        </w:trPr>
        <w:tc>
          <w:tcPr>
            <w:tcW w:w="3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 xml:space="preserve">Charge-offs / Write-downs </w:t>
            </w:r>
            <w:r>
              <w:rPr>
                <w:rFonts w:ascii="Times New Roman" w:cs="Times New Roman" w:eastAsia="Times New Roman" w:hAnsi="Times New Roman"/>
                <w:sz w:val="10"/>
                <w:szCs w:val="10"/>
                <w:color w:val="auto"/>
                <w:vertAlign w:val="superscript"/>
              </w:rPr>
              <w:t>1</w:t>
            </w:r>
          </w:p>
        </w:tc>
        <w:tc>
          <w:tcPr>
            <w:tcW w:w="3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w:t>
            </w:r>
          </w:p>
        </w:tc>
        <w:tc>
          <w:tcPr>
            <w:tcW w:w="32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(1,333)</w:t>
            </w:r>
          </w:p>
        </w:tc>
        <w:tc>
          <w:tcPr>
            <w:tcW w:w="32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(635)</w:t>
            </w:r>
          </w:p>
        </w:tc>
        <w:tc>
          <w:tcPr>
            <w:tcW w:w="38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(54)</w:t>
            </w:r>
          </w:p>
        </w:tc>
        <w:tc>
          <w:tcPr>
            <w:tcW w:w="3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8"/>
                <w:szCs w:val="8"/>
                <w:color w:val="auto"/>
              </w:rPr>
              <w:t>(1,110)</w:t>
            </w:r>
          </w:p>
        </w:tc>
      </w:tr>
      <w:tr>
        <w:trPr>
          <w:trHeight w:val="103"/>
        </w:trPr>
        <w:tc>
          <w:tcPr>
            <w:tcW w:w="3400" w:type="dxa"/>
            <w:vAlign w:val="bottom"/>
          </w:tcPr>
          <w:p>
            <w:pPr>
              <w:spacing w:after="0"/>
              <w:rPr>
                <w:sz w:val="20"/>
                <w:szCs w:val="20"/>
                <w:color w:val="auto"/>
              </w:rPr>
            </w:pPr>
            <w:r>
              <w:rPr>
                <w:rFonts w:ascii="Times New Roman" w:cs="Times New Roman" w:eastAsia="Times New Roman" w:hAnsi="Times New Roman"/>
                <w:sz w:val="8"/>
                <w:szCs w:val="8"/>
                <w:color w:val="auto"/>
              </w:rPr>
              <w:t>Total Reductions</w:t>
            </w:r>
          </w:p>
        </w:tc>
        <w:tc>
          <w:tcPr>
            <w:tcW w:w="320" w:type="dxa"/>
            <w:vAlign w:val="bottom"/>
          </w:tcPr>
          <w:p>
            <w:pPr>
              <w:spacing w:after="0"/>
              <w:rPr>
                <w:sz w:val="8"/>
                <w:szCs w:val="8"/>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(3,091)</w:t>
            </w:r>
          </w:p>
        </w:tc>
        <w:tc>
          <w:tcPr>
            <w:tcW w:w="320" w:type="dxa"/>
            <w:vAlign w:val="bottom"/>
          </w:tcPr>
          <w:p>
            <w:pPr>
              <w:spacing w:after="0"/>
              <w:rPr>
                <w:sz w:val="8"/>
                <w:szCs w:val="8"/>
                <w:color w:val="auto"/>
              </w:rPr>
            </w:pP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(5,301)</w:t>
            </w:r>
          </w:p>
        </w:tc>
        <w:tc>
          <w:tcPr>
            <w:tcW w:w="320" w:type="dxa"/>
            <w:vAlign w:val="bottom"/>
          </w:tcPr>
          <w:p>
            <w:pPr>
              <w:spacing w:after="0"/>
              <w:rPr>
                <w:sz w:val="8"/>
                <w:szCs w:val="8"/>
                <w:color w:val="auto"/>
              </w:rPr>
            </w:pPr>
          </w:p>
        </w:tc>
        <w:tc>
          <w:tcPr>
            <w:tcW w:w="12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(1,976)</w:t>
            </w:r>
          </w:p>
        </w:tc>
        <w:tc>
          <w:tcPr>
            <w:tcW w:w="380" w:type="dxa"/>
            <w:vAlign w:val="bottom"/>
          </w:tcPr>
          <w:p>
            <w:pPr>
              <w:spacing w:after="0"/>
              <w:rPr>
                <w:sz w:val="8"/>
                <w:szCs w:val="8"/>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(3,092)</w:t>
            </w:r>
          </w:p>
        </w:tc>
        <w:tc>
          <w:tcPr>
            <w:tcW w:w="360" w:type="dxa"/>
            <w:vAlign w:val="bottom"/>
          </w:tcPr>
          <w:p>
            <w:pPr>
              <w:spacing w:after="0"/>
              <w:rPr>
                <w:sz w:val="8"/>
                <w:szCs w:val="8"/>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8"/>
                <w:szCs w:val="8"/>
                <w:color w:val="auto"/>
              </w:rPr>
              <w:t>(4,058)</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0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 at End of Quarter</w:t>
            </w:r>
          </w:p>
        </w:tc>
        <w:tc>
          <w:tcPr>
            <w:tcW w:w="32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8"/>
                <w:szCs w:val="8"/>
                <w:color w:val="auto"/>
                <w:w w:val="98"/>
              </w:rPr>
              <w:t>$</w:t>
            </w:r>
          </w:p>
        </w:tc>
        <w:tc>
          <w:tcPr>
            <w:tcW w:w="1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12,090</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14,171</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16,864</w:t>
            </w:r>
          </w:p>
        </w:tc>
        <w:tc>
          <w:tcPr>
            <w:tcW w:w="38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17,881</w:t>
            </w:r>
          </w:p>
        </w:tc>
        <w:tc>
          <w:tcPr>
            <w:tcW w:w="36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8"/>
                <w:szCs w:val="8"/>
                <w:color w:val="auto"/>
              </w:rPr>
              <w:t>17,451</w:t>
            </w:r>
          </w:p>
        </w:tc>
      </w:tr>
      <w:tr>
        <w:trPr>
          <w:trHeight w:val="36"/>
        </w:trPr>
        <w:tc>
          <w:tcPr>
            <w:tcW w:w="34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0" w:type="dxa"/>
            <w:vAlign w:val="bottom"/>
            <w:shd w:val="clear" w:color="auto" w:fill="000000"/>
          </w:tcPr>
          <w:p>
            <w:pPr>
              <w:spacing w:after="0"/>
              <w:rPr>
                <w:sz w:val="3"/>
                <w:szCs w:val="3"/>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vertAlign w:val="superscript"/>
        </w:rPr>
        <w:t>1</w:t>
      </w:r>
      <w:r>
        <w:rPr>
          <w:rFonts w:ascii="Times New Roman" w:cs="Times New Roman" w:eastAsia="Times New Roman" w:hAnsi="Times New Roman"/>
          <w:sz w:val="7"/>
          <w:szCs w:val="7"/>
          <w:color w:val="auto"/>
        </w:rPr>
        <w:t xml:space="preserve"> Excludes loans that are fully charged-off and placed on non-accrual status during the same period.</w:t>
      </w:r>
    </w:p>
    <w:p>
      <w:pPr>
        <w:sectPr>
          <w:pgSz w:w="11900" w:h="16838" w:orient="portrait"/>
          <w:cols w:equalWidth="0" w:num="1">
            <w:col w:w="11300"/>
          </w:cols>
          <w:pgMar w:left="300" w:top="1084"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Reserve for Credit Losses</w:t>
            </w: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12</w:t>
            </w:r>
          </w:p>
        </w:tc>
      </w:tr>
      <w:tr>
        <w:trPr>
          <w:trHeight w:val="127"/>
        </w:trPr>
        <w:tc>
          <w:tcPr>
            <w:tcW w:w="56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134"/>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9"/>
                <w:szCs w:val="9"/>
                <w:b w:val="1"/>
                <w:bCs w:val="1"/>
                <w:color w:val="auto"/>
              </w:rPr>
              <w:t>March 31, 2026</w:t>
            </w:r>
          </w:p>
        </w:tc>
        <w:tc>
          <w:tcPr>
            <w:tcW w:w="2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9"/>
                <w:szCs w:val="9"/>
                <w:b w:val="1"/>
                <w:bCs w:val="1"/>
                <w:color w:val="auto"/>
              </w:rPr>
              <w:t>March 31, 2025</w:t>
            </w:r>
          </w:p>
        </w:tc>
      </w:tr>
      <w:tr>
        <w:trPr>
          <w:trHeight w:val="13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Beginning of Period</w:t>
            </w: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148,403</w:t>
            </w: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150,051</w:t>
            </w: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150,649</w:t>
            </w:r>
          </w:p>
        </w:tc>
      </w:tr>
      <w:tr>
        <w:trPr>
          <w:trHeight w:val="127"/>
        </w:trPr>
        <w:tc>
          <w:tcPr>
            <w:tcW w:w="5660" w:type="dxa"/>
            <w:vAlign w:val="bottom"/>
          </w:tcPr>
          <w:p>
            <w:pPr>
              <w:spacing w:after="0"/>
              <w:rPr>
                <w:sz w:val="20"/>
                <w:szCs w:val="20"/>
                <w:color w:val="auto"/>
              </w:rPr>
            </w:pPr>
            <w:r>
              <w:rPr>
                <w:rFonts w:ascii="Times New Roman" w:cs="Times New Roman" w:eastAsia="Times New Roman" w:hAnsi="Times New Roman"/>
                <w:sz w:val="10"/>
                <w:szCs w:val="10"/>
                <w:color w:val="auto"/>
              </w:rPr>
              <w:t>Loans and Leases Charged-Off</w:t>
            </w: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Commercial</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c>
          <w:tcPr>
            <w:tcW w:w="280" w:type="dxa"/>
            <w:vAlign w:val="bottom"/>
          </w:tcPr>
          <w:p>
            <w:pPr>
              <w:spacing w:after="0"/>
              <w:rPr>
                <w:sz w:val="11"/>
                <w:szCs w:val="11"/>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(1,331)</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(1,399)</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Consumer</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Residential Mortgage</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c>
          <w:tcPr>
            <w:tcW w:w="28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Home Equity</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(165)</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(75)</w:t>
            </w: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Automobile</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w:t>
            </w:r>
          </w:p>
        </w:tc>
        <w:tc>
          <w:tcPr>
            <w:tcW w:w="280" w:type="dxa"/>
            <w:vAlign w:val="bottom"/>
          </w:tcPr>
          <w:p>
            <w:pPr>
              <w:spacing w:after="0"/>
              <w:rPr>
                <w:sz w:val="11"/>
                <w:szCs w:val="11"/>
                <w:color w:val="auto"/>
              </w:rPr>
            </w:pPr>
          </w:p>
        </w:tc>
        <w:tc>
          <w:tcPr>
            <w:tcW w:w="1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(1,654)</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(1,751)</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5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Other</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(2,394)</w:t>
            </w:r>
          </w:p>
        </w:tc>
        <w:tc>
          <w:tcPr>
            <w:tcW w:w="2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(2,192)</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(2,484)</w:t>
            </w:r>
          </w:p>
        </w:tc>
      </w:tr>
      <w:tr>
        <w:trPr>
          <w:trHeight w:val="116"/>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Loans and Leases Charged-Off</w:t>
            </w:r>
          </w:p>
        </w:tc>
        <w:tc>
          <w:tcPr>
            <w:tcW w:w="3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(4,062)</w:t>
            </w:r>
          </w:p>
        </w:tc>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(5,342)</w:t>
            </w:r>
          </w:p>
        </w:tc>
        <w:tc>
          <w:tcPr>
            <w:tcW w:w="3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(5,709)</w:t>
            </w:r>
          </w:p>
        </w:tc>
      </w:tr>
      <w:tr>
        <w:trPr>
          <w:trHeight w:val="26"/>
        </w:trPr>
        <w:tc>
          <w:tcPr>
            <w:tcW w:w="5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2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Recoveries on Loans and Leases Previously Charged-Off</w:t>
            </w: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spacing w:after="0"/>
              <w:rPr>
                <w:sz w:val="10"/>
                <w:szCs w:val="10"/>
                <w:color w:val="auto"/>
              </w:rPr>
            </w:pPr>
          </w:p>
        </w:tc>
      </w:tr>
      <w:tr>
        <w:trPr>
          <w:trHeight w:val="127"/>
        </w:trPr>
        <w:tc>
          <w:tcPr>
            <w:tcW w:w="56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Commercial</w:t>
            </w: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Commercial Mortgage</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1,617</w:t>
            </w: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w:t>
            </w:r>
          </w:p>
        </w:tc>
        <w:tc>
          <w:tcPr>
            <w:tcW w:w="28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Consumer</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Residential Mortgage</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w:t>
            </w:r>
          </w:p>
        </w:tc>
        <w:tc>
          <w:tcPr>
            <w:tcW w:w="28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Home Equity</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137</w:t>
            </w: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128</w:t>
            </w:r>
          </w:p>
        </w:tc>
      </w:tr>
      <w:tr>
        <w:trPr>
          <w:trHeight w:val="127"/>
        </w:trPr>
        <w:tc>
          <w:tcPr>
            <w:tcW w:w="56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Automobile</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579</w:t>
            </w:r>
          </w:p>
        </w:tc>
        <w:tc>
          <w:tcPr>
            <w:tcW w:w="28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517</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633</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5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Other</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590</w:t>
            </w:r>
          </w:p>
        </w:tc>
        <w:tc>
          <w:tcPr>
            <w:tcW w:w="2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457</w:t>
            </w:r>
          </w:p>
        </w:tc>
      </w:tr>
      <w:tr>
        <w:trPr>
          <w:trHeight w:val="116"/>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Recoveries on Loans and Leases</w:t>
            </w:r>
          </w:p>
        </w:tc>
        <w:tc>
          <w:tcPr>
            <w:tcW w:w="3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2,987</w:t>
            </w:r>
          </w:p>
        </w:tc>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1,194</w:t>
            </w:r>
          </w:p>
        </w:tc>
        <w:tc>
          <w:tcPr>
            <w:tcW w:w="3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1,306</w:t>
            </w:r>
          </w:p>
        </w:tc>
      </w:tr>
      <w:tr>
        <w:trPr>
          <w:trHeight w:val="26"/>
        </w:trPr>
        <w:tc>
          <w:tcPr>
            <w:tcW w:w="5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2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Charged-Off - Loans and Leases</w:t>
            </w: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(1,075)</w:t>
            </w:r>
          </w:p>
        </w:tc>
        <w:tc>
          <w:tcPr>
            <w:tcW w:w="28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(4,148)</w:t>
            </w:r>
          </w:p>
        </w:tc>
        <w:tc>
          <w:tcPr>
            <w:tcW w:w="34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(4,403)</w:t>
            </w:r>
          </w:p>
        </w:tc>
      </w:tr>
      <w:tr>
        <w:trPr>
          <w:trHeight w:val="127"/>
        </w:trPr>
        <w:tc>
          <w:tcPr>
            <w:tcW w:w="5660" w:type="dxa"/>
            <w:vAlign w:val="bottom"/>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33"/>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Loans and Leases</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1,271</w:t>
            </w: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2,136</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3,582</w:t>
            </w:r>
          </w:p>
        </w:tc>
      </w:tr>
      <w:tr>
        <w:trPr>
          <w:trHeight w:val="127"/>
        </w:trPr>
        <w:tc>
          <w:tcPr>
            <w:tcW w:w="56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Unfunded Commitments</w:t>
            </w:r>
          </w:p>
        </w:tc>
        <w:tc>
          <w:tcPr>
            <w:tcW w:w="34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479</w:t>
            </w:r>
          </w:p>
        </w:tc>
        <w:tc>
          <w:tcPr>
            <w:tcW w:w="28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364</w:t>
            </w:r>
          </w:p>
        </w:tc>
        <w:tc>
          <w:tcPr>
            <w:tcW w:w="340" w:type="dxa"/>
            <w:vAlign w:val="bottom"/>
          </w:tcPr>
          <w:p>
            <w:pPr>
              <w:spacing w:after="0"/>
              <w:rPr>
                <w:sz w:val="11"/>
                <w:szCs w:val="11"/>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w:t>
            </w:r>
          </w:p>
        </w:tc>
      </w:tr>
      <w:tr>
        <w:trPr>
          <w:trHeight w:val="26"/>
        </w:trPr>
        <w:tc>
          <w:tcPr>
            <w:tcW w:w="5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4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Provision for Credit Losses</w:t>
            </w:r>
          </w:p>
        </w:tc>
        <w:tc>
          <w:tcPr>
            <w:tcW w:w="3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1,750</w:t>
            </w:r>
          </w:p>
        </w:tc>
        <w:tc>
          <w:tcPr>
            <w:tcW w:w="28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2,500</w:t>
            </w:r>
          </w:p>
        </w:tc>
        <w:tc>
          <w:tcPr>
            <w:tcW w:w="3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3,250</w:t>
            </w:r>
          </w:p>
        </w:tc>
      </w:tr>
      <w:tr>
        <w:trPr>
          <w:trHeight w:val="116"/>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Balance at End of Period</w:t>
            </w:r>
          </w:p>
        </w:tc>
        <w:tc>
          <w:tcPr>
            <w:tcW w:w="3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149,078</w:t>
            </w:r>
          </w:p>
        </w:tc>
        <w:tc>
          <w:tcPr>
            <w:tcW w:w="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6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148,403</w:t>
            </w:r>
          </w:p>
        </w:tc>
        <w:tc>
          <w:tcPr>
            <w:tcW w:w="3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149,496</w:t>
            </w:r>
          </w:p>
        </w:tc>
      </w:tr>
      <w:tr>
        <w:trPr>
          <w:trHeight w:val="42"/>
        </w:trPr>
        <w:tc>
          <w:tcPr>
            <w:tcW w:w="5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3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Components</w:t>
            </w: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shd w:val="clear" w:color="auto" w:fill="CCEEFF"/>
          </w:tcPr>
          <w:p>
            <w:pPr>
              <w:spacing w:after="0"/>
              <w:rPr>
                <w:sz w:val="11"/>
                <w:szCs w:val="11"/>
                <w:color w:val="auto"/>
              </w:rPr>
            </w:pPr>
          </w:p>
        </w:tc>
      </w:tr>
      <w:tr>
        <w:trPr>
          <w:trHeight w:val="127"/>
        </w:trPr>
        <w:tc>
          <w:tcPr>
            <w:tcW w:w="56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Allowance for Credit Losses - Loans and Leases</w:t>
            </w:r>
          </w:p>
        </w:tc>
        <w:tc>
          <w:tcPr>
            <w:tcW w:w="34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146,962</w:t>
            </w: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146,766</w:t>
            </w:r>
          </w:p>
        </w:tc>
        <w:tc>
          <w:tcPr>
            <w:tcW w:w="34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147,707</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5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Reserve for Unfunded Commitments</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2,116</w:t>
            </w:r>
          </w:p>
        </w:tc>
        <w:tc>
          <w:tcPr>
            <w:tcW w:w="2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1,637</w:t>
            </w:r>
          </w:p>
        </w:tc>
        <w:tc>
          <w:tcPr>
            <w:tcW w:w="34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1,789</w:t>
            </w:r>
          </w:p>
        </w:tc>
      </w:tr>
      <w:tr>
        <w:trPr>
          <w:trHeight w:val="116"/>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Reserve for Credit Losses</w:t>
            </w:r>
          </w:p>
        </w:tc>
        <w:tc>
          <w:tcPr>
            <w:tcW w:w="3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149,078</w:t>
            </w:r>
          </w:p>
        </w:tc>
        <w:tc>
          <w:tcPr>
            <w:tcW w:w="2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6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148,403</w:t>
            </w:r>
          </w:p>
        </w:tc>
        <w:tc>
          <w:tcPr>
            <w:tcW w:w="3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149,496</w:t>
            </w:r>
          </w:p>
        </w:tc>
      </w:tr>
      <w:tr>
        <w:trPr>
          <w:trHeight w:val="42"/>
        </w:trPr>
        <w:tc>
          <w:tcPr>
            <w:tcW w:w="5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4"/>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Average Loans and Leases Outstanding</w:t>
            </w: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14,083,875</w:t>
            </w:r>
          </w:p>
        </w:tc>
        <w:tc>
          <w:tcPr>
            <w:tcW w:w="2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14,013,532</w:t>
            </w: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14,062,173</w:t>
            </w:r>
          </w:p>
        </w:tc>
      </w:tr>
      <w:tr>
        <w:trPr>
          <w:trHeight w:val="127"/>
        </w:trPr>
        <w:tc>
          <w:tcPr>
            <w:tcW w:w="5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Ratio of Net Loans and Leases Charged-Off to Average Loans and Leases Outstanding (annualized)</w:t>
            </w: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0.03 %</w:t>
            </w:r>
          </w:p>
        </w:tc>
        <w:tc>
          <w:tcPr>
            <w:tcW w:w="2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0.12 %</w:t>
            </w: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0.13 %</w:t>
            </w:r>
          </w:p>
        </w:tc>
      </w:tr>
      <w:tr>
        <w:trPr>
          <w:trHeight w:val="26"/>
        </w:trPr>
        <w:tc>
          <w:tcPr>
            <w:tcW w:w="5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5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Ratio of Allowance for Credit Losses to Loans and Leases Outstanding </w:t>
            </w:r>
            <w:r>
              <w:rPr>
                <w:rFonts w:ascii="Times New Roman" w:cs="Times New Roman" w:eastAsia="Times New Roman" w:hAnsi="Times New Roman"/>
                <w:sz w:val="12"/>
                <w:szCs w:val="12"/>
                <w:color w:val="auto"/>
                <w:vertAlign w:val="superscript"/>
              </w:rPr>
              <w:t>1</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1.04 %</w:t>
            </w: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1.04 %</w:t>
            </w:r>
          </w:p>
        </w:tc>
        <w:tc>
          <w:tcPr>
            <w:tcW w:w="3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1.05 %</w:t>
            </w:r>
          </w:p>
        </w:tc>
      </w:tr>
    </w:tbl>
    <w:p>
      <w:pPr>
        <w:spacing w:after="0" w:line="90" w:lineRule="exact"/>
        <w:rPr>
          <w:sz w:val="20"/>
          <w:szCs w:val="20"/>
          <w:color w:val="auto"/>
        </w:rPr>
      </w:pPr>
    </w:p>
    <w:p>
      <w:pPr>
        <w:ind w:left="48" w:hanging="48"/>
        <w:spacing w:after="0"/>
        <w:tabs>
          <w:tab w:leader="none" w:pos="48" w:val="left"/>
        </w:tabs>
        <w:numPr>
          <w:ilvl w:val="0"/>
          <w:numId w:val="11"/>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The numerator comprises the Allowance for Credit Losses - Loans and Leases.</w:t>
      </w:r>
    </w:p>
    <w:p>
      <w:pPr>
        <w:sectPr>
          <w:pgSz w:w="11900" w:h="16838" w:orient="portrait"/>
          <w:cols w:equalWidth="0" w:num="1">
            <w:col w:w="11308"/>
          </w:cols>
          <w:pgMar w:left="292" w:top="1084" w:right="2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59"/>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Bank of Hawai‘i Corporation and Subsidiaries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9"/>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Selected Quarterly Financial Data</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13</w:t>
            </w:r>
          </w:p>
        </w:tc>
      </w:tr>
      <w:tr>
        <w:trPr>
          <w:trHeight w:val="112"/>
        </w:trPr>
        <w:tc>
          <w:tcPr>
            <w:tcW w:w="3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3"/>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(dollars in thousands, except per share amounts)</w:t>
            </w:r>
          </w:p>
        </w:tc>
        <w:tc>
          <w:tcPr>
            <w:tcW w:w="260" w:type="dxa"/>
            <w:vAlign w:val="bottom"/>
          </w:tcPr>
          <w:p>
            <w:pPr>
              <w:spacing w:after="0"/>
              <w:rPr>
                <w:sz w:val="8"/>
                <w:szCs w:val="8"/>
                <w:color w:val="auto"/>
              </w:rPr>
            </w:pPr>
          </w:p>
        </w:tc>
        <w:tc>
          <w:tcPr>
            <w:tcW w:w="12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March 31, 2026</w:t>
            </w:r>
          </w:p>
        </w:tc>
        <w:tc>
          <w:tcPr>
            <w:tcW w:w="280" w:type="dxa"/>
            <w:vAlign w:val="bottom"/>
          </w:tcPr>
          <w:p>
            <w:pPr>
              <w:spacing w:after="0"/>
              <w:rPr>
                <w:sz w:val="8"/>
                <w:szCs w:val="8"/>
                <w:color w:val="auto"/>
              </w:rPr>
            </w:pPr>
          </w:p>
        </w:tc>
        <w:tc>
          <w:tcPr>
            <w:tcW w:w="1300" w:type="dxa"/>
            <w:vAlign w:val="bottom"/>
          </w:tcPr>
          <w:p>
            <w:pPr>
              <w:jc w:val="right"/>
              <w:ind w:right="398"/>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240" w:type="dxa"/>
            <w:vAlign w:val="bottom"/>
          </w:tcPr>
          <w:p>
            <w:pPr>
              <w:spacing w:after="0"/>
              <w:rPr>
                <w:sz w:val="8"/>
                <w:szCs w:val="8"/>
                <w:color w:val="auto"/>
              </w:rPr>
            </w:pPr>
          </w:p>
        </w:tc>
        <w:tc>
          <w:tcPr>
            <w:tcW w:w="1320" w:type="dxa"/>
            <w:vAlign w:val="bottom"/>
          </w:tcPr>
          <w:p>
            <w:pPr>
              <w:jc w:val="right"/>
              <w:ind w:right="398"/>
              <w:spacing w:after="0"/>
              <w:rPr>
                <w:sz w:val="20"/>
                <w:szCs w:val="20"/>
                <w:color w:val="auto"/>
              </w:rPr>
            </w:pPr>
            <w:r>
              <w:rPr>
                <w:rFonts w:ascii="Times New Roman" w:cs="Times New Roman" w:eastAsia="Times New Roman" w:hAnsi="Times New Roman"/>
                <w:sz w:val="8"/>
                <w:szCs w:val="8"/>
                <w:b w:val="1"/>
                <w:bCs w:val="1"/>
                <w:color w:val="auto"/>
              </w:rPr>
              <w:t>September 30, 2025</w:t>
            </w:r>
          </w:p>
        </w:tc>
        <w:tc>
          <w:tcPr>
            <w:tcW w:w="320" w:type="dxa"/>
            <w:vAlign w:val="bottom"/>
          </w:tcPr>
          <w:p>
            <w:pPr>
              <w:spacing w:after="0"/>
              <w:rPr>
                <w:sz w:val="8"/>
                <w:szCs w:val="8"/>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June 30, 2025</w:t>
            </w:r>
          </w:p>
        </w:tc>
        <w:tc>
          <w:tcPr>
            <w:tcW w:w="300" w:type="dxa"/>
            <w:vAlign w:val="bottom"/>
          </w:tcPr>
          <w:p>
            <w:pPr>
              <w:spacing w:after="0"/>
              <w:rPr>
                <w:sz w:val="8"/>
                <w:szCs w:val="8"/>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8"/>
                <w:szCs w:val="8"/>
                <w:b w:val="1"/>
                <w:bCs w:val="1"/>
                <w:color w:val="auto"/>
              </w:rPr>
              <w:t>March 31, 2025</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Quarterly Operating Results</w:t>
            </w:r>
          </w:p>
        </w:tc>
        <w:tc>
          <w:tcPr>
            <w:tcW w:w="26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Interest Income</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Interest and Fees on Loans and Leases</w:t>
            </w: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164,469</w:t>
            </w: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168,234</w:t>
            </w:r>
          </w:p>
        </w:tc>
        <w:tc>
          <w:tcPr>
            <w:tcW w:w="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169,411</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166,779</w:t>
            </w: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163,082</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Income on Investment Securities</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Available-for-Sale</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34,575</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32,950</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29,702</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27,007</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24,368</w:t>
            </w:r>
          </w:p>
        </w:tc>
      </w:tr>
      <w:tr>
        <w:trPr>
          <w:trHeight w:val="114"/>
        </w:trPr>
        <w:tc>
          <w:tcPr>
            <w:tcW w:w="35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Held-to-Maturity</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18,541</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18,929</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19,332</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19,835</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20,291</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Cash and Cash Equivalents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3,329</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5,936</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8,195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3,817</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5,460</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Other</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1,293</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1,245</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1,068</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1,097</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1,085</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Interest Income</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222,207</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227,294</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227,708</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218,535</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214,286</w:t>
            </w:r>
          </w:p>
        </w:tc>
      </w:tr>
      <w:tr>
        <w:trPr>
          <w:trHeight w:val="103"/>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2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Deposits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64,886</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75,477</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84,590</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82,476</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81,692</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486</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496</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496</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491</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744</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0"/>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Other Debt</w:t>
            </w:r>
          </w:p>
        </w:tc>
        <w:tc>
          <w:tcPr>
            <w:tcW w:w="26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5,845</w:t>
            </w:r>
          </w:p>
        </w:tc>
        <w:tc>
          <w:tcPr>
            <w:tcW w:w="2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5,947</w:t>
            </w:r>
          </w:p>
        </w:tc>
        <w:tc>
          <w:tcPr>
            <w:tcW w:w="24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5,947</w:t>
            </w: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5,885</w:t>
            </w:r>
          </w:p>
        </w:tc>
        <w:tc>
          <w:tcPr>
            <w:tcW w:w="3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6,043</w:t>
            </w:r>
          </w:p>
        </w:tc>
      </w:tr>
      <w:tr>
        <w:trPr>
          <w:trHeight w:val="103"/>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Interest Expense</w:t>
            </w:r>
          </w:p>
        </w:tc>
        <w:tc>
          <w:tcPr>
            <w:tcW w:w="2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71,217</w:t>
            </w: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81,920</w:t>
            </w: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91,033</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88,852</w:t>
            </w: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88,479</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Net Interest Income</w:t>
            </w:r>
          </w:p>
        </w:tc>
        <w:tc>
          <w:tcPr>
            <w:tcW w:w="26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150,990</w:t>
            </w: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145,374</w:t>
            </w:r>
          </w:p>
        </w:tc>
        <w:tc>
          <w:tcPr>
            <w:tcW w:w="2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136,675</w:t>
            </w: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129,683</w:t>
            </w:r>
          </w:p>
        </w:tc>
        <w:tc>
          <w:tcPr>
            <w:tcW w:w="30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125,807</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Provision for Credit Losses</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1,750</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2,500</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2,500</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3,250</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3,250</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Net Interest Income After Provision for Credit Losses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149,240</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142,874</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134,175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126,433</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122,557</w:t>
            </w:r>
          </w:p>
        </w:tc>
      </w:tr>
      <w:tr>
        <w:trPr>
          <w:trHeight w:val="103"/>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Noninterest Income</w:t>
            </w:r>
          </w:p>
        </w:tc>
        <w:tc>
          <w:tcPr>
            <w:tcW w:w="2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Trust and Asset Management</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12,445</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12,883</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12,598</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12,097</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11,741</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Fees, Exchange, and Other Service Charges</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10,928</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12,298</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15,219</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14,383</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14,437</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Service Charges on Deposit Accounts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8,440</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8,694</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8,510</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8,119</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8,259</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Bank-Owned Life Insurance</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4,147</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3,758</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3,681</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3,714</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3,611</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Annuity and Insurance</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1,469</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1,124</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1,095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1,437</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1,555</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Mortgage Banking</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876</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917</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906</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849</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988</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Investment Securities Losses, Net</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(1,272)</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(18,717)</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(1,945)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(1,126)</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(1,607)</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Other</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4,299</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23,314</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5,902</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5,322</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5,074</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Noninterest Income</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41,332</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44,271</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45,966</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44,795</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44,058</w:t>
            </w:r>
          </w:p>
        </w:tc>
      </w:tr>
      <w:tr>
        <w:trPr>
          <w:trHeight w:val="103"/>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Noninterest Expense</w:t>
            </w:r>
          </w:p>
        </w:tc>
        <w:tc>
          <w:tcPr>
            <w:tcW w:w="2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Salaries and Benefits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68,457</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61,675</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62,905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61,308</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62,884</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Net Occupancy</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10,782</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10,029</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10,932</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10,499</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10,559</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Net Equipment</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10,611</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10,047</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10,285</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9,977</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10,192</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Data Processing</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5,581</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5,659</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5,603</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5,456</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5,267</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Professional Fees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4,226</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3,682</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4,022</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4,263</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4,264</w:t>
            </w:r>
          </w:p>
        </w:tc>
      </w:tr>
      <w:tr>
        <w:trPr>
          <w:trHeight w:val="114"/>
        </w:trPr>
        <w:tc>
          <w:tcPr>
            <w:tcW w:w="3540" w:type="dxa"/>
            <w:vAlign w:val="bottom"/>
          </w:tcPr>
          <w:p>
            <w:pPr>
              <w:ind w:left="80"/>
              <w:spacing w:after="0"/>
              <w:rPr>
                <w:sz w:val="20"/>
                <w:szCs w:val="20"/>
                <w:color w:val="auto"/>
              </w:rPr>
            </w:pPr>
            <w:r>
              <w:rPr>
                <w:rFonts w:ascii="Times New Roman" w:cs="Times New Roman" w:eastAsia="Times New Roman" w:hAnsi="Times New Roman"/>
                <w:sz w:val="8"/>
                <w:szCs w:val="8"/>
                <w:color w:val="auto"/>
              </w:rPr>
              <w:t>FDIC Insurance</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2,719</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2,378</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3,508</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3,640</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1,642</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0"/>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Other</w:t>
            </w:r>
          </w:p>
        </w:tc>
        <w:tc>
          <w:tcPr>
            <w:tcW w:w="26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13,695</w:t>
            </w:r>
          </w:p>
        </w:tc>
        <w:tc>
          <w:tcPr>
            <w:tcW w:w="2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16,048</w:t>
            </w:r>
          </w:p>
        </w:tc>
        <w:tc>
          <w:tcPr>
            <w:tcW w:w="24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15,132</w:t>
            </w: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15,640</w:t>
            </w:r>
          </w:p>
        </w:tc>
        <w:tc>
          <w:tcPr>
            <w:tcW w:w="30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15,651</w:t>
            </w:r>
          </w:p>
        </w:tc>
      </w:tr>
      <w:tr>
        <w:trPr>
          <w:trHeight w:val="103"/>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Total Noninterest Expense</w:t>
            </w:r>
          </w:p>
        </w:tc>
        <w:tc>
          <w:tcPr>
            <w:tcW w:w="2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116,071</w:t>
            </w:r>
          </w:p>
        </w:tc>
        <w:tc>
          <w:tcPr>
            <w:tcW w:w="2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109,518</w:t>
            </w:r>
          </w:p>
        </w:tc>
        <w:tc>
          <w:tcPr>
            <w:tcW w:w="2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112,387</w:t>
            </w:r>
          </w:p>
        </w:tc>
        <w:tc>
          <w:tcPr>
            <w:tcW w:w="3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110,783</w:t>
            </w: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110,459</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4"/>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Income Before Provision for Income Taxes</w:t>
            </w:r>
          </w:p>
        </w:tc>
        <w:tc>
          <w:tcPr>
            <w:tcW w:w="26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74,501</w:t>
            </w: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77,627</w:t>
            </w:r>
          </w:p>
        </w:tc>
        <w:tc>
          <w:tcPr>
            <w:tcW w:w="2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67,754</w:t>
            </w:r>
          </w:p>
        </w:tc>
        <w:tc>
          <w:tcPr>
            <w:tcW w:w="32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60,445</w:t>
            </w:r>
          </w:p>
        </w:tc>
        <w:tc>
          <w:tcPr>
            <w:tcW w:w="30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56,156</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Provision for Income Taxes</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17,069</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16,692</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14,409</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12,808</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12,171</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Net Income</w:t>
            </w: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57,432</w:t>
            </w: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60,935</w:t>
            </w:r>
          </w:p>
        </w:tc>
        <w:tc>
          <w:tcPr>
            <w:tcW w:w="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53,345</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47,637</w:t>
            </w: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43,985</w:t>
            </w:r>
          </w:p>
        </w:tc>
      </w:tr>
      <w:tr>
        <w:trPr>
          <w:trHeight w:val="114"/>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Preferred Stock Dividends</w:t>
            </w:r>
          </w:p>
        </w:tc>
        <w:tc>
          <w:tcPr>
            <w:tcW w:w="26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5,269</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5,269</w:t>
            </w:r>
          </w:p>
        </w:tc>
        <w:tc>
          <w:tcPr>
            <w:tcW w:w="24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5,269</w:t>
            </w: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5,269</w:t>
            </w:r>
          </w:p>
        </w:tc>
        <w:tc>
          <w:tcPr>
            <w:tcW w:w="3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5,269</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Net Income Available to Common Shareholders</w:t>
            </w: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52,163</w:t>
            </w: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55,666</w:t>
            </w:r>
          </w:p>
        </w:tc>
        <w:tc>
          <w:tcPr>
            <w:tcW w:w="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48,076</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42,368</w:t>
            </w: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38,716</w:t>
            </w:r>
          </w:p>
        </w:tc>
      </w:tr>
      <w:tr>
        <w:trPr>
          <w:trHeight w:val="114"/>
        </w:trPr>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Basic Earnings Per Common Share</w:t>
            </w:r>
          </w:p>
        </w:tc>
        <w:tc>
          <w:tcPr>
            <w:tcW w:w="26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1.32</w:t>
            </w:r>
          </w:p>
        </w:tc>
        <w:tc>
          <w:tcPr>
            <w:tcW w:w="2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1.40</w:t>
            </w:r>
          </w:p>
        </w:tc>
        <w:tc>
          <w:tcPr>
            <w:tcW w:w="2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1.21</w:t>
            </w:r>
          </w:p>
        </w:tc>
        <w:tc>
          <w:tcPr>
            <w:tcW w:w="32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1.07</w:t>
            </w:r>
          </w:p>
        </w:tc>
        <w:tc>
          <w:tcPr>
            <w:tcW w:w="30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0.98</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Diluted Earnings Per Common Share</w:t>
            </w: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1.30</w:t>
            </w: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1.39</w:t>
            </w:r>
          </w:p>
        </w:tc>
        <w:tc>
          <w:tcPr>
            <w:tcW w:w="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1.20</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1.06</w:t>
            </w: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0.97</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Sheet Totals</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Loans and Leases</w:t>
            </w: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14,192,811</w:t>
            </w: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14,082,050</w:t>
            </w:r>
          </w:p>
        </w:tc>
        <w:tc>
          <w:tcPr>
            <w:tcW w:w="2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w:t>
            </w: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14,021,579</w:t>
            </w:r>
          </w:p>
        </w:tc>
        <w:tc>
          <w:tcPr>
            <w:tcW w:w="3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14,002,178</w:t>
            </w: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14,115,323</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Total Assets</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23,909,933</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24,176,364</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24,014,609</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23,709,752</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23,885,056</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Deposits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20,957,930</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21,188,495</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21,080,669</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20,798,914</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21,008,217</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Total Shareholders' Equity</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1,854,563</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1,851,212</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1,791,183</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1,743,107</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1,704,935</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Performance Ratios</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Return on Average Assets</w:t>
            </w:r>
          </w:p>
        </w:tc>
        <w:tc>
          <w:tcPr>
            <w:tcW w:w="26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0.97 %</w:t>
            </w:r>
          </w:p>
        </w:tc>
        <w:tc>
          <w:tcPr>
            <w:tcW w:w="280" w:type="dxa"/>
            <w:vAlign w:val="bottom"/>
          </w:tcPr>
          <w:p>
            <w:pPr>
              <w:spacing w:after="0"/>
              <w:rPr>
                <w:sz w:val="9"/>
                <w:szCs w:val="9"/>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1.01 %</w:t>
            </w:r>
          </w:p>
        </w:tc>
        <w:tc>
          <w:tcPr>
            <w:tcW w:w="240" w:type="dxa"/>
            <w:vAlign w:val="bottom"/>
          </w:tcPr>
          <w:p>
            <w:pPr>
              <w:spacing w:after="0"/>
              <w:rPr>
                <w:sz w:val="9"/>
                <w:szCs w:val="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0.88 %</w:t>
            </w:r>
          </w:p>
        </w:tc>
        <w:tc>
          <w:tcPr>
            <w:tcW w:w="3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0.81 %</w:t>
            </w:r>
          </w:p>
        </w:tc>
        <w:tc>
          <w:tcPr>
            <w:tcW w:w="30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0.75 %</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Return on Average Shareholders' Equity</w:t>
            </w:r>
          </w:p>
        </w:tc>
        <w:tc>
          <w:tcPr>
            <w:tcW w:w="260" w:type="dxa"/>
            <w:vAlign w:val="bottom"/>
            <w:tcBorders>
              <w:bottom w:val="single" w:sz="8" w:color="CCEEFF"/>
            </w:tcBorders>
            <w:shd w:val="clear" w:color="auto" w:fill="CCEEFF"/>
          </w:tcPr>
          <w:p>
            <w:pPr>
              <w:spacing w:after="0"/>
              <w:rPr>
                <w:sz w:val="10"/>
                <w:szCs w:val="10"/>
                <w:color w:val="auto"/>
              </w:rPr>
            </w:pPr>
          </w:p>
        </w:tc>
        <w:tc>
          <w:tcPr>
            <w:tcW w:w="12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12.47</w:t>
            </w:r>
          </w:p>
        </w:tc>
        <w:tc>
          <w:tcPr>
            <w:tcW w:w="2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13.33</w:t>
            </w:r>
          </w:p>
        </w:tc>
        <w:tc>
          <w:tcPr>
            <w:tcW w:w="2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12.10</w:t>
            </w:r>
          </w:p>
        </w:tc>
        <w:tc>
          <w:tcPr>
            <w:tcW w:w="32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11.21</w:t>
            </w:r>
          </w:p>
        </w:tc>
        <w:tc>
          <w:tcPr>
            <w:tcW w:w="3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10.65</w:t>
            </w:r>
          </w:p>
        </w:tc>
      </w:tr>
      <w:tr>
        <w:trPr>
          <w:trHeight w:val="114"/>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Return on Average Common Equity</w:t>
            </w:r>
          </w:p>
        </w:tc>
        <w:tc>
          <w:tcPr>
            <w:tcW w:w="260" w:type="dxa"/>
            <w:vAlign w:val="bottom"/>
          </w:tcPr>
          <w:p>
            <w:pPr>
              <w:spacing w:after="0"/>
              <w:rPr>
                <w:sz w:val="9"/>
                <w:szCs w:val="9"/>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13.90</w:t>
            </w:r>
          </w:p>
        </w:tc>
        <w:tc>
          <w:tcPr>
            <w:tcW w:w="280" w:type="dxa"/>
            <w:vAlign w:val="bottom"/>
          </w:tcPr>
          <w:p>
            <w:pPr>
              <w:spacing w:after="0"/>
              <w:rPr>
                <w:sz w:val="9"/>
                <w:szCs w:val="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15.03</w:t>
            </w:r>
          </w:p>
        </w:tc>
        <w:tc>
          <w:tcPr>
            <w:tcW w:w="240" w:type="dxa"/>
            <w:vAlign w:val="bottom"/>
          </w:tcPr>
          <w:p>
            <w:pPr>
              <w:spacing w:after="0"/>
              <w:rPr>
                <w:sz w:val="9"/>
                <w:szCs w:val="9"/>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13.59</w:t>
            </w:r>
          </w:p>
        </w:tc>
        <w:tc>
          <w:tcPr>
            <w:tcW w:w="32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12.50</w:t>
            </w:r>
          </w:p>
        </w:tc>
        <w:tc>
          <w:tcPr>
            <w:tcW w:w="300" w:type="dxa"/>
            <w:vAlign w:val="bottom"/>
          </w:tcPr>
          <w:p>
            <w:pPr>
              <w:spacing w:after="0"/>
              <w:rPr>
                <w:sz w:val="9"/>
                <w:szCs w:val="9"/>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11.80</w:t>
            </w:r>
          </w:p>
        </w:tc>
      </w:tr>
      <w:tr>
        <w:trPr>
          <w:trHeight w:val="21"/>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 xml:space="preserve">Efficiency Ratio </w:t>
            </w:r>
            <w:r>
              <w:rPr>
                <w:rFonts w:ascii="Times New Roman" w:cs="Times New Roman" w:eastAsia="Times New Roman" w:hAnsi="Times New Roman"/>
                <w:sz w:val="10"/>
                <w:szCs w:val="10"/>
                <w:color w:val="auto"/>
                <w:vertAlign w:val="superscript"/>
              </w:rPr>
              <w:t>1</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60.35</w:t>
            </w: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rPr>
              <w:t>57.75</w:t>
            </w: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61.53</w:t>
            </w: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63.49</w:t>
            </w: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65.03</w:t>
            </w:r>
          </w:p>
        </w:tc>
      </w:tr>
      <w:tr>
        <w:trPr>
          <w:trHeight w:val="143"/>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Net Interest Margin </w:t>
            </w:r>
            <w:r>
              <w:rPr>
                <w:rFonts w:ascii="Times New Roman" w:cs="Times New Roman" w:eastAsia="Times New Roman" w:hAnsi="Times New Roman"/>
                <w:sz w:val="10"/>
                <w:szCs w:val="10"/>
                <w:color w:val="auto"/>
                <w:vertAlign w:val="superscript"/>
              </w:rPr>
              <w:t>2</w:t>
            </w:r>
          </w:p>
        </w:tc>
        <w:tc>
          <w:tcPr>
            <w:tcW w:w="260" w:type="dxa"/>
            <w:vAlign w:val="bottom"/>
          </w:tcPr>
          <w:p>
            <w:pPr>
              <w:spacing w:after="0"/>
              <w:rPr>
                <w:sz w:val="12"/>
                <w:szCs w:val="12"/>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2.74</w:t>
            </w:r>
          </w:p>
        </w:tc>
        <w:tc>
          <w:tcPr>
            <w:tcW w:w="280" w:type="dxa"/>
            <w:vAlign w:val="bottom"/>
          </w:tcPr>
          <w:p>
            <w:pPr>
              <w:spacing w:after="0"/>
              <w:rPr>
                <w:sz w:val="12"/>
                <w:szCs w:val="12"/>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2.61</w:t>
            </w:r>
          </w:p>
        </w:tc>
        <w:tc>
          <w:tcPr>
            <w:tcW w:w="240" w:type="dxa"/>
            <w:vAlign w:val="bottom"/>
          </w:tcPr>
          <w:p>
            <w:pPr>
              <w:spacing w:after="0"/>
              <w:rPr>
                <w:sz w:val="12"/>
                <w:szCs w:val="12"/>
                <w:color w:val="auto"/>
              </w:rPr>
            </w:pPr>
          </w:p>
        </w:tc>
        <w:tc>
          <w:tcPr>
            <w:tcW w:w="132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2.46</w:t>
            </w:r>
          </w:p>
        </w:tc>
        <w:tc>
          <w:tcPr>
            <w:tcW w:w="320" w:type="dxa"/>
            <w:vAlign w:val="bottom"/>
          </w:tcPr>
          <w:p>
            <w:pPr>
              <w:spacing w:after="0"/>
              <w:rPr>
                <w:sz w:val="12"/>
                <w:szCs w:val="12"/>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2.39</w:t>
            </w:r>
          </w:p>
        </w:tc>
        <w:tc>
          <w:tcPr>
            <w:tcW w:w="300" w:type="dxa"/>
            <w:vAlign w:val="bottom"/>
          </w:tcPr>
          <w:p>
            <w:pPr>
              <w:spacing w:after="0"/>
              <w:rPr>
                <w:sz w:val="12"/>
                <w:szCs w:val="12"/>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2.32</w:t>
            </w:r>
          </w:p>
        </w:tc>
      </w:tr>
    </w:tbl>
    <w:p>
      <w:pPr>
        <w:spacing w:after="0" w:line="108" w:lineRule="exact"/>
        <w:rPr>
          <w:sz w:val="20"/>
          <w:szCs w:val="20"/>
          <w:color w:val="auto"/>
        </w:rPr>
      </w:pPr>
    </w:p>
    <w:p>
      <w:pPr>
        <w:ind w:left="48" w:hanging="48"/>
        <w:spacing w:after="0"/>
        <w:tabs>
          <w:tab w:leader="none" w:pos="48" w:val="left"/>
        </w:tabs>
        <w:numPr>
          <w:ilvl w:val="0"/>
          <w:numId w:val="12"/>
        </w:numPr>
        <w:rPr>
          <w:rFonts w:ascii="Times New Roman" w:cs="Times New Roman" w:eastAsia="Times New Roman" w:hAnsi="Times New Roman"/>
          <w:sz w:val="5"/>
          <w:szCs w:val="5"/>
          <w:color w:val="auto"/>
        </w:rPr>
      </w:pPr>
      <w:r>
        <w:rPr>
          <w:rFonts w:ascii="Times New Roman" w:cs="Times New Roman" w:eastAsia="Times New Roman" w:hAnsi="Times New Roman"/>
          <w:sz w:val="7"/>
          <w:szCs w:val="7"/>
          <w:color w:val="auto"/>
        </w:rPr>
        <w:t>Efficiency ratio is defined as noninterest expense divided by total revenue (net interest income and total noninterest income).</w:t>
      </w:r>
    </w:p>
    <w:p>
      <w:pPr>
        <w:spacing w:after="0" w:line="13" w:lineRule="exact"/>
        <w:rPr>
          <w:rFonts w:ascii="Times New Roman" w:cs="Times New Roman" w:eastAsia="Times New Roman" w:hAnsi="Times New Roman"/>
          <w:sz w:val="5"/>
          <w:szCs w:val="5"/>
          <w:color w:val="auto"/>
        </w:rPr>
      </w:pPr>
    </w:p>
    <w:p>
      <w:pPr>
        <w:ind w:left="8"/>
        <w:spacing w:after="0"/>
        <w:rPr>
          <w:rFonts w:ascii="Times New Roman" w:cs="Times New Roman" w:eastAsia="Times New Roman" w:hAnsi="Times New Roman"/>
          <w:sz w:val="5"/>
          <w:szCs w:val="5"/>
          <w:color w:val="auto"/>
        </w:rPr>
      </w:pPr>
      <w:r>
        <w:rPr>
          <w:rFonts w:ascii="Times New Roman" w:cs="Times New Roman" w:eastAsia="Times New Roman" w:hAnsi="Times New Roman"/>
          <w:sz w:val="9"/>
          <w:szCs w:val="9"/>
          <w:color w:val="auto"/>
          <w:vertAlign w:val="superscript"/>
        </w:rPr>
        <w:t>2</w:t>
      </w:r>
      <w:r>
        <w:rPr>
          <w:rFonts w:ascii="Times New Roman" w:cs="Times New Roman" w:eastAsia="Times New Roman" w:hAnsi="Times New Roman"/>
          <w:sz w:val="7"/>
          <w:szCs w:val="7"/>
          <w:color w:val="auto"/>
        </w:rPr>
        <w:t xml:space="preserve"> Net interest margin is defined as net interest income, on a taxable-equivalent basis, as a percentage of average earning assets.</w:t>
      </w:r>
    </w:p>
    <w:p>
      <w:pPr>
        <w:sectPr>
          <w:pgSz w:w="11900" w:h="16838" w:orient="portrait"/>
          <w:cols w:equalWidth="0" w:num="1">
            <w:col w:w="11308"/>
          </w:cols>
          <w:pgMar w:left="292" w:top="872" w:right="29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Hawaii Economic Trends</w:t>
            </w:r>
          </w:p>
        </w:tc>
        <w:tc>
          <w:tcPr>
            <w:tcW w:w="1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14</w:t>
            </w:r>
          </w:p>
        </w:tc>
      </w:tr>
      <w:tr>
        <w:trPr>
          <w:trHeight w:val="121"/>
        </w:trPr>
        <w:tc>
          <w:tcPr>
            <w:tcW w:w="3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21"/>
        </w:trPr>
        <w:tc>
          <w:tcPr>
            <w:tcW w:w="3240" w:type="dxa"/>
            <w:vAlign w:val="bottom"/>
          </w:tcPr>
          <w:p>
            <w:pPr>
              <w:spacing w:after="0"/>
              <w:rPr>
                <w:sz w:val="20"/>
                <w:szCs w:val="20"/>
                <w:color w:val="auto"/>
              </w:rPr>
            </w:pPr>
            <w:r>
              <w:rPr>
                <w:rFonts w:ascii="Times New Roman" w:cs="Times New Roman" w:eastAsia="Times New Roman" w:hAnsi="Times New Roman"/>
                <w:sz w:val="8"/>
                <w:szCs w:val="8"/>
                <w:color w:val="auto"/>
              </w:rPr>
              <w:t>(dollars in millions, jobs in thousands, 1-year percentage change)</w:t>
            </w:r>
          </w:p>
        </w:tc>
        <w:tc>
          <w:tcPr>
            <w:tcW w:w="1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ind w:left="6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760" w:type="dxa"/>
            <w:vAlign w:val="bottom"/>
          </w:tcPr>
          <w:p>
            <w:pPr>
              <w:spacing w:after="0"/>
              <w:rPr>
                <w:sz w:val="10"/>
                <w:szCs w:val="10"/>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2"/>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Hawaii Economic Trends</w:t>
            </w:r>
          </w:p>
        </w:tc>
        <w:tc>
          <w:tcPr>
            <w:tcW w:w="1720" w:type="dxa"/>
            <w:vAlign w:val="bottom"/>
            <w:tcBorders>
              <w:bottom w:val="single" w:sz="8" w:color="CFF0FC"/>
            </w:tcBorders>
            <w:shd w:val="clear" w:color="auto" w:fill="CFF0FC"/>
          </w:tcPr>
          <w:p>
            <w:pPr>
              <w:spacing w:after="0"/>
              <w:rPr>
                <w:sz w:val="10"/>
                <w:szCs w:val="10"/>
                <w:color w:val="auto"/>
              </w:rPr>
            </w:pPr>
          </w:p>
        </w:tc>
        <w:tc>
          <w:tcPr>
            <w:tcW w:w="9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6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r>
      <w:tr>
        <w:trPr>
          <w:trHeight w:val="153"/>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 xml:space="preserve">General Excise and Use Tax Revenue </w:t>
            </w:r>
            <w:r>
              <w:rPr>
                <w:rFonts w:ascii="Times New Roman" w:cs="Times New Roman" w:eastAsia="Times New Roman" w:hAnsi="Times New Roman"/>
                <w:sz w:val="12"/>
                <w:szCs w:val="12"/>
                <w:color w:val="auto"/>
                <w:vertAlign w:val="superscript"/>
              </w:rPr>
              <w:t>1</w:t>
            </w: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889.1</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4.1 %</w:t>
            </w:r>
          </w:p>
        </w:tc>
        <w:tc>
          <w:tcPr>
            <w:tcW w:w="740" w:type="dxa"/>
            <w:vAlign w:val="bottom"/>
          </w:tcPr>
          <w:p>
            <w:pPr>
              <w:spacing w:after="0"/>
              <w:rPr>
                <w:sz w:val="13"/>
                <w:szCs w:val="13"/>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4,773.4</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w w:val="94"/>
              </w:rPr>
              <w:t>6.2 %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right"/>
              <w:ind w:right="672"/>
              <w:spacing w:after="0"/>
              <w:rPr>
                <w:sz w:val="20"/>
                <w:szCs w:val="20"/>
                <w:color w:val="auto"/>
              </w:rPr>
            </w:pPr>
            <w:r>
              <w:rPr>
                <w:rFonts w:ascii="Times New Roman" w:cs="Times New Roman" w:eastAsia="Times New Roman" w:hAnsi="Times New Roman"/>
                <w:sz w:val="10"/>
                <w:szCs w:val="10"/>
                <w:color w:val="auto"/>
              </w:rPr>
              <w:t>4,495.0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0.5 %</w:t>
            </w:r>
          </w:p>
        </w:tc>
      </w:tr>
      <w:tr>
        <w:trPr>
          <w:trHeight w:val="153"/>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 xml:space="preserve">Jobs </w:t>
            </w:r>
            <w:r>
              <w:rPr>
                <w:rFonts w:ascii="Times New Roman" w:cs="Times New Roman" w:eastAsia="Times New Roman" w:hAnsi="Times New Roman"/>
                <w:sz w:val="12"/>
                <w:szCs w:val="12"/>
                <w:color w:val="auto"/>
                <w:vertAlign w:val="superscript"/>
              </w:rPr>
              <w:t>2</w:t>
            </w:r>
          </w:p>
        </w:tc>
        <w:tc>
          <w:tcPr>
            <w:tcW w:w="1720" w:type="dxa"/>
            <w:vAlign w:val="bottom"/>
            <w:shd w:val="clear" w:color="auto" w:fill="CFF0FC"/>
          </w:tcPr>
          <w:p>
            <w:pPr>
              <w:jc w:val="right"/>
              <w:ind w:right="552"/>
              <w:spacing w:after="0"/>
              <w:rPr>
                <w:sz w:val="20"/>
                <w:szCs w:val="20"/>
                <w:color w:val="auto"/>
              </w:rPr>
            </w:pPr>
            <w:r>
              <w:rPr>
                <w:rFonts w:ascii="Times New Roman" w:cs="Times New Roman" w:eastAsia="Times New Roman" w:hAnsi="Times New Roman"/>
                <w:sz w:val="10"/>
                <w:szCs w:val="10"/>
                <w:color w:val="auto"/>
              </w:rPr>
              <w:t>672.7</w:t>
            </w:r>
          </w:p>
        </w:tc>
        <w:tc>
          <w:tcPr>
            <w:tcW w:w="9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672.9</w:t>
            </w: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0"/>
                <w:szCs w:val="10"/>
                <w:color w:val="auto"/>
              </w:rPr>
              <w:t>669.0</w:t>
            </w:r>
          </w:p>
        </w:tc>
        <w:tc>
          <w:tcPr>
            <w:tcW w:w="760" w:type="dxa"/>
            <w:vAlign w:val="bottom"/>
            <w:shd w:val="clear" w:color="auto" w:fill="CFF0FC"/>
          </w:tcPr>
          <w:p>
            <w:pPr>
              <w:spacing w:after="0"/>
              <w:rPr>
                <w:sz w:val="13"/>
                <w:szCs w:val="13"/>
                <w:color w:val="auto"/>
              </w:rPr>
            </w:pPr>
          </w:p>
        </w:tc>
      </w:tr>
      <w:tr>
        <w:trPr>
          <w:trHeight w:val="127"/>
        </w:trPr>
        <w:tc>
          <w:tcPr>
            <w:tcW w:w="3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4"/>
              </w:rPr>
              <w:t>January 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60" w:type="dxa"/>
            <w:vAlign w:val="bottom"/>
          </w:tcPr>
          <w:p>
            <w:pPr>
              <w:spacing w:after="0"/>
              <w:rPr>
                <w:sz w:val="11"/>
                <w:szCs w:val="11"/>
                <w:color w:val="auto"/>
              </w:rPr>
            </w:pP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16"/>
        </w:trPr>
        <w:tc>
          <w:tcPr>
            <w:tcW w:w="3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jc w:val="center"/>
              <w:ind w:left="832"/>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2025</w:t>
            </w:r>
          </w:p>
        </w:tc>
        <w:tc>
          <w:tcPr>
            <w:tcW w:w="76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89"/>
              </w:rPr>
              <w:t>2024</w:t>
            </w:r>
          </w:p>
        </w:tc>
      </w:tr>
      <w:tr>
        <w:trPr>
          <w:trHeight w:val="26"/>
        </w:trPr>
        <w:tc>
          <w:tcPr>
            <w:tcW w:w="3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4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 xml:space="preserve">Unemployment, seasonally adjusted </w:t>
            </w:r>
            <w:r>
              <w:rPr>
                <w:rFonts w:ascii="Times New Roman" w:cs="Times New Roman" w:eastAsia="Times New Roman" w:hAnsi="Times New Roman"/>
                <w:sz w:val="12"/>
                <w:szCs w:val="12"/>
                <w:b w:val="1"/>
                <w:bCs w:val="1"/>
                <w:color w:val="auto"/>
                <w:vertAlign w:val="superscript"/>
              </w:rPr>
              <w:t>2</w:t>
            </w:r>
          </w:p>
        </w:tc>
        <w:tc>
          <w:tcPr>
            <w:tcW w:w="1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27"/>
        </w:trPr>
        <w:tc>
          <w:tcPr>
            <w:tcW w:w="3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Statewide</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w w:val="94"/>
              </w:rPr>
              <w:t>2.6 %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2.6 %</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Honolulu County</w:t>
            </w:r>
          </w:p>
        </w:tc>
        <w:tc>
          <w:tcPr>
            <w:tcW w:w="17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0"/>
                <w:szCs w:val="10"/>
                <w:color w:val="auto"/>
              </w:rPr>
              <w:t>2.5</w:t>
            </w:r>
          </w:p>
        </w:tc>
        <w:tc>
          <w:tcPr>
            <w:tcW w:w="76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2.9</w:t>
            </w:r>
          </w:p>
        </w:tc>
      </w:tr>
      <w:tr>
        <w:trPr>
          <w:trHeight w:val="127"/>
        </w:trPr>
        <w:tc>
          <w:tcPr>
            <w:tcW w:w="3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Hawaii County</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3.1</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Maui County</w:t>
            </w:r>
          </w:p>
        </w:tc>
        <w:tc>
          <w:tcPr>
            <w:tcW w:w="17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0"/>
                <w:szCs w:val="10"/>
                <w:color w:val="auto"/>
              </w:rPr>
              <w:t>2.9</w:t>
            </w:r>
          </w:p>
        </w:tc>
        <w:tc>
          <w:tcPr>
            <w:tcW w:w="76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3.6</w:t>
            </w:r>
          </w:p>
        </w:tc>
      </w:tr>
      <w:tr>
        <w:trPr>
          <w:trHeight w:val="127"/>
        </w:trPr>
        <w:tc>
          <w:tcPr>
            <w:tcW w:w="3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Kauai County</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2.7</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r>
      <w:tr>
        <w:trPr>
          <w:trHeight w:val="153"/>
        </w:trPr>
        <w:tc>
          <w:tcPr>
            <w:tcW w:w="3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February 28,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60" w:type="dxa"/>
            <w:vAlign w:val="bottom"/>
          </w:tcPr>
          <w:p>
            <w:pPr>
              <w:spacing w:after="0"/>
              <w:rPr>
                <w:sz w:val="13"/>
                <w:szCs w:val="13"/>
                <w:color w:val="auto"/>
              </w:rPr>
            </w:pP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21"/>
        </w:trPr>
        <w:tc>
          <w:tcPr>
            <w:tcW w:w="3240" w:type="dxa"/>
            <w:vAlign w:val="bottom"/>
          </w:tcPr>
          <w:p>
            <w:pPr>
              <w:spacing w:after="0"/>
              <w:rPr>
                <w:sz w:val="20"/>
                <w:szCs w:val="20"/>
                <w:color w:val="auto"/>
              </w:rPr>
            </w:pPr>
            <w:r>
              <w:rPr>
                <w:rFonts w:ascii="Times New Roman" w:cs="Times New Roman" w:eastAsia="Times New Roman" w:hAnsi="Times New Roman"/>
                <w:sz w:val="8"/>
                <w:szCs w:val="8"/>
                <w:color w:val="auto"/>
              </w:rPr>
              <w:t>(1-year percentage change, except months of inventory)</w:t>
            </w:r>
          </w:p>
        </w:tc>
        <w:tc>
          <w:tcPr>
            <w:tcW w:w="1720" w:type="dxa"/>
            <w:vAlign w:val="bottom"/>
          </w:tcPr>
          <w:p>
            <w:pPr>
              <w:spacing w:after="0"/>
              <w:rPr>
                <w:sz w:val="10"/>
                <w:szCs w:val="1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1680" w:type="dxa"/>
            <w:vAlign w:val="bottom"/>
            <w:gridSpan w:val="3"/>
          </w:tcPr>
          <w:p>
            <w:pPr>
              <w:jc w:val="center"/>
              <w:ind w:left="83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6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 xml:space="preserve">Housing Trends (Single Family Oahu) </w:t>
            </w:r>
            <w:r>
              <w:rPr>
                <w:rFonts w:ascii="Times New Roman" w:cs="Times New Roman" w:eastAsia="Times New Roman" w:hAnsi="Times New Roman"/>
                <w:sz w:val="12"/>
                <w:szCs w:val="12"/>
                <w:b w:val="1"/>
                <w:bCs w:val="1"/>
                <w:color w:val="auto"/>
                <w:vertAlign w:val="superscript"/>
              </w:rPr>
              <w:t>3</w:t>
            </w:r>
          </w:p>
        </w:tc>
        <w:tc>
          <w:tcPr>
            <w:tcW w:w="17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Median Home Price</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0"/>
                <w:szCs w:val="10"/>
                <w:color w:val="auto"/>
                <w:w w:val="94"/>
              </w:rPr>
              <w:t>0.9 %</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w w:val="94"/>
              </w:rPr>
              <w:t>3.5 %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4.8 %</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Home Sales Volume (units)</w:t>
            </w:r>
          </w:p>
        </w:tc>
        <w:tc>
          <w:tcPr>
            <w:tcW w:w="17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0"/>
                <w:szCs w:val="10"/>
                <w:color w:val="auto"/>
                <w:w w:val="94"/>
              </w:rPr>
              <w:t>2.2 %</w:t>
            </w:r>
          </w:p>
        </w:tc>
        <w:tc>
          <w:tcPr>
            <w:tcW w:w="8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94"/>
              </w:rPr>
              <w:t>3.5 %</w:t>
            </w:r>
          </w:p>
        </w:tc>
        <w:tc>
          <w:tcPr>
            <w:tcW w:w="8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0"/>
                <w:szCs w:val="10"/>
                <w:color w:val="auto"/>
              </w:rPr>
              <w:t>9.1 %</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(26.3)%</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Months of Inventory</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740"/>
              <w:spacing w:after="0"/>
              <w:rPr>
                <w:sz w:val="20"/>
                <w:szCs w:val="20"/>
                <w:color w:val="auto"/>
              </w:rPr>
            </w:pPr>
            <w:r>
              <w:rPr>
                <w:rFonts w:ascii="Times New Roman" w:cs="Times New Roman" w:eastAsia="Times New Roman" w:hAnsi="Times New Roman"/>
                <w:sz w:val="10"/>
                <w:szCs w:val="10"/>
                <w:color w:val="auto"/>
              </w:rPr>
              <w:t>2.9</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r>
      <w:tr>
        <w:trPr>
          <w:trHeight w:val="98"/>
        </w:trPr>
        <w:tc>
          <w:tcPr>
            <w:tcW w:w="32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108"/>
        </w:trPr>
        <w:tc>
          <w:tcPr>
            <w:tcW w:w="3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Monthly Visitor Arrivals,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tcPr>
          <w:p>
            <w:pPr>
              <w:ind w:left="8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Percentage Change</w:t>
            </w:r>
          </w:p>
        </w:tc>
        <w:tc>
          <w:tcPr>
            <w:tcW w:w="760" w:type="dxa"/>
            <w:vAlign w:val="bottom"/>
          </w:tcPr>
          <w:p>
            <w:pPr>
              <w:spacing w:after="0"/>
              <w:rPr>
                <w:sz w:val="9"/>
                <w:szCs w:val="9"/>
                <w:color w:val="auto"/>
              </w:rPr>
            </w:pPr>
          </w:p>
        </w:tc>
      </w:tr>
      <w:tr>
        <w:trPr>
          <w:trHeight w:val="130"/>
        </w:trPr>
        <w:tc>
          <w:tcPr>
            <w:tcW w:w="3240" w:type="dxa"/>
            <w:vAlign w:val="bottom"/>
          </w:tcPr>
          <w:p>
            <w:pPr>
              <w:spacing w:after="0"/>
              <w:rPr>
                <w:sz w:val="20"/>
                <w:szCs w:val="20"/>
                <w:color w:val="auto"/>
              </w:rPr>
            </w:pPr>
            <w:r>
              <w:rPr>
                <w:rFonts w:ascii="Times New Roman" w:cs="Times New Roman" w:eastAsia="Times New Roman" w:hAnsi="Times New Roman"/>
                <w:sz w:val="8"/>
                <w:szCs w:val="8"/>
                <w:color w:val="auto"/>
              </w:rPr>
              <w:t>(in thousands, except percentage change)</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Not Seasonally Adjusted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w w:val="92"/>
              </w:rPr>
              <w:t>from Previous Year</w:t>
            </w:r>
          </w:p>
        </w:tc>
        <w:tc>
          <w:tcPr>
            <w:tcW w:w="760" w:type="dxa"/>
            <w:vAlign w:val="bottom"/>
          </w:tcPr>
          <w:p>
            <w:pPr>
              <w:spacing w:after="0"/>
              <w:rPr>
                <w:sz w:val="11"/>
                <w:szCs w:val="11"/>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2"/>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 xml:space="preserve">Tourism </w:t>
            </w:r>
            <w:r>
              <w:rPr>
                <w:rFonts w:ascii="Times New Roman" w:cs="Times New Roman" w:eastAsia="Times New Roman" w:hAnsi="Times New Roman"/>
                <w:sz w:val="6"/>
                <w:szCs w:val="6"/>
                <w:b w:val="1"/>
                <w:bCs w:val="1"/>
                <w:color w:val="auto"/>
              </w:rPr>
              <w:t>4</w:t>
            </w:r>
          </w:p>
        </w:tc>
        <w:tc>
          <w:tcPr>
            <w:tcW w:w="17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February 28, 2026</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760.8</w:t>
            </w:r>
          </w:p>
        </w:tc>
        <w:tc>
          <w:tcPr>
            <w:tcW w:w="16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January 31, 2026</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858.7</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11.1</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December 31,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850.3</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November 30,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728.1</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October 31,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727.2</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September 30,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674.9</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August 31,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806.8</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July 31,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870.8</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(4.6)</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June 30,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855.7</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May 31,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766.4</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April 30,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810.3</w:t>
            </w:r>
          </w:p>
        </w:tc>
        <w:tc>
          <w:tcPr>
            <w:tcW w:w="1620" w:type="dxa"/>
            <w:vAlign w:val="bottom"/>
          </w:tcPr>
          <w:p>
            <w:pPr>
              <w:spacing w:after="0"/>
              <w:rPr>
                <w:sz w:val="11"/>
                <w:szCs w:val="1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March 31,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890.0</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February 28, 2025</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739.7</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January 31, 2025</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773.1</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December 31,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889.6</w:t>
            </w:r>
          </w:p>
        </w:tc>
        <w:tc>
          <w:tcPr>
            <w:tcW w:w="1620" w:type="dxa"/>
            <w:vAlign w:val="bottom"/>
          </w:tcPr>
          <w:p>
            <w:pPr>
              <w:spacing w:after="0"/>
              <w:rPr>
                <w:sz w:val="11"/>
                <w:szCs w:val="1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November 30, 2024</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755.8</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4.8</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October 31,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736.1</w:t>
            </w:r>
          </w:p>
        </w:tc>
        <w:tc>
          <w:tcPr>
            <w:tcW w:w="1620" w:type="dxa"/>
            <w:vAlign w:val="bottom"/>
          </w:tcPr>
          <w:p>
            <w:pPr>
              <w:spacing w:after="0"/>
              <w:rPr>
                <w:sz w:val="11"/>
                <w:szCs w:val="1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September 30, 2024</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690.2</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6.5</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August 31,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828.3</w:t>
            </w:r>
          </w:p>
        </w:tc>
        <w:tc>
          <w:tcPr>
            <w:tcW w:w="1620" w:type="dxa"/>
            <w:vAlign w:val="bottom"/>
          </w:tcPr>
          <w:p>
            <w:pPr>
              <w:spacing w:after="0"/>
              <w:rPr>
                <w:sz w:val="11"/>
                <w:szCs w:val="1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July 31, 2024</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912.8</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June 30,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872.6</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May 31, 2024</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757.8</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(4.1)</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April 30,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740.7</w:t>
            </w:r>
          </w:p>
        </w:tc>
        <w:tc>
          <w:tcPr>
            <w:tcW w:w="162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r>
      <w:tr>
        <w:trPr>
          <w:trHeight w:val="26"/>
        </w:trPr>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3"/>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March 31, 2024</w:t>
            </w:r>
          </w:p>
        </w:tc>
        <w:tc>
          <w:tcPr>
            <w:tcW w:w="17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865.8</w:t>
            </w:r>
          </w:p>
        </w:tc>
        <w:tc>
          <w:tcPr>
            <w:tcW w:w="16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r>
      <w:tr>
        <w:trPr>
          <w:trHeight w:val="127"/>
        </w:trPr>
        <w:tc>
          <w:tcPr>
            <w:tcW w:w="32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February 29, 2024</w:t>
            </w:r>
          </w:p>
        </w:tc>
        <w:tc>
          <w:tcPr>
            <w:tcW w:w="1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gridSpan w:val="3"/>
          </w:tcPr>
          <w:p>
            <w:pPr>
              <w:ind w:left="320"/>
              <w:spacing w:after="0"/>
              <w:rPr>
                <w:sz w:val="20"/>
                <w:szCs w:val="20"/>
                <w:color w:val="auto"/>
              </w:rPr>
            </w:pPr>
            <w:r>
              <w:rPr>
                <w:rFonts w:ascii="Times New Roman" w:cs="Times New Roman" w:eastAsia="Times New Roman" w:hAnsi="Times New Roman"/>
                <w:sz w:val="10"/>
                <w:szCs w:val="10"/>
                <w:color w:val="auto"/>
              </w:rPr>
              <w:t>752.7</w:t>
            </w:r>
          </w:p>
        </w:tc>
        <w:tc>
          <w:tcPr>
            <w:tcW w:w="1620" w:type="dxa"/>
            <w:vAlign w:val="bottom"/>
          </w:tcPr>
          <w:p>
            <w:pPr>
              <w:spacing w:after="0"/>
              <w:rPr>
                <w:sz w:val="11"/>
                <w:szCs w:val="1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w:t>
            </w:r>
          </w:p>
        </w:tc>
      </w:tr>
    </w:tbl>
    <w:p>
      <w:pPr>
        <w:spacing w:after="0" w:line="58" w:lineRule="exact"/>
        <w:rPr>
          <w:sz w:val="20"/>
          <w:szCs w:val="20"/>
          <w:color w:val="auto"/>
        </w:rPr>
      </w:pPr>
    </w:p>
    <w:p>
      <w:pPr>
        <w:ind w:left="48" w:hanging="48"/>
        <w:spacing w:after="0"/>
        <w:tabs>
          <w:tab w:leader="none" w:pos="48" w:val="left"/>
        </w:tabs>
        <w:numPr>
          <w:ilvl w:val="0"/>
          <w:numId w:val="1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Source: Hawaii Department of Business, Economic Development &amp; Tourism. Based on the latest complete available data for February 2026.</w:t>
      </w:r>
    </w:p>
    <w:p>
      <w:pPr>
        <w:ind w:left="48" w:hanging="48"/>
        <w:spacing w:after="0" w:line="188" w:lineRule="auto"/>
        <w:tabs>
          <w:tab w:leader="none" w:pos="48" w:val="left"/>
        </w:tabs>
        <w:numPr>
          <w:ilvl w:val="0"/>
          <w:numId w:val="14"/>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Source: U.S. Bureau of Labor Statistics. Based on the latest complete available data for January 2026. Prior period numbers most recently reported may differ from previously reported figures.</w:t>
      </w:r>
    </w:p>
    <w:p>
      <w:pPr>
        <w:ind w:left="8"/>
        <w:spacing w:after="0" w:line="225" w:lineRule="auto"/>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10"/>
          <w:szCs w:val="10"/>
          <w:color w:val="auto"/>
          <w:vertAlign w:val="superscript"/>
        </w:rPr>
        <w:t>3</w:t>
      </w:r>
      <w:r>
        <w:rPr>
          <w:rFonts w:ascii="Times New Roman" w:cs="Times New Roman" w:eastAsia="Times New Roman" w:hAnsi="Times New Roman"/>
          <w:sz w:val="8"/>
          <w:szCs w:val="8"/>
          <w:color w:val="auto"/>
        </w:rPr>
        <w:t xml:space="preserve"> Source: Honolulu Board of Realtors.</w:t>
      </w:r>
    </w:p>
    <w:p>
      <w:pPr>
        <w:ind w:left="8"/>
        <w:spacing w:after="0"/>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10"/>
          <w:szCs w:val="10"/>
          <w:color w:val="auto"/>
          <w:vertAlign w:val="superscript"/>
        </w:rPr>
        <w:t>4</w:t>
      </w:r>
      <w:r>
        <w:rPr>
          <w:rFonts w:ascii="Times New Roman" w:cs="Times New Roman" w:eastAsia="Times New Roman" w:hAnsi="Times New Roman"/>
          <w:sz w:val="8"/>
          <w:szCs w:val="8"/>
          <w:color w:val="auto"/>
        </w:rPr>
        <w:t xml:space="preserve"> Source: Hawaii Tourism Authority. Prior period numbers most recently reported may differ from previously reported figures.</w:t>
      </w:r>
    </w:p>
    <w:p>
      <w:pPr>
        <w:sectPr>
          <w:pgSz w:w="11900" w:h="16838" w:orient="portrait"/>
          <w:cols w:equalWidth="0" w:num="1">
            <w:col w:w="11308"/>
          </w:cols>
          <w:pgMar w:left="292" w:top="976" w:right="299" w:bottom="144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1"/>
      <w:numFmt w:val="bullet"/>
      <w:start w:val="1"/>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2026-04-20T08:00:56Z</dcterms:created>
  <dcterms:modified xsi:type="dcterms:W3CDTF">2026-04-20T08:00:56Z</dcterms:modified>
</cp:coreProperties>
</file>