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6" w:lineRule="exact"/>
        <w:rPr>
          <w:sz w:val="24"/>
          <w:szCs w:val="24"/>
          <w:color w:val="auto"/>
        </w:rPr>
      </w:pPr>
    </w:p>
    <w:p>
      <w:pPr>
        <w:ind w:left="360" w:right="2040" w:hanging="177"/>
        <w:spacing w:after="0" w:line="298" w:lineRule="auto"/>
        <w:tabs>
          <w:tab w:leader="none" w:pos="53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600" w:hanging="417"/>
        <w:spacing w:after="0"/>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88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00" w:type="dxa"/>
            <w:vAlign w:val="bottom"/>
          </w:tcPr>
          <w:p>
            <w:pPr>
              <w:ind w:left="152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BANK OF HAWAII CORP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200" w:type="dxa"/>
            <w:vAlign w:val="bottom"/>
            <w:gridSpan w:val="2"/>
          </w:tcPr>
          <w:p>
            <w:pPr>
              <w:jc w:val="right"/>
              <w:ind w:right="999"/>
              <w:spacing w:after="0"/>
              <w:rPr>
                <w:sz w:val="20"/>
                <w:szCs w:val="20"/>
                <w:color w:val="auto"/>
              </w:rPr>
            </w:pPr>
            <w:r>
              <w:rPr>
                <w:rFonts w:ascii="Arial" w:cs="Arial" w:eastAsia="Arial" w:hAnsi="Arial"/>
                <w:sz w:val="16"/>
                <w:szCs w:val="16"/>
                <w:b w:val="1"/>
                <w:bCs w:val="1"/>
                <w:color w:val="auto"/>
              </w:rPr>
              <w:t>Delaware</w:t>
            </w: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gridSpan w:val="2"/>
          </w:tcPr>
          <w:p>
            <w:pPr>
              <w:jc w:val="right"/>
              <w:ind w:right="1679"/>
              <w:spacing w:after="0"/>
              <w:rPr>
                <w:sz w:val="20"/>
                <w:szCs w:val="20"/>
                <w:color w:val="auto"/>
              </w:rPr>
            </w:pPr>
            <w:r>
              <w:rPr>
                <w:rFonts w:ascii="Arial" w:cs="Arial" w:eastAsia="Arial" w:hAnsi="Arial"/>
                <w:sz w:val="16"/>
                <w:szCs w:val="16"/>
                <w:b w:val="1"/>
                <w:bCs w:val="1"/>
                <w:color w:val="auto"/>
              </w:rPr>
              <w:t>99-0148992</w:t>
            </w:r>
          </w:p>
        </w:tc>
      </w:tr>
      <w:tr>
        <w:trPr>
          <w:trHeight w:val="256"/>
        </w:trPr>
        <w:tc>
          <w:tcPr>
            <w:tcW w:w="2080" w:type="dxa"/>
            <w:vAlign w:val="bottom"/>
          </w:tcPr>
          <w:p>
            <w:pPr>
              <w:spacing w:after="0"/>
              <w:rPr>
                <w:sz w:val="22"/>
                <w:szCs w:val="22"/>
                <w:color w:val="auto"/>
              </w:rPr>
            </w:pPr>
          </w:p>
        </w:tc>
        <w:tc>
          <w:tcPr>
            <w:tcW w:w="2200" w:type="dxa"/>
            <w:vAlign w:val="bottom"/>
            <w:gridSpan w:val="2"/>
          </w:tcPr>
          <w:p>
            <w:pPr>
              <w:ind w:left="40"/>
              <w:spacing w:after="0"/>
              <w:rPr>
                <w:sz w:val="20"/>
                <w:szCs w:val="20"/>
                <w:color w:val="auto"/>
              </w:rPr>
            </w:pPr>
            <w:r>
              <w:rPr>
                <w:rFonts w:ascii="Arial" w:cs="Arial" w:eastAsia="Arial" w:hAnsi="Arial"/>
                <w:sz w:val="16"/>
                <w:szCs w:val="16"/>
                <w:color w:val="auto"/>
              </w:rPr>
              <w:t>(State of incorporation)</w:t>
            </w: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gridSpan w:val="2"/>
          </w:tcPr>
          <w:p>
            <w:pPr>
              <w:jc w:val="center"/>
              <w:ind w:right="719"/>
              <w:spacing w:after="0"/>
              <w:rPr>
                <w:sz w:val="20"/>
                <w:szCs w:val="20"/>
                <w:color w:val="auto"/>
              </w:rPr>
            </w:pPr>
            <w:r>
              <w:rPr>
                <w:rFonts w:ascii="Arial" w:cs="Arial" w:eastAsia="Arial" w:hAnsi="Arial"/>
                <w:sz w:val="16"/>
                <w:szCs w:val="16"/>
                <w:color w:val="auto"/>
                <w:w w:val="94"/>
              </w:rPr>
              <w:t>(I.R.S. Employer Identification No.)</w:t>
            </w:r>
          </w:p>
        </w:tc>
      </w:tr>
      <w:tr>
        <w:trPr>
          <w:trHeight w:val="526"/>
        </w:trPr>
        <w:tc>
          <w:tcPr>
            <w:tcW w:w="4280" w:type="dxa"/>
            <w:vAlign w:val="bottom"/>
            <w:gridSpan w:val="3"/>
          </w:tcPr>
          <w:p>
            <w:pPr>
              <w:ind w:left="1220"/>
              <w:spacing w:after="0"/>
              <w:rPr>
                <w:sz w:val="20"/>
                <w:szCs w:val="20"/>
                <w:color w:val="auto"/>
              </w:rPr>
            </w:pPr>
            <w:r>
              <w:rPr>
                <w:rFonts w:ascii="Arial" w:cs="Arial" w:eastAsia="Arial" w:hAnsi="Arial"/>
                <w:sz w:val="16"/>
                <w:szCs w:val="16"/>
                <w:b w:val="1"/>
                <w:bCs w:val="1"/>
                <w:color w:val="auto"/>
              </w:rPr>
              <w:t>130 Merchant Street</w:t>
            </w:r>
          </w:p>
        </w:tc>
        <w:tc>
          <w:tcPr>
            <w:tcW w:w="840" w:type="dxa"/>
            <w:vAlign w:val="bottom"/>
          </w:tcPr>
          <w:p>
            <w:pPr>
              <w:jc w:val="center"/>
              <w:ind w:left="99"/>
              <w:spacing w:after="0"/>
              <w:rPr>
                <w:sz w:val="20"/>
                <w:szCs w:val="20"/>
                <w:color w:val="auto"/>
              </w:rPr>
            </w:pPr>
            <w:r>
              <w:rPr>
                <w:rFonts w:ascii="Arial" w:cs="Arial" w:eastAsia="Arial" w:hAnsi="Arial"/>
                <w:sz w:val="16"/>
                <w:szCs w:val="16"/>
                <w:b w:val="1"/>
                <w:bCs w:val="1"/>
                <w:color w:val="auto"/>
                <w:w w:val="95"/>
              </w:rPr>
              <w:t>Honolulu</w:t>
            </w:r>
          </w:p>
        </w:tc>
        <w:tc>
          <w:tcPr>
            <w:tcW w:w="600" w:type="dxa"/>
            <w:vAlign w:val="bottom"/>
          </w:tcPr>
          <w:p>
            <w:pPr>
              <w:spacing w:after="0"/>
              <w:rPr>
                <w:sz w:val="24"/>
                <w:szCs w:val="24"/>
                <w:color w:val="auto"/>
              </w:rPr>
            </w:pPr>
          </w:p>
        </w:tc>
        <w:tc>
          <w:tcPr>
            <w:tcW w:w="142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98"/>
              </w:rPr>
              <w:t>Hawaii</w:t>
            </w:r>
          </w:p>
        </w:tc>
        <w:tc>
          <w:tcPr>
            <w:tcW w:w="350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96813</w:t>
            </w:r>
          </w:p>
        </w:tc>
      </w:tr>
      <w:tr>
        <w:trPr>
          <w:trHeight w:val="257"/>
        </w:trPr>
        <w:tc>
          <w:tcPr>
            <w:tcW w:w="4280" w:type="dxa"/>
            <w:vAlign w:val="bottom"/>
            <w:gridSpan w:val="3"/>
          </w:tcPr>
          <w:p>
            <w:pPr>
              <w:jc w:val="right"/>
              <w:ind w:right="999"/>
              <w:spacing w:after="0"/>
              <w:rPr>
                <w:sz w:val="20"/>
                <w:szCs w:val="20"/>
                <w:color w:val="auto"/>
              </w:rPr>
            </w:pPr>
            <w:r>
              <w:rPr>
                <w:rFonts w:ascii="Arial" w:cs="Arial" w:eastAsia="Arial" w:hAnsi="Arial"/>
                <w:sz w:val="16"/>
                <w:szCs w:val="16"/>
                <w:color w:val="auto"/>
              </w:rPr>
              <w:t>(Address of principal executive offices)</w:t>
            </w:r>
          </w:p>
        </w:tc>
        <w:tc>
          <w:tcPr>
            <w:tcW w:w="840" w:type="dxa"/>
            <w:vAlign w:val="bottom"/>
          </w:tcPr>
          <w:p>
            <w:pPr>
              <w:jc w:val="center"/>
              <w:ind w:left="99"/>
              <w:spacing w:after="0"/>
              <w:rPr>
                <w:sz w:val="20"/>
                <w:szCs w:val="20"/>
                <w:color w:val="auto"/>
              </w:rPr>
            </w:pPr>
            <w:r>
              <w:rPr>
                <w:rFonts w:ascii="Arial" w:cs="Arial" w:eastAsia="Arial" w:hAnsi="Arial"/>
                <w:sz w:val="16"/>
                <w:szCs w:val="16"/>
                <w:color w:val="auto"/>
                <w:w w:val="99"/>
              </w:rPr>
              <w:t>(City)</w:t>
            </w:r>
          </w:p>
        </w:tc>
        <w:tc>
          <w:tcPr>
            <w:tcW w:w="600" w:type="dxa"/>
            <w:vAlign w:val="bottom"/>
          </w:tcPr>
          <w:p>
            <w:pPr>
              <w:spacing w:after="0"/>
              <w:rPr>
                <w:sz w:val="22"/>
                <w:szCs w:val="22"/>
                <w:color w:val="auto"/>
              </w:rPr>
            </w:pPr>
          </w:p>
        </w:tc>
        <w:tc>
          <w:tcPr>
            <w:tcW w:w="1420" w:type="dxa"/>
            <w:vAlign w:val="bottom"/>
            <w:gridSpan w:val="2"/>
          </w:tcPr>
          <w:p>
            <w:pPr>
              <w:jc w:val="center"/>
              <w:ind w:left="459"/>
              <w:spacing w:after="0"/>
              <w:rPr>
                <w:sz w:val="20"/>
                <w:szCs w:val="20"/>
                <w:color w:val="auto"/>
              </w:rPr>
            </w:pPr>
            <w:r>
              <w:rPr>
                <w:rFonts w:ascii="Arial" w:cs="Arial" w:eastAsia="Arial" w:hAnsi="Arial"/>
                <w:sz w:val="16"/>
                <w:szCs w:val="16"/>
                <w:color w:val="auto"/>
                <w:w w:val="91"/>
              </w:rPr>
              <w:t>(State)</w:t>
            </w:r>
          </w:p>
        </w:tc>
        <w:tc>
          <w:tcPr>
            <w:tcW w:w="620" w:type="dxa"/>
            <w:vAlign w:val="bottom"/>
          </w:tcPr>
          <w:p>
            <w:pPr>
              <w:spacing w:after="0"/>
              <w:rPr>
                <w:sz w:val="22"/>
                <w:szCs w:val="22"/>
                <w:color w:val="auto"/>
              </w:rPr>
            </w:pPr>
          </w:p>
        </w:tc>
        <w:tc>
          <w:tcPr>
            <w:tcW w:w="2880" w:type="dxa"/>
            <w:vAlign w:val="bottom"/>
          </w:tcPr>
          <w:p>
            <w:pPr>
              <w:jc w:val="center"/>
              <w:ind w:left="399"/>
              <w:spacing w:after="0"/>
              <w:rPr>
                <w:sz w:val="20"/>
                <w:szCs w:val="20"/>
                <w:color w:val="auto"/>
              </w:rPr>
            </w:pPr>
            <w:r>
              <w:rPr>
                <w:rFonts w:ascii="Arial" w:cs="Arial" w:eastAsia="Arial" w:hAnsi="Arial"/>
                <w:sz w:val="16"/>
                <w:szCs w:val="16"/>
                <w:color w:val="auto"/>
                <w:w w:val="95"/>
              </w:rPr>
              <w:t>(Zip Code)</w:t>
            </w:r>
          </w:p>
        </w:tc>
      </w:tr>
      <w:tr>
        <w:trPr>
          <w:trHeight w:val="212"/>
        </w:trPr>
        <w:tc>
          <w:tcPr>
            <w:tcW w:w="2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w w:val="91"/>
              </w:rPr>
              <w:t>1-888-643-3888</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6"/>
        </w:trPr>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380" w:type="dxa"/>
            <w:vAlign w:val="bottom"/>
            <w:gridSpan w:val="7"/>
          </w:tcPr>
          <w:p>
            <w:pPr>
              <w:ind w:left="640"/>
              <w:spacing w:after="0"/>
              <w:rPr>
                <w:sz w:val="20"/>
                <w:szCs w:val="20"/>
                <w:color w:val="auto"/>
              </w:rPr>
            </w:pPr>
            <w:r>
              <w:rPr>
                <w:rFonts w:ascii="Arial" w:cs="Arial" w:eastAsia="Arial" w:hAnsi="Arial"/>
                <w:sz w:val="16"/>
                <w:szCs w:val="16"/>
                <w:color w:val="auto"/>
              </w:rPr>
              <w:t>(Registrant’s telephone number, including area code)</w:t>
            </w:r>
          </w:p>
        </w:tc>
      </w:tr>
      <w:tr>
        <w:trPr>
          <w:trHeight w:val="270"/>
        </w:trPr>
        <w:tc>
          <w:tcPr>
            <w:tcW w:w="42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479"/>
        </w:trPr>
        <w:tc>
          <w:tcPr>
            <w:tcW w:w="20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Title of each class</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71"/>
        </w:trPr>
        <w:tc>
          <w:tcPr>
            <w:tcW w:w="2080" w:type="dxa"/>
            <w:vAlign w:val="bottom"/>
          </w:tcPr>
          <w:p>
            <w:pPr>
              <w:ind w:left="1020"/>
              <w:spacing w:after="0"/>
              <w:rPr>
                <w:sz w:val="20"/>
                <w:szCs w:val="20"/>
                <w:color w:val="auto"/>
              </w:rPr>
            </w:pPr>
            <w:r>
              <w:rPr>
                <w:rFonts w:ascii="Arial" w:cs="Arial" w:eastAsia="Arial" w:hAnsi="Arial"/>
                <w:sz w:val="16"/>
                <w:szCs w:val="16"/>
                <w:b w:val="1"/>
                <w:bCs w:val="1"/>
                <w:color w:val="auto"/>
                <w:w w:val="88"/>
              </w:rPr>
              <w:t>Common Stock</w:t>
            </w:r>
          </w:p>
        </w:tc>
        <w:tc>
          <w:tcPr>
            <w:tcW w:w="2200" w:type="dxa"/>
            <w:vAlign w:val="bottom"/>
            <w:gridSpan w:val="2"/>
          </w:tcPr>
          <w:p>
            <w:pPr>
              <w:ind w:left="1000"/>
              <w:spacing w:after="0"/>
              <w:rPr>
                <w:sz w:val="20"/>
                <w:szCs w:val="20"/>
                <w:color w:val="auto"/>
              </w:rPr>
            </w:pPr>
            <w:r>
              <w:rPr>
                <w:rFonts w:ascii="Arial" w:cs="Arial" w:eastAsia="Arial" w:hAnsi="Arial"/>
                <w:sz w:val="16"/>
                <w:szCs w:val="16"/>
                <w:b w:val="1"/>
                <w:bCs w:val="1"/>
                <w:color w:val="auto"/>
              </w:rPr>
              <w:t>$.01 Par Value</w:t>
            </w:r>
          </w:p>
        </w:tc>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BOH</w:t>
            </w:r>
          </w:p>
        </w:tc>
        <w:tc>
          <w:tcPr>
            <w:tcW w:w="620" w:type="dxa"/>
            <w:vAlign w:val="bottom"/>
          </w:tcPr>
          <w:p>
            <w:pPr>
              <w:spacing w:after="0"/>
              <w:rPr>
                <w:sz w:val="23"/>
                <w:szCs w:val="23"/>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93"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580" w:type="dxa"/>
        <w:tblCellMar>
          <w:top w:w="0" w:type="dxa"/>
          <w:left w:w="0" w:type="dxa"/>
          <w:bottom w:w="0" w:type="dxa"/>
          <w:right w:w="0" w:type="dxa"/>
        </w:tblCellMar>
      </w:tblPr>
      <w:tr>
        <w:trPr>
          <w:trHeight w:val="254"/>
        </w:trPr>
        <w:tc>
          <w:tcPr>
            <w:tcW w:w="3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3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15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0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20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5160"/>
        <w:spacing w:after="0" w:line="242"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April 27, 2020, there were 40,010,741 shares of common stock outstanding.</w:t>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34290</wp:posOffset>
            </wp:positionV>
            <wp:extent cx="480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0"/>
        </w:trPr>
        <w:tc>
          <w:tcPr>
            <w:tcW w:w="142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Three months ended March 31, 2020, and March 31,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3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w:t>
              </w:r>
            </w:hyperlink>
          </w:p>
        </w:tc>
        <w:tc>
          <w:tcPr>
            <w:tcW w:w="4000" w:type="dxa"/>
            <w:vAlign w:val="bottom"/>
          </w:tcPr>
          <w:p>
            <w:pPr>
              <w:spacing w:after="0"/>
              <w:rPr>
                <w:sz w:val="24"/>
                <w:szCs w:val="24"/>
                <w:color w:val="auto"/>
              </w:rPr>
            </w:pPr>
          </w:p>
        </w:tc>
        <w:tc>
          <w:tcPr>
            <w:tcW w:w="160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Three months ended March 31, 2020, and March 31,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0"/>
        </w:trPr>
        <w:tc>
          <w:tcPr>
            <w:tcW w:w="14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March 31, 2020, and December 31,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0"/>
        </w:trPr>
        <w:tc>
          <w:tcPr>
            <w:tcW w:w="14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Three months ended March 31, 2020, and March 31, 2019</w:t>
              </w:r>
            </w:hyperlink>
          </w:p>
        </w:tc>
        <w:tc>
          <w:tcPr>
            <w:tcW w:w="1600" w:type="dxa"/>
            <w:vAlign w:val="bottom"/>
          </w:tcPr>
          <w:p>
            <w:pPr>
              <w:spacing w:after="0"/>
              <w:rPr>
                <w:sz w:val="20"/>
                <w:szCs w:val="20"/>
                <w:color w:val="auto"/>
              </w:rPr>
            </w:pPr>
          </w:p>
        </w:tc>
      </w:tr>
      <w:tr>
        <w:trPr>
          <w:trHeight w:val="499"/>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20"/>
        </w:trPr>
        <w:tc>
          <w:tcPr>
            <w:tcW w:w="14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420" w:type="dxa"/>
            <w:vAlign w:val="bottom"/>
          </w:tcPr>
          <w:p>
            <w:pPr>
              <w:spacing w:after="0"/>
              <w:rPr>
                <w:sz w:val="20"/>
                <w:szCs w:val="20"/>
                <w:color w:val="auto"/>
              </w:rPr>
            </w:pPr>
          </w:p>
        </w:tc>
        <w:tc>
          <w:tcPr>
            <w:tcW w:w="7880" w:type="dxa"/>
            <w:vAlign w:val="bottom"/>
            <w:gridSpan w:val="6"/>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Three months ended March 31, 2020, and March 31, 2019</w:t>
              </w:r>
            </w:hyperlink>
          </w:p>
        </w:tc>
        <w:tc>
          <w:tcPr>
            <w:tcW w:w="1600" w:type="dxa"/>
            <w:vAlign w:val="bottom"/>
          </w:tcPr>
          <w:p>
            <w:pPr>
              <w:spacing w:after="0"/>
              <w:rPr>
                <w:sz w:val="20"/>
                <w:szCs w:val="20"/>
                <w:color w:val="auto"/>
              </w:rPr>
            </w:pPr>
          </w:p>
        </w:tc>
      </w:tr>
      <w:tr>
        <w:trPr>
          <w:trHeight w:val="567"/>
        </w:trPr>
        <w:tc>
          <w:tcPr>
            <w:tcW w:w="1420" w:type="dxa"/>
            <w:vAlign w:val="bottom"/>
          </w:tcPr>
          <w:p>
            <w:pPr>
              <w:spacing w:after="0"/>
              <w:rPr>
                <w:sz w:val="24"/>
                <w:szCs w:val="24"/>
                <w:color w:val="auto"/>
              </w:rPr>
            </w:pPr>
          </w:p>
        </w:tc>
        <w:tc>
          <w:tcPr>
            <w:tcW w:w="7880" w:type="dxa"/>
            <w:vAlign w:val="bottom"/>
            <w:gridSpan w:val="6"/>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160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2.</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Management’s Discussion and Analysis of Financial Condition and Results of Operations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3.</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Quantitative and Qualitative Disclosures About Market Risk</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78</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Item 4.</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Controls and Procedures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78</w:t>
              </w:r>
            </w:hyperlink>
          </w:p>
        </w:tc>
      </w:tr>
      <w:tr>
        <w:trPr>
          <w:trHeight w:val="540"/>
        </w:trPr>
        <w:tc>
          <w:tcPr>
            <w:tcW w:w="9300" w:type="dxa"/>
            <w:vAlign w:val="bottom"/>
            <w:gridSpan w:val="7"/>
          </w:tcPr>
          <w:p>
            <w:pPr>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Part II - Other Information</w:t>
              </w:r>
            </w:hyperlink>
          </w:p>
        </w:tc>
        <w:tc>
          <w:tcPr>
            <w:tcW w:w="1600" w:type="dxa"/>
            <w:vAlign w:val="bottom"/>
          </w:tcPr>
          <w:p>
            <w:pPr>
              <w:spacing w:after="0"/>
              <w:rPr>
                <w:sz w:val="24"/>
                <w:szCs w:val="24"/>
                <w:color w:val="auto"/>
              </w:rPr>
            </w:pPr>
          </w:p>
        </w:tc>
      </w:tr>
      <w:tr>
        <w:trPr>
          <w:trHeight w:val="540"/>
        </w:trPr>
        <w:tc>
          <w:tcPr>
            <w:tcW w:w="142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Risk Factors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79</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2.</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Unregistered Sales of Equity Securities and Use of Proceeds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80</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6.</w:t>
              </w:r>
            </w:hyperlink>
          </w:p>
        </w:tc>
        <w:tc>
          <w:tcPr>
            <w:tcW w:w="7880" w:type="dxa"/>
            <w:vAlign w:val="bottom"/>
            <w:gridSpan w:val="6"/>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Exhibits</w:t>
              </w:r>
            </w:hyperlink>
          </w:p>
        </w:tc>
        <w:tc>
          <w:tcPr>
            <w:tcW w:w="1600" w:type="dxa"/>
            <w:vAlign w:val="bottom"/>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80</w:t>
              </w:r>
            </w:hyperlink>
          </w:p>
        </w:tc>
      </w:tr>
      <w:tr>
        <w:trPr>
          <w:trHeight w:val="540"/>
        </w:trPr>
        <w:tc>
          <w:tcPr>
            <w:tcW w:w="142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Signatures</w:t>
              </w:r>
            </w:hyperlink>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0" w:type="dxa"/>
            <w:vAlign w:val="bottom"/>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81</w:t>
              </w:r>
            </w:hyperlink>
          </w:p>
        </w:tc>
      </w:tr>
      <w:tr>
        <w:trPr>
          <w:trHeight w:val="459"/>
        </w:trPr>
        <w:tc>
          <w:tcPr>
            <w:tcW w:w="1420" w:type="dxa"/>
            <w:vAlign w:val="bottom"/>
          </w:tcPr>
          <w:p>
            <w:pPr>
              <w:spacing w:after="0"/>
              <w:rPr>
                <w:sz w:val="24"/>
                <w:szCs w:val="24"/>
                <w:color w:val="auto"/>
              </w:rPr>
            </w:pPr>
          </w:p>
        </w:tc>
        <w:tc>
          <w:tcPr>
            <w:tcW w:w="7880" w:type="dxa"/>
            <w:vAlign w:val="bottom"/>
            <w:gridSpan w:val="6"/>
          </w:tcPr>
          <w:p>
            <w:pPr>
              <w:ind w:left="412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24"/>
                <w:szCs w:val="24"/>
                <w:color w:val="auto"/>
              </w:rPr>
            </w:pPr>
          </w:p>
        </w:tc>
      </w:tr>
    </w:tbl>
    <w:p>
      <w:pPr>
        <w:sectPr>
          <w:pgSz w:w="11900" w:h="16838" w:orient="portrait"/>
          <w:cols w:equalWidth="0" w:num="1">
            <w:col w:w="10940"/>
          </w:cols>
          <w:pgMar w:left="320" w:top="130" w:right="6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8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960" w:type="dxa"/>
            <w:vAlign w:val="bottom"/>
          </w:tcPr>
          <w:p>
            <w:pPr>
              <w:spacing w:after="0"/>
              <w:rPr>
                <w:sz w:val="22"/>
                <w:szCs w:val="22"/>
                <w:color w:val="auto"/>
              </w:rPr>
            </w:pPr>
          </w:p>
        </w:tc>
      </w:tr>
      <w:tr>
        <w:trPr>
          <w:trHeight w:val="3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108,210</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108,511</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16,711</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13,432</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19,252</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21,921</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218</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144,946</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145,642</w:t>
            </w:r>
          </w:p>
        </w:tc>
      </w:tr>
      <w:tr>
        <w:trPr>
          <w:trHeight w:val="231"/>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14,260</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15,284</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4,025</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4,571</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584</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r>
      <w:tr>
        <w:trPr>
          <w:trHeight w:val="231"/>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18,980</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20,805</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125,966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124,837</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33,600</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92,366</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121,837</w:t>
            </w:r>
          </w:p>
        </w:tc>
      </w:tr>
      <w:tr>
        <w:trPr>
          <w:trHeight w:val="230"/>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10,915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10,761</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2,695</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2,287</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7,451</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7,364</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13,200</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14,208</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(970)</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928</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2,578</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1,580</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10,350</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5,606</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46,149</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43,679</w:t>
            </w:r>
          </w:p>
        </w:tc>
      </w:tr>
      <w:tr>
        <w:trPr>
          <w:trHeight w:val="230"/>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54,463</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56,586</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8,955</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7,594</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8,456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4,788</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4,526</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3,208</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1,456</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1,269</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14,986</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13,796</w:t>
            </w:r>
          </w:p>
        </w:tc>
      </w:tr>
      <w:tr>
        <w:trPr>
          <w:trHeight w:val="230"/>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96,312</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93,057</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42,203</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72,459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7,461</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13,660</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34,742</w:t>
            </w:r>
          </w:p>
        </w:tc>
        <w:tc>
          <w:tcPr>
            <w:tcW w:w="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58,799</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3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0.88</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0.87</w:t>
            </w:r>
          </w:p>
        </w:tc>
        <w:tc>
          <w:tcPr>
            <w:tcW w:w="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0.67</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0.62</w:t>
            </w:r>
          </w:p>
        </w:tc>
      </w:tr>
      <w:tr>
        <w:trPr>
          <w:trHeight w:val="33"/>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39,681,611</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40,938,318</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39,916,986</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41,213,453</w:t>
            </w:r>
          </w:p>
        </w:tc>
      </w:tr>
      <w:tr>
        <w:trPr>
          <w:trHeight w:val="33"/>
        </w:trPr>
        <w:tc>
          <w:tcPr>
            <w:tcW w:w="8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240"/>
          </w:cols>
          <w:pgMar w:left="320" w:top="130" w:right="339" w:bottom="811"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30" w:right="339" w:bottom="811"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23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r>
      <w:tr>
        <w:trPr>
          <w:trHeight w:val="256"/>
        </w:trPr>
        <w:tc>
          <w:tcPr>
            <w:tcW w:w="8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620" w:type="dxa"/>
            <w:vAlign w:val="bottom"/>
          </w:tcPr>
          <w:p>
            <w:pPr>
              <w:spacing w:after="0"/>
              <w:rPr>
                <w:sz w:val="22"/>
                <w:szCs w:val="22"/>
                <w:color w:val="auto"/>
              </w:rPr>
            </w:pPr>
          </w:p>
        </w:tc>
      </w:tr>
      <w:tr>
        <w:trPr>
          <w:trHeight w:val="33"/>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34,742</w:t>
            </w:r>
          </w:p>
        </w:tc>
        <w:tc>
          <w:tcPr>
            <w:tcW w:w="8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41,559</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w:t>
            </w: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374</w:t>
            </w:r>
          </w:p>
        </w:tc>
        <w:tc>
          <w:tcPr>
            <w:tcW w:w="8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246</w:t>
            </w:r>
          </w:p>
        </w:tc>
      </w:tr>
      <w:tr>
        <w:trPr>
          <w:trHeight w:val="33"/>
        </w:trPr>
        <w:tc>
          <w:tcPr>
            <w:tcW w:w="8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41,933</w:t>
            </w:r>
          </w:p>
        </w:tc>
        <w:tc>
          <w:tcPr>
            <w:tcW w:w="8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7,165</w:t>
            </w:r>
          </w:p>
        </w:tc>
      </w:tr>
      <w:tr>
        <w:trPr>
          <w:trHeight w:val="231"/>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76,675</w:t>
            </w:r>
          </w:p>
        </w:tc>
        <w:tc>
          <w:tcPr>
            <w:tcW w:w="86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65,964</w:t>
            </w:r>
          </w:p>
        </w:tc>
      </w:tr>
      <w:tr>
        <w:trPr>
          <w:trHeight w:val="33"/>
        </w:trPr>
        <w:tc>
          <w:tcPr>
            <w:tcW w:w="8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30" w:right="3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054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0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6,346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4,979</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96,898</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254,574</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2,681,049</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2,619,003</w:t>
            </w:r>
          </w:p>
        </w:tc>
      </w:tr>
      <w:tr>
        <w:trPr>
          <w:trHeight w:val="237"/>
        </w:trPr>
        <w:tc>
          <w:tcPr>
            <w:tcW w:w="6160" w:type="dxa"/>
            <w:vAlign w:val="bottom"/>
          </w:tcPr>
          <w:p>
            <w:pPr>
              <w:ind w:left="280"/>
              <w:spacing w:after="0"/>
              <w:rPr>
                <w:sz w:val="20"/>
                <w:szCs w:val="20"/>
                <w:color w:val="auto"/>
              </w:rPr>
            </w:pPr>
            <w:r>
              <w:rPr>
                <w:rFonts w:ascii="Arial" w:cs="Arial" w:eastAsia="Arial" w:hAnsi="Arial"/>
                <w:sz w:val="16"/>
                <w:szCs w:val="16"/>
                <w:color w:val="auto"/>
              </w:rPr>
              <w:t>Held-to-Maturity (Fair Value of $3,104,020 and $3,602,882)</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3,004,139</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3,042,294</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20,789</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39,062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11,352,780</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10,990,892</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Credit Losses</w:t>
            </w:r>
          </w:p>
        </w:tc>
        <w:tc>
          <w:tcPr>
            <w:tcW w:w="20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(138,150)</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(110,027)</w:t>
            </w:r>
          </w:p>
        </w:tc>
      </w:tr>
      <w:tr>
        <w:trPr>
          <w:trHeight w:val="231"/>
        </w:trPr>
        <w:tc>
          <w:tcPr>
            <w:tcW w:w="61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0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11,214,630</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10,880,865</w:t>
            </w:r>
          </w:p>
        </w:tc>
      </w:tr>
      <w:tr>
        <w:trPr>
          <w:trHeight w:val="33"/>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0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17,023,851</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16,840,777</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0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453,465</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299,105</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196,228</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188,388</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98,695</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100,838</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Receivable</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46,996</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46,476</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2,506</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2,737</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22,537</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25,022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31,517</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289,536</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287,962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376,902</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272,674</w:t>
            </w:r>
          </w:p>
        </w:tc>
      </w:tr>
      <w:tr>
        <w:trPr>
          <w:trHeight w:val="33"/>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0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18,542,233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18,095,496</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Deposits</w:t>
            </w: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20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4,378,918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4,489,525</w:t>
            </w:r>
          </w:p>
        </w:tc>
      </w:tr>
      <w:tr>
        <w:trPr>
          <w:trHeight w:val="237"/>
        </w:trPr>
        <w:tc>
          <w:tcPr>
            <w:tcW w:w="6160" w:type="dxa"/>
            <w:vAlign w:val="bottom"/>
          </w:tcPr>
          <w:p>
            <w:pPr>
              <w:ind w:left="280"/>
              <w:spacing w:after="0"/>
              <w:rPr>
                <w:sz w:val="20"/>
                <w:szCs w:val="20"/>
                <w:color w:val="auto"/>
              </w:rPr>
            </w:pPr>
            <w:r>
              <w:rPr>
                <w:rFonts w:ascii="Arial" w:cs="Arial" w:eastAsia="Arial" w:hAnsi="Arial"/>
                <w:sz w:val="16"/>
                <w:szCs w:val="16"/>
                <w:color w:val="auto"/>
              </w:rPr>
              <w:t>Interest-Bearing Demand</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3,261,101</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3,127,205</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6,670,530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6,365,321</w:t>
            </w:r>
          </w:p>
        </w:tc>
      </w:tr>
      <w:tr>
        <w:trPr>
          <w:trHeight w:val="237"/>
        </w:trPr>
        <w:tc>
          <w:tcPr>
            <w:tcW w:w="6160" w:type="dxa"/>
            <w:vAlign w:val="bottom"/>
          </w:tcPr>
          <w:p>
            <w:pPr>
              <w:ind w:left="280"/>
              <w:spacing w:after="0"/>
              <w:rPr>
                <w:sz w:val="20"/>
                <w:szCs w:val="20"/>
                <w:color w:val="auto"/>
              </w:rPr>
            </w:pPr>
            <w:r>
              <w:rPr>
                <w:rFonts w:ascii="Arial" w:cs="Arial" w:eastAsia="Arial" w:hAnsi="Arial"/>
                <w:sz w:val="16"/>
                <w:szCs w:val="16"/>
                <w:color w:val="auto"/>
              </w:rPr>
              <w:t>Time</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1,744,812</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1,802,431</w:t>
            </w:r>
          </w:p>
        </w:tc>
      </w:tr>
      <w:tr>
        <w:trPr>
          <w:trHeight w:val="33"/>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20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16,055,361</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15,784,482</w:t>
            </w:r>
          </w:p>
        </w:tc>
      </w:tr>
      <w:tr>
        <w:trPr>
          <w:trHeight w:val="230"/>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Funds Purchased</w:t>
            </w:r>
          </w:p>
        </w:tc>
        <w:tc>
          <w:tcPr>
            <w:tcW w:w="20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75,000</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75,000</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603,206</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604,306</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60,545</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85,565</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106,180</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108,210</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Benefits Payable</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44,124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44,504</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Accrued Interest Payable</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7,932</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8,040</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 Payable and Deferred Taxes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32,793</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16,085</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154,163</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157,472</w:t>
            </w:r>
          </w:p>
        </w:tc>
      </w:tr>
      <w:tr>
        <w:trPr>
          <w:trHeight w:val="33"/>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0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17,214,304</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16,808,664</w:t>
            </w:r>
          </w:p>
        </w:tc>
      </w:tr>
      <w:tr>
        <w:trPr>
          <w:trHeight w:val="230"/>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0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issued / outstanding: March 31, 2020 - 58,251,725 / 39,996,510</w:t>
            </w:r>
          </w:p>
        </w:tc>
        <w:tc>
          <w:tcPr>
            <w:tcW w:w="20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2019 - 58,166,910 / 40,039,695;</w:t>
            </w:r>
          </w:p>
        </w:tc>
        <w:tc>
          <w:tcPr>
            <w:tcW w:w="20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March 31, 2019 - 58,166,535 / 41,078,688)</w:t>
            </w:r>
          </w:p>
        </w:tc>
        <w:tc>
          <w:tcPr>
            <w:tcW w:w="20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579</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Capital Surplus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584,392</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582,566</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0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10,821</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(31,112)</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04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1,773,607</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1,761,415</w:t>
            </w:r>
          </w:p>
        </w:tc>
      </w:tr>
      <w:tr>
        <w:trPr>
          <w:trHeight w:val="33"/>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 at Cost (Shares; March 31, 2020 - 18,255,215</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2019 - 18,127,215; and March 31, 2019 - 17,087,847)</w:t>
            </w:r>
          </w:p>
        </w:tc>
        <w:tc>
          <w:tcPr>
            <w:tcW w:w="20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(1,041,470)</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(1,026,616)</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0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1,327,929</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1,286,832</w:t>
            </w:r>
          </w:p>
        </w:tc>
      </w:tr>
      <w:tr>
        <w:trPr>
          <w:trHeight w:val="33"/>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0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18,542,233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18,095,496</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1120"/>
          </w:cols>
          <w:pgMar w:left="320" w:top="130" w:right="459" w:bottom="908" w:gutter="0" w:footer="0" w:header="0"/>
        </w:sectPr>
      </w:pPr>
    </w:p>
    <w:p>
      <w:pPr>
        <w:jc w:val="center"/>
        <w:ind w:right="-1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120"/>
          </w:cols>
          <w:pgMar w:left="320" w:top="130" w:right="459" w:bottom="908"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1381"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Accum. Other</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Common</w:t>
            </w:r>
          </w:p>
        </w:tc>
        <w:tc>
          <w:tcPr>
            <w:tcW w:w="32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9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Surplus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Income(Loss)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2019</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40,039,695</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582,566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1,761,415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(1,026,616)</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1,286,832</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34,742</w:t>
            </w:r>
          </w:p>
        </w:tc>
        <w:tc>
          <w:tcPr>
            <w:tcW w:w="20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34,742</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41,933</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41,933</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w w:val="97"/>
              </w:rPr>
              <w:t>Cumulative Change in Accounting Principle</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3,632</w:t>
            </w:r>
          </w:p>
        </w:tc>
        <w:tc>
          <w:tcPr>
            <w:tcW w:w="20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1,497</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57"/>
        </w:trPr>
        <w:tc>
          <w:tcPr>
            <w:tcW w:w="2680" w:type="dxa"/>
            <w:vAlign w:val="bottom"/>
          </w:tcPr>
          <w:p>
            <w:pPr>
              <w:ind w:left="40"/>
              <w:spacing w:after="0" w:line="157" w:lineRule="exact"/>
              <w:rPr>
                <w:sz w:val="20"/>
                <w:szCs w:val="20"/>
                <w:color w:val="auto"/>
              </w:rPr>
            </w:pPr>
            <w:r>
              <w:rPr>
                <w:rFonts w:ascii="Arial" w:cs="Arial" w:eastAsia="Arial" w:hAnsi="Arial"/>
                <w:sz w:val="14"/>
                <w:szCs w:val="14"/>
                <w:color w:val="auto"/>
                <w:w w:val="96"/>
              </w:rPr>
              <w:t>Common Stock Issued under Purchase and</w:t>
            </w: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40"/>
              <w:spacing w:after="0"/>
              <w:rPr>
                <w:sz w:val="20"/>
                <w:szCs w:val="20"/>
                <w:color w:val="auto"/>
              </w:rPr>
            </w:pPr>
            <w:r>
              <w:rPr>
                <w:rFonts w:ascii="Arial" w:cs="Arial" w:eastAsia="Arial" w:hAnsi="Arial"/>
                <w:sz w:val="14"/>
                <w:szCs w:val="14"/>
                <w:color w:val="auto"/>
              </w:rPr>
              <w:t>Equity Compensation Plans</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154,091</w:t>
            </w:r>
          </w:p>
        </w:tc>
        <w:tc>
          <w:tcPr>
            <w:tcW w:w="26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329</w:t>
            </w:r>
          </w:p>
        </w:tc>
        <w:tc>
          <w:tcPr>
            <w:tcW w:w="28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653</w:t>
            </w:r>
          </w:p>
        </w:tc>
        <w:tc>
          <w:tcPr>
            <w:tcW w:w="2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2,779</w:t>
            </w:r>
          </w:p>
        </w:tc>
        <w:tc>
          <w:tcPr>
            <w:tcW w:w="2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3,761</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(197,276)</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(17,633)</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7"/>
              </w:rPr>
              <w:t>Cash Dividends Declared ($0.67 per share)</w:t>
            </w: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(26,835)</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(26,835)</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March 31, 2020</w:t>
            </w:r>
          </w:p>
        </w:tc>
        <w:tc>
          <w:tcPr>
            <w:tcW w:w="1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39,996,510</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579</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584,392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10,821</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1,773,607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(1,041,470)</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1,327,929</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41,499,898</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571,704</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(51,043)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1,641,314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(894,352)</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1,268,200</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58,799</w:t>
            </w:r>
          </w:p>
        </w:tc>
        <w:tc>
          <w:tcPr>
            <w:tcW w:w="20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58,799</w:t>
            </w:r>
          </w:p>
        </w:tc>
        <w:tc>
          <w:tcPr>
            <w:tcW w:w="0" w:type="dxa"/>
            <w:vAlign w:val="bottom"/>
          </w:tcPr>
          <w:p>
            <w:pPr>
              <w:spacing w:after="0"/>
              <w:rPr>
                <w:sz w:val="1"/>
                <w:szCs w:val="1"/>
                <w:color w:val="auto"/>
              </w:rPr>
            </w:pP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7,165</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9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2,274</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63"/>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Common Stock Issued under Purchase and</w:t>
            </w:r>
          </w:p>
        </w:tc>
        <w:tc>
          <w:tcPr>
            <w:tcW w:w="1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Compensation Plans</w:t>
            </w:r>
          </w:p>
        </w:tc>
        <w:tc>
          <w:tcPr>
            <w:tcW w:w="1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131,529</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616</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1,673</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980" w:type="dxa"/>
            <w:vAlign w:val="bottom"/>
          </w:tcPr>
          <w:p>
            <w:pPr>
              <w:jc w:val="right"/>
              <w:ind w:right="28"/>
              <w:spacing w:after="0"/>
              <w:rPr>
                <w:sz w:val="20"/>
                <w:szCs w:val="20"/>
                <w:color w:val="auto"/>
              </w:rPr>
            </w:pPr>
            <w:r>
              <w:rPr>
                <w:rFonts w:ascii="Arial" w:cs="Arial" w:eastAsia="Arial" w:hAnsi="Arial"/>
                <w:sz w:val="14"/>
                <w:szCs w:val="14"/>
                <w:color w:val="auto"/>
              </w:rPr>
              <w:t>(552,739)</w:t>
            </w:r>
          </w:p>
        </w:tc>
        <w:tc>
          <w:tcPr>
            <w:tcW w:w="26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(43,189)</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(43,189)</w:t>
            </w:r>
          </w:p>
        </w:tc>
        <w:tc>
          <w:tcPr>
            <w:tcW w:w="0" w:type="dxa"/>
            <w:vAlign w:val="bottom"/>
          </w:tcPr>
          <w:p>
            <w:pPr>
              <w:spacing w:after="0"/>
              <w:rPr>
                <w:sz w:val="1"/>
                <w:szCs w:val="1"/>
                <w:color w:val="auto"/>
              </w:rPr>
            </w:pPr>
          </w:p>
        </w:tc>
      </w:tr>
      <w:tr>
        <w:trPr>
          <w:trHeight w:val="27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97"/>
              </w:rPr>
              <w:t>Cash Dividends Declared ($0.62 per share)</w:t>
            </w:r>
          </w:p>
        </w:tc>
        <w:tc>
          <w:tcPr>
            <w:tcW w:w="1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(25,646)</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(25,646)</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2019</w:t>
            </w:r>
          </w:p>
        </w:tc>
        <w:tc>
          <w:tcPr>
            <w:tcW w:w="1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41,078,688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578</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574,594</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1,674,264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(935,868)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1,269,690</w:t>
            </w:r>
          </w:p>
        </w:tc>
        <w:tc>
          <w:tcPr>
            <w:tcW w:w="0" w:type="dxa"/>
            <w:vAlign w:val="bottom"/>
          </w:tcPr>
          <w:p>
            <w:pPr>
              <w:spacing w:after="0"/>
              <w:rPr>
                <w:sz w:val="1"/>
                <w:szCs w:val="1"/>
                <w:color w:val="auto"/>
              </w:rPr>
            </w:pPr>
          </w:p>
        </w:tc>
      </w:tr>
      <w:tr>
        <w:trPr>
          <w:trHeight w:val="298"/>
        </w:trPr>
        <w:tc>
          <w:tcPr>
            <w:tcW w:w="2680" w:type="dxa"/>
            <w:vAlign w:val="bottom"/>
          </w:tcPr>
          <w:p>
            <w:pPr>
              <w:spacing w:after="0"/>
              <w:rPr>
                <w:sz w:val="24"/>
                <w:szCs w:val="24"/>
                <w:color w:val="auto"/>
              </w:rPr>
            </w:pPr>
          </w:p>
        </w:tc>
        <w:tc>
          <w:tcPr>
            <w:tcW w:w="6500" w:type="dxa"/>
            <w:vAlign w:val="bottom"/>
            <w:gridSpan w:val="9"/>
          </w:tcPr>
          <w:p>
            <w:pPr>
              <w:jc w:val="right"/>
              <w:ind w:right="628"/>
              <w:spacing w:after="0"/>
              <w:rPr>
                <w:sz w:val="20"/>
                <w:szCs w:val="20"/>
                <w:color w:val="auto"/>
              </w:rPr>
            </w:pPr>
            <w:r>
              <w:rPr>
                <w:rFonts w:ascii="Arial" w:cs="Arial" w:eastAsia="Arial" w:hAnsi="Arial"/>
                <w:sz w:val="14"/>
                <w:szCs w:val="14"/>
                <w:color w:val="auto"/>
                <w:w w:val="93"/>
              </w:rPr>
              <w:t>The accompanying notes are an integral part of the Consolidated Financial Statements (Unaudited).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Pr>
          <w:p>
            <w:pPr>
              <w:spacing w:after="0"/>
              <w:rPr>
                <w:sz w:val="18"/>
                <w:szCs w:val="18"/>
                <w:color w:val="auto"/>
              </w:rPr>
            </w:pPr>
          </w:p>
        </w:tc>
      </w:tr>
      <w:tr>
        <w:trPr>
          <w:trHeight w:val="257"/>
        </w:trPr>
        <w:tc>
          <w:tcPr>
            <w:tcW w:w="8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2"/>
                <w:szCs w:val="22"/>
                <w:color w:val="auto"/>
              </w:rPr>
            </w:pPr>
          </w:p>
        </w:tc>
      </w:tr>
      <w:tr>
        <w:trPr>
          <w:trHeight w:val="33"/>
        </w:trPr>
        <w:tc>
          <w:tcPr>
            <w:tcW w:w="8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1"/>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34,742</w:t>
            </w:r>
          </w:p>
        </w:tc>
        <w:tc>
          <w:tcPr>
            <w:tcW w:w="8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58,799</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33,600</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4,767</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3,996</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5,164</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5,290</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Amortization of Operating Lease Right-of-Use Assets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3,114</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3,185</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1,497</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2,274</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Benefit Plan Contributions</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(403)</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(6,942)</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Gains on Sale of Premises and Equipment</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(1,956)</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970</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835</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129,913</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56,453</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(110,415)</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(63,014)</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524</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(99,892)</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(49,491)</w:t>
            </w:r>
          </w:p>
        </w:tc>
      </w:tr>
      <w:tr>
        <w:trPr>
          <w:trHeight w:val="33"/>
        </w:trPr>
        <w:tc>
          <w:tcPr>
            <w:tcW w:w="8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(4,855)</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17,118</w:t>
            </w:r>
          </w:p>
        </w:tc>
      </w:tr>
      <w:tr>
        <w:trPr>
          <w:trHeight w:val="216"/>
        </w:trPr>
        <w:tc>
          <w:tcPr>
            <w:tcW w:w="8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230,435</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495,824</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(238,997)</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(341,234)</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Held-to-Maturity:</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236,134</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177,841</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(201,130)</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(367,178)</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Net Change in Loans and Leases</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(364,878)</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(104,120)</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Premises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(12,607)</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(11,583)</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Proceeds from Sale of Premises and Equipment</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639</w:t>
            </w:r>
          </w:p>
        </w:tc>
      </w:tr>
      <w:tr>
        <w:trPr>
          <w:trHeight w:val="33"/>
        </w:trPr>
        <w:tc>
          <w:tcPr>
            <w:tcW w:w="8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(351,043)</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(149,811)</w:t>
            </w:r>
          </w:p>
        </w:tc>
      </w:tr>
      <w:tr>
        <w:trPr>
          <w:trHeight w:val="216"/>
        </w:trPr>
        <w:tc>
          <w:tcPr>
            <w:tcW w:w="8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Net Change in Deposits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270,879</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240,068</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Short-Term Borrowings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148,900</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(25,020)</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(25,019)</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3,658</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(17,633)</w:t>
            </w:r>
          </w:p>
        </w:tc>
        <w:tc>
          <w:tcPr>
            <w:tcW w:w="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(43,189)</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Dividends Paid</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(26,835)</w:t>
            </w:r>
          </w:p>
        </w:tc>
        <w:tc>
          <w:tcPr>
            <w:tcW w:w="8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(25,646)</w:t>
            </w:r>
          </w:p>
        </w:tc>
      </w:tr>
      <w:tr>
        <w:trPr>
          <w:trHeight w:val="230"/>
        </w:trPr>
        <w:tc>
          <w:tcPr>
            <w:tcW w:w="810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Financing Activities</w:t>
            </w: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353,949</w:t>
            </w:r>
          </w:p>
        </w:tc>
        <w:tc>
          <w:tcPr>
            <w:tcW w:w="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148,012</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8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(1,949)</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15,319</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558,658</w:t>
            </w:r>
          </w:p>
        </w:tc>
        <w:tc>
          <w:tcPr>
            <w:tcW w:w="8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525,969</w:t>
            </w:r>
          </w:p>
        </w:tc>
      </w:tr>
      <w:tr>
        <w:trPr>
          <w:trHeight w:val="230"/>
        </w:trPr>
        <w:tc>
          <w:tcPr>
            <w:tcW w:w="8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556,709</w:t>
            </w:r>
          </w:p>
        </w:tc>
        <w:tc>
          <w:tcPr>
            <w:tcW w:w="8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541,288</w:t>
            </w:r>
          </w:p>
        </w:tc>
      </w:tr>
      <w:tr>
        <w:trPr>
          <w:trHeight w:val="73"/>
        </w:trPr>
        <w:tc>
          <w:tcPr>
            <w:tcW w:w="81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31"/>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19,088</w:t>
            </w:r>
          </w:p>
        </w:tc>
        <w:tc>
          <w:tcPr>
            <w:tcW w:w="8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20,583</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3,459</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Initial Recognition of Operating Lease Right-of-Use Assets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106,514</w:t>
            </w:r>
          </w:p>
        </w:tc>
      </w:tr>
      <w:tr>
        <w:trPr>
          <w:trHeight w:val="237"/>
        </w:trPr>
        <w:tc>
          <w:tcPr>
            <w:tcW w:w="8100" w:type="dxa"/>
            <w:vAlign w:val="bottom"/>
          </w:tcPr>
          <w:p>
            <w:pPr>
              <w:ind w:left="280"/>
              <w:spacing w:after="0"/>
              <w:rPr>
                <w:sz w:val="20"/>
                <w:szCs w:val="20"/>
                <w:color w:val="auto"/>
              </w:rPr>
            </w:pPr>
            <w:r>
              <w:rPr>
                <w:rFonts w:ascii="Arial" w:cs="Arial" w:eastAsia="Arial" w:hAnsi="Arial"/>
                <w:sz w:val="16"/>
                <w:szCs w:val="16"/>
                <w:color w:val="auto"/>
              </w:rPr>
              <w:t>Initial Recognition of Operating Lease Liabilities</w:t>
            </w:r>
          </w:p>
        </w:tc>
        <w:tc>
          <w:tcPr>
            <w:tcW w:w="4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113,394</w:t>
            </w: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1,869</w:t>
            </w:r>
          </w:p>
        </w:tc>
      </w:tr>
      <w:tr>
        <w:trPr>
          <w:trHeight w:val="33"/>
        </w:trPr>
        <w:tc>
          <w:tcPr>
            <w:tcW w:w="8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240"/>
          </w:cols>
          <w:pgMar w:left="320" w:top="130" w:right="339" w:bottom="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30" w:right="339" w:bottom="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participates in limited partnerships or limited liability companies that sponsor low-income housing projects. These entities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for federal and 5 years for state. In order to continue receiving the tax credits each year over the life of the entity, the low-income residency targets must be maintained.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7"/>
          <w:szCs w:val="17"/>
          <w:i w:val="1"/>
          <w:iCs w:val="1"/>
          <w:color w:val="auto"/>
        </w:rPr>
        <w:t>“Accounting for Investments in Qualified Affordable Housing Projects”</w:t>
      </w:r>
      <w:r>
        <w:rPr>
          <w:rFonts w:ascii="Arial" w:cs="Arial" w:eastAsia="Arial" w:hAnsi="Arial"/>
          <w:sz w:val="17"/>
          <w:szCs w:val="17"/>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30" w:right="3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Unfunded commitments to fund these low-income housing entities were $32.7 million and $21.3 million as of March 31, 2020, and December 31, 2019,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$100.5 million and $84.6 million as of March 31, 2020, and December 31, 2019, respectively, and is included in other assets in the consolidated statements of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 and Leases</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current expected credit loss (“CECL”) approach requires an estimate of the credit losses expected over the life of an exposure (or pool of exposures). It replaces the incurred loss approach’s threshold that delayed the recognition of a credit loss until it was probable a loss event was incurred.</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The Company considers future economic conditions and portfolio performance as part of a reasonable and supportable forecast period.</w:t>
      </w:r>
    </w:p>
    <w:p>
      <w:pPr>
        <w:spacing w:after="0" w:line="18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Portfolio segment is defined as the level at which an entity develops and documents a systematic methodology to determine its allowance for credit losses (“ACL”). The Company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(which is comprised of revolving credit, installment, and consumer lease financing arrangements). Each commercial and consumer portfolio class is also segmented based on risk characteristics.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portfolio segment</w:t>
      </w:r>
    </w:p>
    <w:p>
      <w:pPr>
        <w:spacing w:after="0" w:line="23"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historical loss experience for the commercial portfolio segment is primarily determined using a Cohort method. This method pools loans into groups (“cohorts”) sharing similar risk characteristics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ACL for most of the commercial portfolio segment.</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considers qualitative adjustments to the quantitative baseline. For example, the Company considers the impact of current environmental factors at the reporting date that did not exist over the period from which historical experience was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incorporates a one-year reasonable and supportable (“R&amp;S”) loss forecast period to account for the effect of forecasted economic conditions and other factors on the performance of the commercial portfolio, which could differ from historical loss experience. The Company performs a quarterly asset quality review which includes a review of forecasted gross charge-offs and recoveries, nonperforming assets, criticized loans and leases, and risk rating migration. The asset quality review is reviewed by management and the results are used to consider a qualitative overlay to the quantitative baseline. After the one-year R&amp;S loss forecast period, this overlay adjustment assumes an immediate reversion to historical loss rates for the remaining loan life period.</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establishes a specific reserve for individually evaluated loans which do not share similar risk characteristics with the loans included in the quantitative baseline. These individually evaluated loans are removed from the pooling approach discussed above for the quantitative baseline, and include non-accrual loans, troubled debt restructurings (“TDRs”), and other loans as deemed appropriate by management. In addition, the Company individually evaluates “reasonably expected” TDRs, which are identified by the Company as a commercial loan expected to be classified as a TDR within the next six months. Management judgment is utilized to make this determination.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portfolio segment</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historical loss experience for the consumer portfolio segment is primarily determined using a Vintage method. This method measures historical loss behavior in the form of a historical loss rate for homogenous loan pools that originate in the same period, known as a vintage. The historical loss rates are then applied to origination loan balances by vintage to determine the quantitative baseline portion of the ACL for most of the consumer portfolio segment. The homogenous loan pools are segmented according to similar risk characteristics (e.g., residential mortgage, home equity) and may be sub-segmented further (e.g., geography, lien position) depending on the product.</w:t>
      </w:r>
    </w:p>
    <w:p>
      <w:pPr>
        <w:spacing w:after="0" w:line="19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After determining the ACL quantitative baseline, the Company also considers qualitative adjustments to the quantitative baseline. For example, the Company considers the impact of current environmental factors at the reporting date that did not exist over the period from which historical experience was used. The environmental factors considered for the consumer portfolio are similar to the aforementioned factors considered for the commercial portfolio.</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incorporates a one-year R&amp;S loss forecast period to account for forecasted economic conditions and other factors on the performance of the consumer portfolio which could differ from historical loss experience. The Company performs a quarterly asset quality review designed to estimate gross charge-offs and recoveries for the forecast period. Management evaluates additional factors that may not be reflected in the net charge-off forecast to determine whether a qualitative overlay adjustment is warranted.</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January 1, 2020, implementation date, and following the one-year R&amp;S loss forecast period, the Company chose a reversion back to average historical loss rates using a straight line method based on forecasted and relatively benign economic conditions at the measurement date, with the exception of the home equity portfolio. For the home equity portfolio, the Company elected to revert back to average historical loss rates using a straight line method over the halfway point of the average life of the portfolio. The halfway point is used for the home equity portfolio given the longer average life length compared to the other consumer portfolios.</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March 31, 2020, following the one-year R&amp;S loss forecast period, the Company chose an immediate reversion back to average historical loss rates. The change in reversion method was due to the impact of COVID-19 which created a much more volatile and uncertain economic outlook. The Company is forecasting that losses will be lower than historical rates during the R&amp;S loss forecast period due to the impact of unprecedented fiscal, monetary and regulatory programs to support the economy, as well as the assistance the Company is providing to borrowers through its various credit assistance programs. Given this forecast and the uncertainty of the impact of COVID-19 after the one-year R&amp;S loss forecast period, the Company determined that a change to immediate reversion was appropriate for this measurement date.</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establishes a specific reserve for individually evaluated loans that do not share similar risk characteristics with the loans included in the quantitative baseline. These individually evaluated loans include “reasonably expected” TDRs, identified by the Company as a consumer loan for which a borrower’s application of loan modification due to hardship has been approved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Loans and Leases and the Allowance for Credit Losses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30" w:right="3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Held-to-Maturity (“HTM”) Debt Securities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Company’s HTM debt securities are also required to utilize the CECL approach to estimate expected credit losses. 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also carries a limited portfolio of HTM municipal bonds. As of March 31, 2020, the entire portfolio consisted of State of Hawaii bonds carrying a Moody’s rating of Aa1, with a portion of these bonds escrowed to maturity. To estimate the expected credit losses, the Company utilized the probability of default (“PD”)/loss given default (“LGD”) methodology. The PD, which represents the percentage likelihood that a bond will default over a given time period, is primarily based upon the bond’s current credit rating and maturity and computed using Moody’s rating transition matrix, which provides the probability of a rating migrating to default within a one-year period (adjustments are made for longer maturities). The LGD, which represents the percentage of loss if a default occurs, is based on the median recovery rate for municipals according to Moody’s. The Company’s exposure at default, represented by the carrying value of the municipal bond portfolio, is multiplied with the PD and the LGD to arrive at the expected credit loss. Management may exercise discretion to make adjustments based on environmental factors. As of March 31, 2020, the Company determined that the expected credit loss on its municipal bond portfolio was de minimis, and therefore, an allowance for credit losses was not recorded.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Available-for-Sale (“AFS”) Debt Securities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impairment model for available-for-sale (“AFS”) debt securities differs from the CECL approach utilized by HTM debt securities because AFS debt securities are measured at fair value rather than amortized cost. Although ASU No. 2016-13 replaced the legacy other-than-temporary impairment (“OTTI”) model with a credit loss model, it retained the fundamental nature of the legacy OTTI model. One notable change from the legacy OTTI model is when evaluating whether credit loss exists, an entity may no longer consider the length of time fair value has been less than amortized cost. For AFS debt securities in an unrealized loss position, the Company first assesses whether it intends to sell, or it is more likely than not that it will be required to sell the security before recovery of its amortized cost basis. If either criteria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Changes in the allowance for credit losses are recorded as a provision for (or reversal of) credit losses. Losses are charged against the allowance when management believes the uncollectibility of an AFS security is confirmed or when either of the criteria regarding intent or requirement to sell is met. As of March 31, 2020, the Company determined that the unrealized loss positions in AFS securities were not the result of credit losses, and therefore, an allowance for credit losses was not recorded. See Note 3 </w:t>
      </w:r>
      <w:r>
        <w:rPr>
          <w:rFonts w:ascii="Arial" w:cs="Arial" w:eastAsia="Arial" w:hAnsi="Arial"/>
          <w:sz w:val="17"/>
          <w:szCs w:val="17"/>
          <w:i w:val="1"/>
          <w:iCs w:val="1"/>
          <w:color w:val="auto"/>
        </w:rPr>
        <w:t>Investment Securities</w:t>
      </w:r>
      <w:r>
        <w:rPr>
          <w:rFonts w:ascii="Arial" w:cs="Arial" w:eastAsia="Arial" w:hAnsi="Arial"/>
          <w:sz w:val="17"/>
          <w:szCs w:val="17"/>
          <w:color w:val="auto"/>
        </w:rPr>
        <w:t xml:space="preserv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Upon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on January 1, 2020,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made the following elections regarding accrued interest receivable:</w:t>
      </w:r>
    </w:p>
    <w:p>
      <w:pPr>
        <w:spacing w:after="0" w:line="1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Presenting accrued interest receivable balances separately within another statements of position line item.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Excluding accrued interest receivable that is included in the amortized cost of financing receivables from related disclosure requirements.</w:t>
      </w:r>
    </w:p>
    <w:p>
      <w:pPr>
        <w:spacing w:after="0" w:line="20" w:lineRule="exact"/>
        <w:rPr>
          <w:rFonts w:ascii="Arial" w:cs="Arial" w:eastAsia="Arial" w:hAnsi="Arial"/>
          <w:sz w:val="17"/>
          <w:szCs w:val="17"/>
          <w:color w:val="auto"/>
        </w:rPr>
      </w:pPr>
    </w:p>
    <w:p>
      <w:pPr>
        <w:ind w:left="66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our policy to write off accrued interest receivable by reversing interest income. For commercial loans, the write off typically occurs upon becoming 90 days past due. For consumer loans, the write off typically occurs upon becoming 120 days past due. Historically, the Company has not experienced uncollectible accrued interest receivable on its investment securities. However, the Company would generally write off accrued interest receivable by reversing interest income if the Company does not reasonably expect to receive payments. Due to the timely manner in which accrued interest receivables are written off, the amounts of such write offs are immaterial.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30" w:right="3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measuring an allowance for credit losses for accrued interest receivable due to the Company’s policy of writing off uncollectible accrued interest receivable balances in a timely manner,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Collateral-Dependent Loans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 financial asset is considered collateral-dependent when the debtor is experiencing financial difficulty and repayment is expected to be provided substantially through the sale or operation of the collateral. For all classes of loans and leases deemed collateral-dependent, the Company elected the practical expedient to estimate expected credit losses based on the collateral’s fair value less cost to sell. In most cases, the Company records a partial charge-off to reduce the loan’s carrying value to the collateral’s fair value less cost to sell. Substantially all of the collateral consists of various types of real estate including residential properties; commercial properties such as retail centers, office buildings, and lodging; agriculture land; and vacant land.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Unfunded Commitments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reserve for unfunded commitments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recognized as a liability (other liabilities in the consolidated statements of condition), with adjustments to the reserve recognized in other noninterest expense in the consolidated statements of income. 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Loss rates are estimated by utilizing the same loss rates calculated for the Allowance general reserves. For the commercial portfolio, the historical loss rates were calculated utilizing the Cohort methodology, while the consumer portfolio utilized the Vintage methodology.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Accounting and Reporting Considerations related to COVID-19</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has negatively impacted the global economy, including Hawaii and the Pacific Islands. In response to this crisis, the Coronavirus Aid, Relief, and Economic Security (“CARES”) Act was passed by Congress and signed into law on March 27, 2020. The CARES Act provides an estimated $2.2 trillion to fight the COVID-19 pandemic and stimulate the economy by supporting individuals and businesses through loans, grants, tax changes, and other types of relief. Some of the provisions applicable to the Company include, but are not limited to:</w:t>
      </w:r>
    </w:p>
    <w:p>
      <w:pPr>
        <w:spacing w:after="0" w:line="171" w:lineRule="exact"/>
        <w:rPr>
          <w:sz w:val="20"/>
          <w:szCs w:val="20"/>
          <w:color w:val="auto"/>
        </w:rPr>
      </w:pPr>
    </w:p>
    <w:p>
      <w:pPr>
        <w:ind w:left="660" w:right="10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Accounting for Loan Modifications </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231F20"/>
        </w:rPr>
        <w:t>CARES Act provides that a financial institution may elect to suspend (1) the requirements under GAAP</w:t>
      </w:r>
      <w:r>
        <w:rPr>
          <w:rFonts w:ascii="Arial" w:cs="Arial" w:eastAsia="Arial" w:hAnsi="Arial"/>
          <w:sz w:val="18"/>
          <w:szCs w:val="18"/>
          <w:i w:val="1"/>
          <w:iCs w:val="1"/>
          <w:color w:val="auto"/>
        </w:rPr>
        <w:t xml:space="preserve"> </w:t>
      </w:r>
      <w:r>
        <w:rPr>
          <w:rFonts w:ascii="Arial" w:cs="Arial" w:eastAsia="Arial" w:hAnsi="Arial"/>
          <w:sz w:val="18"/>
          <w:szCs w:val="18"/>
          <w:color w:val="231F20"/>
        </w:rPr>
        <w:t>for certain loan modifications that would otherwise be categorized as a TDR and (2) any determination that such loan modifications would be considered a TDR, including the related impairment for accounting purposes.</w:t>
      </w:r>
    </w:p>
    <w:p>
      <w:pPr>
        <w:spacing w:after="0" w:line="183" w:lineRule="exact"/>
        <w:rPr>
          <w:rFonts w:ascii="Arial" w:cs="Arial" w:eastAsia="Arial" w:hAnsi="Arial"/>
          <w:sz w:val="18"/>
          <w:szCs w:val="18"/>
          <w:color w:val="auto"/>
        </w:rPr>
      </w:pPr>
    </w:p>
    <w:p>
      <w:pPr>
        <w:ind w:left="660" w:right="90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Pay Protection Program </w:t>
      </w:r>
      <w:r>
        <w:rPr>
          <w:rFonts w:ascii="Arial" w:cs="Arial" w:eastAsia="Arial" w:hAnsi="Arial"/>
          <w:sz w:val="16"/>
          <w:szCs w:val="16"/>
          <w:color w:val="auto"/>
        </w:rPr>
        <w:t>- The CARES Act established the Paycheck Protection Program (“PPP”), an expansion of the Small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Administration’s 7(a) loan program and the Economic Injury Disaster Loan Program (“EIDL”), administered directly by the SBA.</w:t>
      </w:r>
    </w:p>
    <w:p>
      <w:pPr>
        <w:spacing w:after="0" w:line="123"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Mortgage Forbearance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Under the CARES Act, through the earlier of December 31, 2020, or the termination date of the COVID-19 national</w:t>
      </w:r>
      <w:r>
        <w:rPr>
          <w:rFonts w:ascii="Arial" w:cs="Arial" w:eastAsia="Arial" w:hAnsi="Arial"/>
          <w:sz w:val="18"/>
          <w:szCs w:val="18"/>
          <w:i w:val="1"/>
          <w:iCs w:val="1"/>
          <w:color w:val="auto"/>
        </w:rPr>
        <w:t xml:space="preserve"> </w:t>
      </w:r>
      <w:r>
        <w:rPr>
          <w:rFonts w:ascii="Arial" w:cs="Arial" w:eastAsia="Arial" w:hAnsi="Arial"/>
          <w:sz w:val="18"/>
          <w:szCs w:val="18"/>
          <w:color w:val="231F20"/>
        </w:rPr>
        <w:t>emergency, a borrower with a federally backed mortgage loan that is experiencing financial hardship due to COVID-19 may request a forbearance. A multifamily borrower with a federally backed multifamily mortgage loan that was current as of February 1, 2020, and is experiencing financial hardship due to COVID-19 may request forbearance on the loan for up to 30 days, with up to two additional 30-day periods at the borrower’s request.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Also in response to the COVID-19 pandemic, the Board of Governors of the Federal Reserve System (“FRB”), the Federal Deposit Insurance Corporation (“FDIC”), the National Credit Union Administration (“NCUA”), the Office of the Comptroller of the Currency (“OCC”), and the Consumer Financial Protection Bureau (“CFPB”), in consultation with the state financial regulators (collectively, the “agencies”) issued a joint interagency statement (issued March 22, 2020; revised statement issued April 7, 2020). Some of the provisions applicable to the Company include, but are not limited to:</w:t>
      </w:r>
    </w:p>
    <w:p>
      <w:pPr>
        <w:spacing w:after="0" w:line="157" w:lineRule="exact"/>
        <w:rPr>
          <w:sz w:val="20"/>
          <w:szCs w:val="20"/>
          <w:color w:val="auto"/>
        </w:rPr>
      </w:pPr>
    </w:p>
    <w:p>
      <w:pPr>
        <w:ind w:left="660" w:right="20" w:hanging="328"/>
        <w:spacing w:after="0" w:line="279"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Accounting for Loan Modifications </w:t>
      </w:r>
      <w:r>
        <w:rPr>
          <w:rFonts w:ascii="Arial" w:cs="Arial" w:eastAsia="Arial" w:hAnsi="Arial"/>
          <w:sz w:val="17"/>
          <w:szCs w:val="17"/>
          <w:color w:val="auto"/>
        </w:rPr>
        <w:t>- Loan modifications that do not meet the conditions of the CARES Act may still qualify as a modification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need to be accounted for as a TDR. The agencies confirmed with FASB staff that short-term modifications made on a good faith basis in response to COVID-19 to borrowers who were current prior to any relief are not TDRs. This includes short-term (e.g., six months) modifications such as payment deferrals, fee waivers, extensions of repayment terms, or insignificant delays in payment.</w:t>
      </w:r>
    </w:p>
    <w:p>
      <w:pPr>
        <w:spacing w:after="0" w:line="171" w:lineRule="exact"/>
        <w:rPr>
          <w:rFonts w:ascii="Arial" w:cs="Arial" w:eastAsia="Arial" w:hAnsi="Arial"/>
          <w:sz w:val="17"/>
          <w:szCs w:val="17"/>
          <w:i w:val="1"/>
          <w:iCs w:val="1"/>
          <w:color w:val="auto"/>
        </w:rPr>
      </w:pPr>
    </w:p>
    <w:p>
      <w:pPr>
        <w:ind w:left="660" w:right="200" w:hanging="328"/>
        <w:spacing w:after="0" w:line="31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Past Due Reporting </w:t>
      </w:r>
      <w:r>
        <w:rPr>
          <w:rFonts w:ascii="Arial" w:cs="Arial" w:eastAsia="Arial" w:hAnsi="Arial"/>
          <w:sz w:val="16"/>
          <w:szCs w:val="16"/>
          <w:color w:val="auto"/>
        </w:rPr>
        <w:t>- With regard to loans not otherwise reportable as past due, financial institutions are not expected to designate loans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deferrals granted due to COVID-19 as past due because of the deferral. A loan’s payment date is governed by the due date stipulated in the legal agreement. If a financial institution agrees to a payment deferral, these loans would not be considered past due during the period of the deferral.</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Nonaccrual Status and Charge-offs </w:t>
      </w:r>
      <w:r>
        <w:rPr>
          <w:rFonts w:ascii="Arial" w:cs="Arial" w:eastAsia="Arial" w:hAnsi="Arial"/>
          <w:sz w:val="18"/>
          <w:szCs w:val="18"/>
          <w:color w:val="auto"/>
        </w:rPr>
        <w:t>- During short-term COVID-19 modifications, these loans generally should not be reported as nonaccrual or as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2020</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This ASU significantly changes how entities measure credit losses for most financial assets and certain other instruments that are not measured at fair value through net income. The standard replaces the “incurred loss” approach with an “expected loss” approach known as current expected credit loss (“CECL”). CECL applies to: (1) financial assets measured at amortized cost, and (2) certain off-balance sheet credit exposures. This includes, but is not limited to, loans, leases, held-to-maturity securities, loan commitments, and financial guarantees. The CECL approach does not apply to AFS debt securities. For AFS debt securities with unrealized losses, entities measure credit losses in a similar manner to legacy GAAP except that the credit losses are now recognized as allowances rather than reductions in the amortized cost of the securities. As a result, entities will recognize improvements to estimated credit losses immediately in earnings rather than as interest income over time. ASU No. 2016-13 also changes the accounting for purchased credit-impaired debt securities and loans. ASU 2016-13 expanded or revised the disclosure requirements related to loans and debt securities. In addition, entities are required to disclose the amortized cost balance for each class of financial asset by credit quality indicator, disaggregated by the year of origination. ASU No. 2016-13 was effective for interim and annual reporting periods beginning after December 15, 2019.</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adopted the standard on January 1, 2020, and applied the standard’s provisions as a cumulative-effect adjustment to retained earnings, as of January 1, 2020 (i.e., modified retrospective approach). Upon adoption of the standard, the Company recorded a $5.1 million decrease to the reserve for credit losses, which resulted in a $3.6 million after-tax increase to retained earnings as of January 1, 2020. The tax effect resulted in an increase to deferred tax liabilities. This “Day 1” impact of CECL adoption is summarized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CECL Adoption</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0"/>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w w:val="92"/>
              </w:rPr>
              <w:t>December 31, 2019</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Impact</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7"/>
              </w:rPr>
              <w:t>January 1, 2020</w:t>
            </w:r>
          </w:p>
        </w:tc>
      </w:tr>
      <w:tr>
        <w:trPr>
          <w:trHeight w:val="250"/>
        </w:trPr>
        <w:tc>
          <w:tcPr>
            <w:tcW w:w="64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Allowance for Credit Losses:</w:t>
            </w:r>
          </w:p>
        </w:tc>
        <w:tc>
          <w:tcPr>
            <w:tcW w:w="4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73,801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(18,789)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55,012</w:t>
            </w:r>
          </w:p>
        </w:tc>
      </w:tr>
      <w:tr>
        <w:trPr>
          <w:trHeight w:val="33"/>
        </w:trPr>
        <w:tc>
          <w:tcPr>
            <w:tcW w:w="6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4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Consumer</w:t>
            </w:r>
          </w:p>
        </w:tc>
        <w:tc>
          <w:tcPr>
            <w:tcW w:w="48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36,226</w:t>
            </w:r>
          </w:p>
        </w:tc>
        <w:tc>
          <w:tcPr>
            <w:tcW w:w="30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17,052</w:t>
            </w:r>
          </w:p>
        </w:tc>
        <w:tc>
          <w:tcPr>
            <w:tcW w:w="3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53,278</w:t>
            </w:r>
          </w:p>
        </w:tc>
      </w:tr>
      <w:tr>
        <w:trPr>
          <w:trHeight w:val="230"/>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Allowance for Credit Losses</w:t>
            </w: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110,027</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108,290</w:t>
            </w:r>
          </w:p>
        </w:tc>
      </w:tr>
      <w:tr>
        <w:trPr>
          <w:trHeight w:val="33"/>
        </w:trPr>
        <w:tc>
          <w:tcPr>
            <w:tcW w:w="6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4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Reserve for Unfunded Commitments</w:t>
            </w:r>
          </w:p>
        </w:tc>
        <w:tc>
          <w:tcPr>
            <w:tcW w:w="48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6,822</w:t>
            </w:r>
          </w:p>
        </w:tc>
        <w:tc>
          <w:tcPr>
            <w:tcW w:w="30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(3,335)</w:t>
            </w:r>
          </w:p>
        </w:tc>
        <w:tc>
          <w:tcPr>
            <w:tcW w:w="3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3,487</w:t>
            </w:r>
          </w:p>
        </w:tc>
      </w:tr>
      <w:tr>
        <w:trPr>
          <w:trHeight w:val="230"/>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116,849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111,777</w:t>
            </w:r>
          </w:p>
        </w:tc>
      </w:tr>
      <w:tr>
        <w:trPr>
          <w:trHeight w:val="73"/>
        </w:trPr>
        <w:tc>
          <w:tcPr>
            <w:tcW w:w="64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0"/>
        </w:trPr>
        <w:tc>
          <w:tcPr>
            <w:tcW w:w="6420" w:type="dxa"/>
            <w:vAlign w:val="bottom"/>
            <w:shd w:val="clear" w:color="auto" w:fill="BFE4FF"/>
          </w:tcPr>
          <w:p>
            <w:pPr>
              <w:spacing w:after="0"/>
              <w:rPr>
                <w:sz w:val="21"/>
                <w:szCs w:val="21"/>
                <w:color w:val="auto"/>
              </w:rPr>
            </w:pPr>
          </w:p>
        </w:tc>
        <w:tc>
          <w:tcPr>
            <w:tcW w:w="480" w:type="dxa"/>
            <w:vAlign w:val="bottom"/>
            <w:shd w:val="clear" w:color="auto" w:fill="BFE4FF"/>
          </w:tcPr>
          <w:p>
            <w:pPr>
              <w:spacing w:after="0"/>
              <w:rPr>
                <w:sz w:val="21"/>
                <w:szCs w:val="21"/>
                <w:color w:val="auto"/>
              </w:rPr>
            </w:pPr>
          </w:p>
        </w:tc>
        <w:tc>
          <w:tcPr>
            <w:tcW w:w="1080" w:type="dxa"/>
            <w:vAlign w:val="bottom"/>
            <w:shd w:val="clear" w:color="auto" w:fill="BFE4FF"/>
          </w:tcPr>
          <w:p>
            <w:pPr>
              <w:spacing w:after="0"/>
              <w:rPr>
                <w:sz w:val="21"/>
                <w:szCs w:val="21"/>
                <w:color w:val="auto"/>
              </w:rPr>
            </w:pPr>
          </w:p>
        </w:tc>
        <w:tc>
          <w:tcPr>
            <w:tcW w:w="300" w:type="dxa"/>
            <w:vAlign w:val="bottom"/>
            <w:shd w:val="clear" w:color="auto" w:fill="BFE4FF"/>
          </w:tcPr>
          <w:p>
            <w:pPr>
              <w:spacing w:after="0"/>
              <w:rPr>
                <w:sz w:val="21"/>
                <w:szCs w:val="21"/>
                <w:color w:val="auto"/>
              </w:rPr>
            </w:pPr>
          </w:p>
        </w:tc>
        <w:tc>
          <w:tcPr>
            <w:tcW w:w="13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Retained Earnings</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6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Total Pre-tax Impact</w:t>
            </w:r>
          </w:p>
        </w:tc>
        <w:tc>
          <w:tcPr>
            <w:tcW w:w="4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5,072</w:t>
            </w:r>
          </w:p>
        </w:tc>
        <w:tc>
          <w:tcPr>
            <w:tcW w:w="3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Tax Effect</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(1,440)</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6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BFE4FF"/>
            </w:tcBorders>
          </w:tcPr>
          <w:p>
            <w:pPr>
              <w:spacing w:after="0"/>
              <w:rPr>
                <w:sz w:val="2"/>
                <w:szCs w:val="2"/>
                <w:color w:val="auto"/>
              </w:rPr>
            </w:pPr>
          </w:p>
        </w:tc>
        <w:tc>
          <w:tcPr>
            <w:tcW w:w="1280" w:type="dxa"/>
            <w:vAlign w:val="bottom"/>
            <w:tcBorders>
              <w:bottom w:val="single" w:sz="8" w:color="BFE4FF"/>
            </w:tcBorders>
          </w:tcPr>
          <w:p>
            <w:pPr>
              <w:spacing w:after="0"/>
              <w:rPr>
                <w:sz w:val="2"/>
                <w:szCs w:val="2"/>
                <w:color w:val="auto"/>
              </w:rPr>
            </w:pPr>
          </w:p>
        </w:tc>
      </w:tr>
      <w:tr>
        <w:trPr>
          <w:trHeight w:val="268"/>
        </w:trPr>
        <w:tc>
          <w:tcPr>
            <w:tcW w:w="64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Increase to Retained Earnings</w:t>
            </w:r>
          </w:p>
        </w:tc>
        <w:tc>
          <w:tcPr>
            <w:tcW w:w="48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3,632</w:t>
            </w:r>
          </w:p>
        </w:tc>
        <w:tc>
          <w:tcPr>
            <w:tcW w:w="380" w:type="dxa"/>
            <w:vAlign w:val="bottom"/>
            <w:tcBorders>
              <w:bottom w:val="single" w:sz="8" w:color="BFE4FF"/>
            </w:tcBorders>
            <w:shd w:val="clear" w:color="auto" w:fill="BFE4FF"/>
          </w:tcPr>
          <w:p>
            <w:pPr>
              <w:spacing w:after="0"/>
              <w:rPr>
                <w:sz w:val="22"/>
                <w:szCs w:val="22"/>
                <w:color w:val="auto"/>
              </w:rPr>
            </w:pPr>
          </w:p>
        </w:tc>
        <w:tc>
          <w:tcPr>
            <w:tcW w:w="1280" w:type="dxa"/>
            <w:vAlign w:val="bottom"/>
            <w:tcBorders>
              <w:bottom w:val="single" w:sz="8" w:color="BFE4FF"/>
            </w:tcBorders>
            <w:shd w:val="clear" w:color="auto" w:fill="BFE4FF"/>
          </w:tcPr>
          <w:p>
            <w:pPr>
              <w:spacing w:after="0"/>
              <w:rPr>
                <w:sz w:val="22"/>
                <w:szCs w:val="22"/>
                <w:color w:val="auto"/>
              </w:rPr>
            </w:pP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280" w:type="dxa"/>
            <w:vAlign w:val="bottom"/>
            <w:tcBorders>
              <w:top w:val="single" w:sz="8" w:color="BFE4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The Company did not record an allowance for AFS or HTM securities on Day 1 as the investment portfolio consists primarily of debt securities explicitly or implicitly backed by the U.S. Government for which credit risk is deemed minimal. The impact going forward will depend on the composition, characteristics, and credit quality of the loan and securities portfolios as well as the economic conditions at future reporting periods. See Note 3 </w:t>
      </w:r>
      <w:r>
        <w:rPr>
          <w:rFonts w:ascii="Arial" w:cs="Arial" w:eastAsia="Arial" w:hAnsi="Arial"/>
          <w:sz w:val="17"/>
          <w:szCs w:val="17"/>
          <w:i w:val="1"/>
          <w:iCs w:val="1"/>
          <w:color w:val="auto"/>
        </w:rPr>
        <w:t>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w:t>
      </w:r>
      <w:r>
        <w:rPr>
          <w:rFonts w:ascii="Arial" w:cs="Arial" w:eastAsia="Arial" w:hAnsi="Arial"/>
          <w:sz w:val="17"/>
          <w:szCs w:val="17"/>
          <w:color w:val="auto"/>
        </w:rPr>
        <w:t>and Note 4</w:t>
      </w:r>
      <w:r>
        <w:rPr>
          <w:rFonts w:ascii="Arial" w:cs="Arial" w:eastAsia="Arial" w:hAnsi="Arial"/>
          <w:sz w:val="17"/>
          <w:szCs w:val="17"/>
          <w:i w:val="1"/>
          <w:iCs w:val="1"/>
          <w:color w:val="auto"/>
        </w:rPr>
        <w:t xml:space="preserve"> Loans and Leases and the Allowance for Credit Losses </w:t>
      </w:r>
      <w:r>
        <w:rPr>
          <w:rFonts w:ascii="Arial" w:cs="Arial" w:eastAsia="Arial" w:hAnsi="Arial"/>
          <w:sz w:val="17"/>
          <w:szCs w:val="17"/>
          <w:color w:val="auto"/>
        </w:rPr>
        <w:t>for more information.</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was effective for interim and annual reporting periods beginning after December 15, 2019; early adoption is permitted. As ASU No. 2018-13 only revises disclosure requirements, it did not have a material impact on the Company’s Consolidated Financial Statements.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April 2019, the FASB issued ASU No. 2019-04, </w:t>
      </w:r>
      <w:r>
        <w:rPr>
          <w:rFonts w:ascii="Arial" w:cs="Arial" w:eastAsia="Arial" w:hAnsi="Arial"/>
          <w:sz w:val="17"/>
          <w:szCs w:val="17"/>
          <w:i w:val="1"/>
          <w:iCs w:val="1"/>
          <w:color w:val="auto"/>
        </w:rPr>
        <w:t>“Codification Improvements to Topic 326, Financial Instruments - Credit Losses,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and Topic 825, Financial Instruments.” </w:t>
      </w:r>
      <w:r>
        <w:rPr>
          <w:rFonts w:ascii="Arial" w:cs="Arial" w:eastAsia="Arial" w:hAnsi="Arial"/>
          <w:sz w:val="17"/>
          <w:szCs w:val="17"/>
          <w:color w:val="auto"/>
        </w:rPr>
        <w:t>With respect to Topic 326, ASU 2019-04 clarifies the scope of the credit losses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and addresses issues related to accrued interest receivable balances, recoveries, variable interest rates and prepayments, among other things. The Company made the accounting policy elections not to measure an allowance for credit losses on accrued interest receivable, to write-off accrued interest amounts by reversing interest income, and to present accrued interest receivable separately from the related financial asset on the statements of financial condition. The amendments to Topic 326 were adopted concurrently with ASU 2016-13 on January 1, 2020. The financial statement impact in regards to the amendments to Topic 326 are incorporated within ASU 2016-13 mentioned above. With respect to Topic 825, on recognizing and measuring financial instruments, ASU 2019-04 addresses the scope of the guidance, the requirement for remeasurement under ASC 820 when using the measurement alternative, certain disclosure requirements and which equity securities have to be remeasured at historical exchange rates. The amendments to Topic 825 were effective for interim and annual reporting periods beginning after December 15, 2019, and did not have a material impact on the Company’s Consolidated Financial Statements. The Company elected to early adopt the amendments to Topic 815 in June 2019. See Note 1 to the Company’s Annual Report on Form 10-K for the year ended December 31, 2019, for more information.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HTM debt securities. Entities are required to make this election on an instrument-by-instrument basis. ASU 2019-05 was adopted concurrently with ASU 2016-13 on January 1, 2020. The Company did not elect the fair value option, and therefore, ASU 2019-05 did not impact the Company’s Consolidated Financial Statements.</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In November 2019, the FASB issued ASU No.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This ASU requires entities to include certain expected recoveries of the amortized cost basis previously written off, or expected to be written off, in the allowance for credit losses for purchased credit-deteriorated (“PCD”) financial assets. It also provides transition relief related to TDRs, allows entities to exclude accrued interest amounts from certain required disclosures and clarifies the requirements for applying the collateral maintenance practical expedient. ASU 2019-11 was adopted concurrently with ASU 2016-13 on January 1, 2020, and did not have a material impact to the Company’s Consolidated Financial Statements.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130" w:right="39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7"/>
                <w:szCs w:val="17"/>
                <w:color w:val="auto"/>
              </w:rPr>
            </w:pPr>
          </w:p>
        </w:tc>
        <w:tc>
          <w:tcPr>
            <w:tcW w:w="1260" w:type="dxa"/>
            <w:vAlign w:val="bottom"/>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2019</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9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6,346</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4,979</w:t>
            </w:r>
          </w:p>
        </w:tc>
      </w:tr>
      <w:tr>
        <w:trPr>
          <w:trHeight w:val="243"/>
        </w:trPr>
        <w:tc>
          <w:tcPr>
            <w:tcW w:w="532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29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96,898</w:t>
            </w:r>
          </w:p>
        </w:tc>
        <w:tc>
          <w:tcPr>
            <w:tcW w:w="4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254,574</w:t>
            </w:r>
          </w:p>
        </w:tc>
      </w:tr>
      <w:tr>
        <w:trPr>
          <w:trHeight w:val="27"/>
        </w:trPr>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29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453,465</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299,105</w:t>
            </w:r>
          </w:p>
        </w:tc>
      </w:tr>
      <w:tr>
        <w:trPr>
          <w:trHeight w:val="237"/>
        </w:trPr>
        <w:tc>
          <w:tcPr>
            <w:tcW w:w="5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29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556,709</w:t>
            </w:r>
          </w:p>
        </w:tc>
        <w:tc>
          <w:tcPr>
            <w:tcW w:w="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558,658</w:t>
            </w:r>
          </w:p>
        </w:tc>
      </w:tr>
      <w:tr>
        <w:trPr>
          <w:trHeight w:val="27"/>
        </w:trPr>
        <w:tc>
          <w:tcPr>
            <w:tcW w:w="5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March 31, 2020, and December 31, 2019,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Gross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Unrealized</w:t>
            </w:r>
          </w:p>
        </w:tc>
        <w:tc>
          <w:tcPr>
            <w:tcW w:w="3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Unrealized</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Losses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202,065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201,089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53,981</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1,043</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55,023</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274,353</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1,969</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(5,146)</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271,176</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1,159,266</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41,360</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(1,412)</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1,199,214</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635,161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26,178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661,173</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287,441</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5,790</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(869)</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292,362</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2,081,868</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73,328</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(2,447)</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2,152,749</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2,613,203</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76,678</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(8,832)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2,681,049</w:t>
            </w:r>
          </w:p>
        </w:tc>
      </w:tr>
      <w:tr>
        <w:trPr>
          <w:trHeight w:val="73"/>
        </w:trPr>
        <w:tc>
          <w:tcPr>
            <w:tcW w:w="5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214,612</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2,111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216,723</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54,543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14,243</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994,405</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38,678</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1,033,047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1,648,144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57,554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1,705,698</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78,192</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763</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78,645</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2,720,741</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96,995</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(346)</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2,817,390</w:t>
            </w:r>
          </w:p>
        </w:tc>
      </w:tr>
      <w:tr>
        <w:trPr>
          <w:trHeight w:val="230"/>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3,004,139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100,227</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3,104,020</w:t>
            </w:r>
          </w:p>
        </w:tc>
      </w:tr>
      <w:tr>
        <w:trPr>
          <w:trHeight w:val="73"/>
        </w:trPr>
        <w:tc>
          <w:tcPr>
            <w:tcW w:w="5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5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222,365</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221,131</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54,480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55,097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22,128</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22,147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335,553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336,321</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1,164,466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11,627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(3,267)</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1,172,826</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584,272</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4,363</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(1,874)</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586,761</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224,372</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2,889</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224,720</w:t>
            </w:r>
          </w:p>
        </w:tc>
      </w:tr>
      <w:tr>
        <w:trPr>
          <w:trHeight w:val="230"/>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1,973,110</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18,879</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(7,682)</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1,984,307</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2,607,636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21,143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2,619,003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274,375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275,663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54,811</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1,236</w:t>
            </w:r>
          </w:p>
        </w:tc>
        <w:tc>
          <w:tcPr>
            <w:tcW w:w="320" w:type="dxa"/>
            <w:vAlign w:val="bottom"/>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56,047</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14,975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14,837</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1,067,416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13,247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(5,348)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1,075,315</w:t>
            </w:r>
          </w:p>
        </w:tc>
      </w:tr>
      <w:tr>
        <w:trPr>
          <w:trHeight w:val="237"/>
        </w:trPr>
        <w:tc>
          <w:tcPr>
            <w:tcW w:w="538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1,546,479</w:t>
            </w:r>
          </w:p>
        </w:tc>
        <w:tc>
          <w:tcPr>
            <w:tcW w:w="3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13,871</w:t>
            </w:r>
          </w:p>
        </w:tc>
        <w:tc>
          <w:tcPr>
            <w:tcW w:w="3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(2,478)</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1,557,872</w:t>
            </w:r>
          </w:p>
        </w:tc>
      </w:tr>
      <w:tr>
        <w:trPr>
          <w:trHeight w:val="33"/>
        </w:trPr>
        <w:tc>
          <w:tcPr>
            <w:tcW w:w="5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84,238</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317</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(1,407)</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83,148</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2,698,133</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27,435</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(9,233)</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2,716,335</w:t>
            </w:r>
          </w:p>
        </w:tc>
      </w:tr>
      <w:tr>
        <w:trPr>
          <w:trHeight w:val="33"/>
        </w:trPr>
        <w:tc>
          <w:tcPr>
            <w:tcW w:w="5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3,042,294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29,990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3,062,882</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682"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30" w:right="339" w:bottom="682"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elected to exclude accrued interest receivable (“AIR”) from the amortized cost basis of debt securities disclosed throughout this footnote. For available-for-sale (“AFS”) debt securities, AIR totaled $7.1 million and $7.5 million as of March 31, 2020, and December 31, 2019, respectively. For held-to-maturity (“HTM”) debt securities, AIR to totaled $8.9 million and $8.1 million as of March 31, 2020, and December 31, 2019, respectively. AIR is included in the “accrued interest receivable” line item on the Company’s consolidated statements of condition.</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March 31, 2020.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5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3"/>
              </w:rPr>
              <w:t>Amortized Cost</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Available-for-Sale:</w:t>
            </w:r>
          </w:p>
        </w:tc>
        <w:tc>
          <w:tcPr>
            <w:tcW w:w="4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45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66,246</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66,355</w:t>
            </w: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Due After One Year Through Five Years</w:t>
            </w:r>
          </w:p>
        </w:tc>
        <w:tc>
          <w:tcPr>
            <w:tcW w:w="4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96,977</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95,275</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4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167,141</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166,707</w:t>
            </w: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Due After Ten Years</w:t>
            </w:r>
          </w:p>
        </w:tc>
        <w:tc>
          <w:tcPr>
            <w:tcW w:w="4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1"/>
        </w:trPr>
        <w:tc>
          <w:tcPr>
            <w:tcW w:w="3940" w:type="dxa"/>
            <w:vAlign w:val="bottom"/>
            <w:tcBorders>
              <w:top w:val="single" w:sz="8" w:color="auto"/>
            </w:tcBorders>
          </w:tcPr>
          <w:p>
            <w:pPr>
              <w:spacing w:after="0"/>
              <w:rPr>
                <w:sz w:val="20"/>
                <w:szCs w:val="20"/>
                <w:color w:val="auto"/>
              </w:rPr>
            </w:pPr>
          </w:p>
        </w:tc>
        <w:tc>
          <w:tcPr>
            <w:tcW w:w="4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330,414</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328,388</w:t>
            </w: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3940" w:type="dxa"/>
            <w:vAlign w:val="bottom"/>
            <w:shd w:val="clear" w:color="auto" w:fill="CCEEFF"/>
          </w:tcPr>
          <w:p>
            <w:pPr>
              <w:spacing w:after="0"/>
              <w:rPr>
                <w:sz w:val="24"/>
                <w:szCs w:val="24"/>
                <w:color w:val="auto"/>
              </w:rPr>
            </w:pPr>
          </w:p>
        </w:tc>
        <w:tc>
          <w:tcPr>
            <w:tcW w:w="45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4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200,921</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199,912</w:t>
            </w: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Mortgage-Backed Securities:</w:t>
            </w:r>
          </w:p>
        </w:tc>
        <w:tc>
          <w:tcPr>
            <w:tcW w:w="4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4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1,159,266</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1,199,214</w:t>
            </w: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w w:val="90"/>
              </w:rPr>
              <w:t>Residential - U.S. Government-Sponsored Enterprises</w:t>
            </w:r>
          </w:p>
        </w:tc>
        <w:tc>
          <w:tcPr>
            <w:tcW w:w="4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635,161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661,173</w:t>
            </w:r>
          </w:p>
        </w:tc>
      </w:tr>
      <w:tr>
        <w:trPr>
          <w:trHeight w:val="237"/>
        </w:trPr>
        <w:tc>
          <w:tcPr>
            <w:tcW w:w="394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4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287,441</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292,362</w:t>
            </w:r>
          </w:p>
        </w:tc>
      </w:tr>
      <w:tr>
        <w:trPr>
          <w:trHeight w:val="33"/>
        </w:trPr>
        <w:tc>
          <w:tcPr>
            <w:tcW w:w="39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Mortgage-Backed Securities</w:t>
            </w:r>
          </w:p>
        </w:tc>
        <w:tc>
          <w:tcPr>
            <w:tcW w:w="45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2,081,868</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2,152,749</w:t>
            </w:r>
          </w:p>
        </w:tc>
      </w:tr>
      <w:tr>
        <w:trPr>
          <w:trHeight w:val="230"/>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4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2,613,203</w:t>
            </w:r>
          </w:p>
        </w:tc>
        <w:tc>
          <w:tcPr>
            <w:tcW w:w="4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2,681,049</w:t>
            </w:r>
          </w:p>
        </w:tc>
      </w:tr>
      <w:tr>
        <w:trPr>
          <w:trHeight w:val="73"/>
        </w:trPr>
        <w:tc>
          <w:tcPr>
            <w:tcW w:w="394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394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4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Due in One Year or Less</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234,892</w:t>
            </w: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237,171</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4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48,506</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49,459</w:t>
            </w:r>
          </w:p>
        </w:tc>
      </w:tr>
      <w:tr>
        <w:trPr>
          <w:trHeight w:val="33"/>
        </w:trPr>
        <w:tc>
          <w:tcPr>
            <w:tcW w:w="39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283,398</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286,630</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4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4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994,405</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1,033,047</w:t>
            </w:r>
          </w:p>
        </w:tc>
      </w:tr>
      <w:tr>
        <w:trPr>
          <w:trHeight w:val="237"/>
        </w:trPr>
        <w:tc>
          <w:tcPr>
            <w:tcW w:w="3940" w:type="dxa"/>
            <w:vAlign w:val="bottom"/>
          </w:tcPr>
          <w:p>
            <w:pPr>
              <w:ind w:left="440"/>
              <w:spacing w:after="0"/>
              <w:rPr>
                <w:sz w:val="20"/>
                <w:szCs w:val="20"/>
                <w:color w:val="auto"/>
              </w:rPr>
            </w:pPr>
            <w:r>
              <w:rPr>
                <w:rFonts w:ascii="Arial" w:cs="Arial" w:eastAsia="Arial" w:hAnsi="Arial"/>
                <w:sz w:val="16"/>
                <w:szCs w:val="16"/>
                <w:color w:val="auto"/>
                <w:w w:val="90"/>
              </w:rPr>
              <w:t>Residential - U.S. Government-Sponsored Enterprises</w:t>
            </w:r>
          </w:p>
        </w:tc>
        <w:tc>
          <w:tcPr>
            <w:tcW w:w="4520" w:type="dxa"/>
            <w:vAlign w:val="bottom"/>
          </w:tcPr>
          <w:p>
            <w:pPr>
              <w:spacing w:after="0"/>
              <w:rPr>
                <w:sz w:val="20"/>
                <w:szCs w:val="20"/>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1,648,144</w:t>
            </w:r>
          </w:p>
        </w:tc>
        <w:tc>
          <w:tcPr>
            <w:tcW w:w="4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1,705,698</w:t>
            </w:r>
          </w:p>
        </w:tc>
      </w:tr>
      <w:tr>
        <w:trPr>
          <w:trHeight w:val="33"/>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4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78,192</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78,645</w:t>
            </w:r>
          </w:p>
        </w:tc>
      </w:tr>
      <w:tr>
        <w:trPr>
          <w:trHeight w:val="230"/>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45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2,720,741</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2,817,390</w:t>
            </w:r>
          </w:p>
        </w:tc>
      </w:tr>
      <w:tr>
        <w:trPr>
          <w:trHeight w:val="33"/>
        </w:trPr>
        <w:tc>
          <w:tcPr>
            <w:tcW w:w="394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3,004,139</w:t>
            </w:r>
          </w:p>
        </w:tc>
        <w:tc>
          <w:tcPr>
            <w:tcW w:w="4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3,104,020</w:t>
            </w:r>
          </w:p>
        </w:tc>
      </w:tr>
      <w:tr>
        <w:trPr>
          <w:trHeight w:val="20"/>
        </w:trPr>
        <w:tc>
          <w:tcPr>
            <w:tcW w:w="3940" w:type="dxa"/>
            <w:vAlign w:val="bottom"/>
            <w:tcBorders>
              <w:top w:val="single" w:sz="8" w:color="auto"/>
              <w:bottom w:val="single" w:sz="8" w:color="auto"/>
            </w:tcBorders>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Investment securities with carrying values of $3.4 billion and $2.6 billion as of March 31, 2020, and December 31, 2019, respectively, were pledged to secure deposits of governmental entities, securities sold under agreements to repurchase, and FRB discount window borrowing.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gains and losses from the sales of investment securities for the three months ended March 31, 2020, and March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r>
      <w:tr>
        <w:trPr>
          <w:trHeight w:val="210"/>
        </w:trPr>
        <w:tc>
          <w:tcPr>
            <w:tcW w:w="8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r>
      <w:tr>
        <w:trPr>
          <w:trHeight w:val="33"/>
        </w:trPr>
        <w:tc>
          <w:tcPr>
            <w:tcW w:w="8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(1,047)</w:t>
            </w:r>
          </w:p>
        </w:tc>
        <w:tc>
          <w:tcPr>
            <w:tcW w:w="8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(2,865)</w:t>
            </w:r>
          </w:p>
        </w:tc>
      </w:tr>
      <w:tr>
        <w:trPr>
          <w:trHeight w:val="33"/>
        </w:trPr>
        <w:tc>
          <w:tcPr>
            <w:tcW w:w="8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(970)</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0"/>
        </w:trPr>
        <w:tc>
          <w:tcPr>
            <w:tcW w:w="8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losses on sales of investment securities during the three months ended March 31, 2020, and March 31, 2019, were due to fees paid to the counterparties of the Company’s prior Visa Class B share sale transactions, which are expensed as incurred. In addition, the gross losses on sales of investment securities during the three months ended March 31, 2019, included losses on sales of municipal debt securities and mortgage-backed securities as part of a portfolio repositioning.</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the Company’s AFS debt securities in an unrealized loss position for which an allowance for credit losses has not been recorded, aggregated by major security type and length of time in a continuous unrealized loss position: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March 31, 2020</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97,978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53,511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151,489</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57"/>
        </w:trPr>
        <w:tc>
          <w:tcPr>
            <w:tcW w:w="462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2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100,866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150,866</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(5,146)</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54,491</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65,155</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119,646</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2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10,994</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10,994</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51,105</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51,105</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105,596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76,149</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181,745</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253,574</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230,881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(5,121)</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484,455</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(8,832)</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Government Agencies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65,479</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101,761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167,240</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57"/>
        </w:trPr>
        <w:tc>
          <w:tcPr>
            <w:tcW w:w="462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20" w:type="dxa"/>
            <w:vAlign w:val="bottom"/>
          </w:tcPr>
          <w:p>
            <w:pPr>
              <w:ind w:left="220"/>
              <w:spacing w:after="0"/>
              <w:rPr>
                <w:sz w:val="20"/>
                <w:szCs w:val="20"/>
                <w:color w:val="auto"/>
              </w:rPr>
            </w:pPr>
            <w:r>
              <w:rPr>
                <w:rFonts w:ascii="Arial" w:cs="Arial" w:eastAsia="Arial" w:hAnsi="Arial"/>
                <w:sz w:val="14"/>
                <w:szCs w:val="14"/>
                <w:color w:val="auto"/>
              </w:rPr>
              <w:t>and Political Subdivisions</w:t>
            </w:r>
          </w:p>
        </w:tc>
        <w:tc>
          <w:tcPr>
            <w:tcW w:w="2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6,788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2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7,228</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25,892</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74,693</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100,585</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119,271</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170,805</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290,076</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20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187,861</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73,720</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261,581</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59,826</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52,965</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112,791</w:t>
            </w: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366,958</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297,490</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664,448</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465,117</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474,384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(7,587)</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939,501</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does not believe that the AFS debt securities that were in an unrealized loss position as of March 31, 2020, which were comprised of 97 individual securities, represent a credit loss impairment. The gross unrealized losses in our corporate bond portfolio were related to debt securities issued by large multinational banks. The unrealized losses primarily resulted from an increase in credit spreads due to the economic uncertainty related to COVID-19. However, as of March 31, 2020, such credit spreads have tightened significantly from their widest levels earlier in the quarter. In addition, such banks have built up substantial capital buffers since the financial crisis of 2008 which mitigates the likelihood of credit losses. As of March 31, 2020, there have been no payment defaults nor do we currently expect any future payment defaults. Furthermore, the Company does not intend to sell these securities, and it is not more likely than not that the Company will be required to sell the investment securities before recovery of their amortized cost basis, which may be at maturity.</w:t>
      </w:r>
    </w:p>
    <w:p>
      <w:pPr>
        <w:spacing w:after="0" w:line="19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remainder of the AFS debt securities in an unrealized loss position as of March 31,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6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Substantially all of the Company’s HTM debt securities are issued by U.S. government agencies or U.S. government-sponsored enterprises. These securities carry the explicit and/or implicit guarantee of the U.S. government, are widely recognized as “risk free,” and have a long history of zero credit loss. Therefore, the Company did not record an allowance for credit losses for these securities as of March 31, 2020.</w:t>
      </w:r>
    </w:p>
    <w:p>
      <w:pPr>
        <w:spacing w:after="0" w:line="16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also carries a limited portfolio of HTM municipal bonds. As of March 31, 2020, the entire portfolio consisted of State of Hawaii bonds carrying a Moody’s rating of Aa1, with a portion of these bonds escrowed to maturity. Utilizing the CECL approach, the Company determined that the expected credit loss on its municipal bond portfolio was de minimis, and therefore, an allowance for credit losses was not recorded as of March 31,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from taxable and non-taxable investment securities for the three months ended March 31, 2020, and March 31, 2019,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35,393</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570</w:t>
            </w:r>
          </w:p>
        </w:tc>
        <w:tc>
          <w:tcPr>
            <w:tcW w:w="8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3,361</w:t>
            </w:r>
          </w:p>
        </w:tc>
      </w:tr>
      <w:tr>
        <w:trPr>
          <w:trHeight w:val="33"/>
        </w:trPr>
        <w:tc>
          <w:tcPr>
            <w:tcW w:w="8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35,963</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35,353</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2020, and December 31, 2019,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13,000</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40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21,198</w:t>
            </w: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21,093</w:t>
            </w:r>
          </w:p>
        </w:tc>
      </w:tr>
      <w:tr>
        <w:trPr>
          <w:trHeight w:val="33"/>
        </w:trPr>
        <w:tc>
          <w:tcPr>
            <w:tcW w:w="52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36,198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34,093</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March 31, 2020, the conversion ratio was 1.6228.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80,214 Class B shares (130,171 Class A equivalents) that the Company owns as of March 31, 2020, are carried at a zero cost basis.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Loans and Leases and the Allowance for Credit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March 31, 2020, and December 31, 2019:</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2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1,558,232</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1,379,152</w:t>
            </w:r>
          </w:p>
        </w:tc>
      </w:tr>
      <w:tr>
        <w:trPr>
          <w:trHeight w:val="33"/>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2,616,243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2,518,051</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2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245,390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110,704</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122,454</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4,530,569</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5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2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3,928,183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3,891,100</w:t>
            </w:r>
          </w:p>
        </w:tc>
      </w:tr>
      <w:tr>
        <w:trPr>
          <w:trHeight w:val="33"/>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1,692,154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1,676,073</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2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716,214</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720,286</w:t>
            </w:r>
          </w:p>
        </w:tc>
      </w:tr>
      <w:tr>
        <w:trPr>
          <w:trHeight w:val="33"/>
        </w:trPr>
        <w:tc>
          <w:tcPr>
            <w:tcW w:w="51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485,660</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489,606</w:t>
            </w:r>
          </w:p>
        </w:tc>
      </w:tr>
      <w:tr>
        <w:trPr>
          <w:trHeight w:val="230"/>
        </w:trPr>
        <w:tc>
          <w:tcPr>
            <w:tcW w:w="51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6,822,211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6,777,065</w:t>
            </w:r>
          </w:p>
        </w:tc>
      </w:tr>
      <w:tr>
        <w:trPr>
          <w:trHeight w:val="33"/>
        </w:trPr>
        <w:tc>
          <w:tcPr>
            <w:tcW w:w="5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11,352,780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51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gains related to sales of residential mortgage loans, recorded as a component of mortgage banking income were $3.2 million and $0.5 million for the three months ended March 31, 2020, and March 31, 2019, respectively.</w:t>
      </w:r>
    </w:p>
    <w:p>
      <w:pPr>
        <w:spacing w:after="0" w:line="170"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 elected to exclude accrued interest receivable (“AIR”) from the amortized cost basis of loans disclosed throughout this footnote. As of March 31, 2020, and December 31, 2019, AIR for loans totaled $30.9 million and $30.7 million, respectively, and is included in the “accrued interest receivable” line item on the Company’s consolidated statements of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(the “Allowance”)</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As previously mentioned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Company’s January 1, 2020, adoption of ASU No. 2016-13,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resulted in a significant change to our methodology for estimating the Allowance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As a result of this adoption, the Company recorded a $1.7 million decrease to the Allowance as a cumulative-effect adjustment on January 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portfolio segment, the activity in the Allowance for the three months ended March 31, 2020, and March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Consumer</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Three Months Ended March 31, 2020</w:t>
            </w:r>
          </w:p>
        </w:tc>
        <w:tc>
          <w:tcPr>
            <w:tcW w:w="10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380"/>
              <w:spacing w:after="0"/>
              <w:rPr>
                <w:sz w:val="20"/>
                <w:szCs w:val="20"/>
                <w:color w:val="auto"/>
              </w:rPr>
            </w:pPr>
            <w:r>
              <w:rPr>
                <w:rFonts w:ascii="Arial" w:cs="Arial" w:eastAsia="Arial" w:hAnsi="Arial"/>
                <w:sz w:val="16"/>
                <w:szCs w:val="16"/>
                <w:b w:val="1"/>
                <w:bCs w:val="1"/>
                <w:color w:val="auto"/>
              </w:rPr>
              <w:t>Allowance for Credit Losses:</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Balance at Beginning of Period (December 31, 2019)</w:t>
            </w:r>
          </w:p>
        </w:tc>
        <w:tc>
          <w:tcPr>
            <w:tcW w:w="10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73,801</w:t>
            </w:r>
          </w:p>
        </w:tc>
        <w:tc>
          <w:tcPr>
            <w:tcW w:w="50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36,226</w:t>
            </w:r>
          </w:p>
        </w:tc>
        <w:tc>
          <w:tcPr>
            <w:tcW w:w="5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110,027</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CECL Adoption (Day 1) Impact</w:t>
            </w:r>
          </w:p>
        </w:tc>
        <w:tc>
          <w:tcPr>
            <w:tcW w:w="108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(18,789)</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17,052</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Balance at Beginning of Period (January 1, 2020)</w:t>
            </w:r>
          </w:p>
        </w:tc>
        <w:tc>
          <w:tcPr>
            <w:tcW w:w="10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55,012</w:t>
            </w:r>
          </w:p>
        </w:tc>
        <w:tc>
          <w:tcPr>
            <w:tcW w:w="5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53,278</w:t>
            </w:r>
          </w:p>
        </w:tc>
        <w:tc>
          <w:tcPr>
            <w:tcW w:w="5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108,290</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08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(693)</w:t>
            </w:r>
          </w:p>
        </w:tc>
        <w:tc>
          <w:tcPr>
            <w:tcW w:w="5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(6,484)</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(7,177)</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700" w:type="dxa"/>
            <w:vAlign w:val="bottom"/>
            <w:tcBorders>
              <w:bottom w:val="single" w:sz="8" w:color="BFE4FF"/>
            </w:tcBorders>
            <w:shd w:val="clear" w:color="auto" w:fill="BFE4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0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329</w:t>
            </w:r>
          </w:p>
        </w:tc>
        <w:tc>
          <w:tcPr>
            <w:tcW w:w="5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3,108</w:t>
            </w:r>
          </w:p>
        </w:tc>
        <w:tc>
          <w:tcPr>
            <w:tcW w:w="58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3,437</w:t>
            </w:r>
          </w:p>
        </w:tc>
      </w:tr>
      <w:tr>
        <w:trPr>
          <w:trHeight w:val="230"/>
        </w:trPr>
        <w:tc>
          <w:tcPr>
            <w:tcW w:w="570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0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(364)</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(3,376)</w:t>
            </w: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(3,740)</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700" w:type="dxa"/>
            <w:vAlign w:val="bottom"/>
            <w:tcBorders>
              <w:bottom w:val="single" w:sz="8" w:color="BFE4FF"/>
            </w:tcBorders>
            <w:shd w:val="clear" w:color="auto" w:fill="BFE4FF"/>
          </w:tcPr>
          <w:p>
            <w:pPr>
              <w:ind w:left="1140"/>
              <w:spacing w:after="0"/>
              <w:rPr>
                <w:sz w:val="20"/>
                <w:szCs w:val="20"/>
                <w:color w:val="auto"/>
              </w:rPr>
            </w:pPr>
            <w:r>
              <w:rPr>
                <w:rFonts w:ascii="Arial" w:cs="Arial" w:eastAsia="Arial" w:hAnsi="Arial"/>
                <w:sz w:val="16"/>
                <w:szCs w:val="16"/>
                <w:color w:val="auto"/>
              </w:rPr>
              <w:t>Provision for Credit Losses</w:t>
            </w:r>
          </w:p>
        </w:tc>
        <w:tc>
          <w:tcPr>
            <w:tcW w:w="108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13,339</w:t>
            </w:r>
          </w:p>
        </w:tc>
        <w:tc>
          <w:tcPr>
            <w:tcW w:w="5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20,261</w:t>
            </w:r>
          </w:p>
        </w:tc>
        <w:tc>
          <w:tcPr>
            <w:tcW w:w="58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33,600</w:t>
            </w:r>
          </w:p>
        </w:tc>
      </w:tr>
      <w:tr>
        <w:trPr>
          <w:trHeight w:val="231"/>
        </w:trPr>
        <w:tc>
          <w:tcPr>
            <w:tcW w:w="570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67,987</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70,163</w:t>
            </w:r>
          </w:p>
        </w:tc>
        <w:tc>
          <w:tcPr>
            <w:tcW w:w="5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138,150</w:t>
            </w:r>
          </w:p>
        </w:tc>
      </w:tr>
      <w:tr>
        <w:trPr>
          <w:trHeight w:val="73"/>
        </w:trPr>
        <w:tc>
          <w:tcPr>
            <w:tcW w:w="57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23"/>
        </w:trPr>
        <w:tc>
          <w:tcPr>
            <w:tcW w:w="5700" w:type="dxa"/>
            <w:vAlign w:val="bottom"/>
            <w:shd w:val="clear" w:color="auto" w:fill="BFE4FF"/>
          </w:tcPr>
          <w:p>
            <w:pPr>
              <w:spacing w:after="0"/>
              <w:rPr>
                <w:sz w:val="19"/>
                <w:szCs w:val="19"/>
                <w:color w:val="auto"/>
              </w:rPr>
            </w:pPr>
          </w:p>
        </w:tc>
        <w:tc>
          <w:tcPr>
            <w:tcW w:w="1080" w:type="dxa"/>
            <w:vAlign w:val="bottom"/>
            <w:shd w:val="clear" w:color="auto" w:fill="BFE4FF"/>
          </w:tcPr>
          <w:p>
            <w:pPr>
              <w:spacing w:after="0"/>
              <w:rPr>
                <w:sz w:val="19"/>
                <w:szCs w:val="19"/>
                <w:color w:val="auto"/>
              </w:rPr>
            </w:pPr>
          </w:p>
        </w:tc>
        <w:tc>
          <w:tcPr>
            <w:tcW w:w="128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580" w:type="dxa"/>
            <w:vAlign w:val="bottom"/>
            <w:shd w:val="clear" w:color="auto" w:fill="BFE4FF"/>
          </w:tcPr>
          <w:p>
            <w:pPr>
              <w:spacing w:after="0"/>
              <w:rPr>
                <w:sz w:val="19"/>
                <w:szCs w:val="19"/>
                <w:color w:val="auto"/>
              </w:rPr>
            </w:pPr>
          </w:p>
        </w:tc>
        <w:tc>
          <w:tcPr>
            <w:tcW w:w="940" w:type="dxa"/>
            <w:vAlign w:val="bottom"/>
            <w:shd w:val="clear" w:color="auto" w:fill="BFE4FF"/>
          </w:tcPr>
          <w:p>
            <w:pPr>
              <w:spacing w:after="0"/>
              <w:rPr>
                <w:sz w:val="19"/>
                <w:szCs w:val="19"/>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b w:val="1"/>
                <w:bCs w:val="1"/>
                <w:color w:val="auto"/>
              </w:rPr>
              <w:t>Allowance for Credit Losses:</w:t>
            </w:r>
          </w:p>
        </w:tc>
        <w:tc>
          <w:tcPr>
            <w:tcW w:w="10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r>
      <w:tr>
        <w:trPr>
          <w:trHeight w:val="237"/>
        </w:trPr>
        <w:tc>
          <w:tcPr>
            <w:tcW w:w="5700" w:type="dxa"/>
            <w:vAlign w:val="bottom"/>
          </w:tcPr>
          <w:p>
            <w:pPr>
              <w:ind w:left="820"/>
              <w:spacing w:after="0"/>
              <w:rPr>
                <w:sz w:val="20"/>
                <w:szCs w:val="20"/>
                <w:color w:val="auto"/>
              </w:rPr>
            </w:pPr>
            <w:r>
              <w:rPr>
                <w:rFonts w:ascii="Arial" w:cs="Arial" w:eastAsia="Arial" w:hAnsi="Arial"/>
                <w:sz w:val="16"/>
                <w:szCs w:val="16"/>
                <w:color w:val="auto"/>
              </w:rPr>
              <w:t>Balance at Beginning of Period</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66,874</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39,819</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106,693</w:t>
            </w:r>
          </w:p>
        </w:tc>
      </w:tr>
      <w:tr>
        <w:trPr>
          <w:trHeight w:val="33"/>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1140"/>
              <w:spacing w:after="0"/>
              <w:rPr>
                <w:sz w:val="20"/>
                <w:szCs w:val="20"/>
                <w:color w:val="auto"/>
              </w:rPr>
            </w:pPr>
            <w:r>
              <w:rPr>
                <w:rFonts w:ascii="Arial" w:cs="Arial" w:eastAsia="Arial" w:hAnsi="Arial"/>
                <w:sz w:val="16"/>
                <w:szCs w:val="16"/>
                <w:color w:val="auto"/>
              </w:rPr>
              <w:t>Loans and Leases Charged-Off</w:t>
            </w:r>
          </w:p>
        </w:tc>
        <w:tc>
          <w:tcPr>
            <w:tcW w:w="10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(1,986)</w:t>
            </w:r>
          </w:p>
        </w:tc>
        <w:tc>
          <w:tcPr>
            <w:tcW w:w="5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(4,842)</w:t>
            </w:r>
          </w:p>
        </w:tc>
        <w:tc>
          <w:tcPr>
            <w:tcW w:w="5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(6,828)</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0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501</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2,657</w:t>
            </w:r>
          </w:p>
        </w:tc>
        <w:tc>
          <w:tcPr>
            <w:tcW w:w="5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3,158</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BFE4FF"/>
            </w:tcBorders>
            <w:shd w:val="clear" w:color="auto" w:fill="BFE4FF"/>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08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(1,485)</w:t>
            </w:r>
          </w:p>
        </w:tc>
        <w:tc>
          <w:tcPr>
            <w:tcW w:w="5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(2,185)</w:t>
            </w:r>
          </w:p>
        </w:tc>
        <w:tc>
          <w:tcPr>
            <w:tcW w:w="5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(3,670)</w:t>
            </w:r>
          </w:p>
        </w:tc>
      </w:tr>
      <w:tr>
        <w:trPr>
          <w:trHeight w:val="237"/>
        </w:trPr>
        <w:tc>
          <w:tcPr>
            <w:tcW w:w="5700" w:type="dxa"/>
            <w:vAlign w:val="bottom"/>
          </w:tcPr>
          <w:p>
            <w:pPr>
              <w:ind w:left="1140"/>
              <w:spacing w:after="0"/>
              <w:rPr>
                <w:sz w:val="20"/>
                <w:szCs w:val="20"/>
                <w:color w:val="auto"/>
              </w:rPr>
            </w:pPr>
            <w:r>
              <w:rPr>
                <w:rFonts w:ascii="Arial" w:cs="Arial" w:eastAsia="Arial" w:hAnsi="Arial"/>
                <w:sz w:val="16"/>
                <w:szCs w:val="16"/>
                <w:color w:val="auto"/>
              </w:rPr>
              <w:t>Provision for Credit Losses</w:t>
            </w:r>
          </w:p>
        </w:tc>
        <w:tc>
          <w:tcPr>
            <w:tcW w:w="108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2,138</w:t>
            </w:r>
          </w:p>
        </w:tc>
        <w:tc>
          <w:tcPr>
            <w:tcW w:w="500" w:type="dxa"/>
            <w:vAlign w:val="bottom"/>
          </w:tcPr>
          <w:p>
            <w:pPr>
              <w:spacing w:after="0"/>
              <w:rPr>
                <w:sz w:val="20"/>
                <w:szCs w:val="20"/>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862</w:t>
            </w:r>
          </w:p>
        </w:tc>
        <w:tc>
          <w:tcPr>
            <w:tcW w:w="5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5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5700" w:type="dxa"/>
            <w:vAlign w:val="bottom"/>
            <w:tcBorders>
              <w:bottom w:val="single" w:sz="8" w:color="BFE4FF"/>
            </w:tcBorders>
            <w:shd w:val="clear" w:color="auto" w:fill="BFE4FF"/>
          </w:tcPr>
          <w:p>
            <w:pPr>
              <w:ind w:left="820"/>
              <w:spacing w:after="0"/>
              <w:rPr>
                <w:sz w:val="20"/>
                <w:szCs w:val="20"/>
                <w:color w:val="auto"/>
              </w:rPr>
            </w:pPr>
            <w:r>
              <w:rPr>
                <w:rFonts w:ascii="Arial" w:cs="Arial" w:eastAsia="Arial" w:hAnsi="Arial"/>
                <w:sz w:val="16"/>
                <w:szCs w:val="16"/>
                <w:color w:val="auto"/>
              </w:rPr>
              <w:t>Balance at End of Period</w:t>
            </w:r>
          </w:p>
        </w:tc>
        <w:tc>
          <w:tcPr>
            <w:tcW w:w="10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67,527</w:t>
            </w:r>
          </w:p>
        </w:tc>
        <w:tc>
          <w:tcPr>
            <w:tcW w:w="50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rPr>
              <w:t>38,496</w:t>
            </w:r>
          </w:p>
        </w:tc>
        <w:tc>
          <w:tcPr>
            <w:tcW w:w="5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106,023</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240"/>
          </w:cols>
          <w:pgMar w:left="320" w:top="130" w:right="33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31" w:lineRule="exact"/>
        <w:rPr>
          <w:sz w:val="20"/>
          <w:szCs w:val="20"/>
          <w:color w:val="auto"/>
        </w:rPr>
      </w:pPr>
    </w:p>
    <w:p>
      <w:pPr>
        <w:sectPr>
          <w:pgSz w:w="11900" w:h="16838" w:orient="portrait"/>
          <w:cols w:equalWidth="0" w:num="2">
            <w:col w:w="1240" w:space="720"/>
            <w:col w:w="9280"/>
          </w:cols>
          <w:pgMar w:left="320" w:top="130"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ind w:right="160"/>
        <w:spacing w:after="0" w:line="257" w:lineRule="auto"/>
        <w:rPr>
          <w:sz w:val="20"/>
          <w:szCs w:val="20"/>
          <w:color w:val="auto"/>
        </w:rPr>
      </w:pPr>
      <w:r>
        <w:rPr>
          <w:rFonts w:ascii="Arial" w:cs="Arial" w:eastAsia="Arial" w:hAnsi="Arial"/>
          <w:sz w:val="18"/>
          <w:szCs w:val="18"/>
          <w:color w:val="auto"/>
        </w:rPr>
        <w:t>Loans and leases in all classes within the commercial portfolio segment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 The Special Mention credit quality indicator is not used for the consumer portfolio segment.</w:t>
      </w:r>
    </w:p>
    <w:p>
      <w:pPr>
        <w:spacing w:after="0" w:line="188" w:lineRule="exact"/>
        <w:rPr>
          <w:sz w:val="20"/>
          <w:szCs w:val="20"/>
          <w:color w:val="auto"/>
        </w:rPr>
      </w:pPr>
    </w:p>
    <w:p>
      <w:pPr>
        <w:sectPr>
          <w:pgSz w:w="11900" w:h="16838" w:orient="portrait"/>
          <w:cols w:equalWidth="0" w:num="2">
            <w:col w:w="1720" w:space="240"/>
            <w:col w:w="9280"/>
          </w:cols>
          <w:pgMar w:left="320" w:top="130"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current loan-to-value ratio is 60% or less. Home equity loans that are past due 90 days or more as to principal or interest may be considered Pass if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280"/>
          </w:cols>
          <w:pgMar w:left="320" w:top="130"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For pass rated credits, risk ratings are certified at a minimum annually. For special mention or classified credits, risk ratings are reviewed for appropriateness on an ongoing basis monthly or at a minimum quarterly. The following presents by credit quality indicator, loan class, and year of origination, the amortized cost basis of the Company’s loans and leases as of March 31, 2020.</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6"/>
          <w:szCs w:val="16"/>
          <w:b w:val="1"/>
          <w:bCs w:val="1"/>
          <w:color w:val="auto"/>
        </w:rPr>
        <w:t>Term Loans by Origination 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YTD</w:t>
            </w: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Revolving</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Revolving</w:t>
            </w:r>
          </w:p>
        </w:tc>
        <w:tc>
          <w:tcPr>
            <w:tcW w:w="180" w:type="dxa"/>
            <w:vAlign w:val="bottom"/>
          </w:tcPr>
          <w:p>
            <w:pPr>
              <w:spacing w:after="0"/>
              <w:rPr>
                <w:sz w:val="12"/>
                <w:szCs w:val="12"/>
                <w:color w:val="auto"/>
              </w:rPr>
            </w:pPr>
          </w:p>
        </w:tc>
        <w:tc>
          <w:tcPr>
            <w:tcW w:w="9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Loans</w:t>
            </w:r>
          </w:p>
        </w:tc>
        <w:tc>
          <w:tcPr>
            <w:tcW w:w="220" w:type="dxa"/>
            <w:vAlign w:val="bottom"/>
          </w:tcPr>
          <w:p>
            <w:pPr>
              <w:spacing w:after="0"/>
              <w:rPr>
                <w:sz w:val="12"/>
                <w:szCs w:val="12"/>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Total Loans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2"/>
                <w:szCs w:val="12"/>
                <w:color w:val="auto"/>
              </w:rPr>
            </w:pPr>
          </w:p>
        </w:tc>
        <w:tc>
          <w:tcPr>
            <w:tcW w:w="8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Prior</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0"/>
              </w:rPr>
              <w:t>Converted to</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w w:val="96"/>
              </w:rPr>
              <w:t>(dollars in thousands)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Loans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8"/>
              </w:rPr>
              <w:t>Term Loans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and Leases</w:t>
            </w:r>
          </w:p>
        </w:tc>
        <w:tc>
          <w:tcPr>
            <w:tcW w:w="0" w:type="dxa"/>
            <w:vAlign w:val="bottom"/>
          </w:tcPr>
          <w:p>
            <w:pPr>
              <w:spacing w:after="0"/>
              <w:rPr>
                <w:sz w:val="1"/>
                <w:szCs w:val="1"/>
                <w:color w:val="auto"/>
              </w:rPr>
            </w:pPr>
          </w:p>
        </w:tc>
      </w:tr>
      <w:tr>
        <w:trPr>
          <w:trHeight w:val="270"/>
        </w:trPr>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March 31, 2020</w:t>
            </w: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5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w w:val="87"/>
              </w:rPr>
              <w:t>Commercial and Industrial</w:t>
            </w:r>
          </w:p>
        </w:tc>
        <w:tc>
          <w:tcPr>
            <w:tcW w:w="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160,663</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253,285</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212,901</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93,614</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87,982</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108,952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557,732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1,122</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1,476,251</w:t>
            </w: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Special Mention</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62</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508</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2,087</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19,345</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22,970</w:t>
            </w:r>
          </w:p>
        </w:tc>
        <w:tc>
          <w:tcPr>
            <w:tcW w:w="0" w:type="dxa"/>
            <w:vAlign w:val="bottom"/>
          </w:tcPr>
          <w:p>
            <w:pPr>
              <w:spacing w:after="0"/>
              <w:rPr>
                <w:sz w:val="1"/>
                <w:szCs w:val="1"/>
                <w:color w:val="auto"/>
              </w:rPr>
            </w:pPr>
          </w:p>
        </w:tc>
      </w:tr>
      <w:tr>
        <w:trPr>
          <w:trHeight w:val="263"/>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605</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22,117</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1,678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1,455</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440</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20,479</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12,069</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168</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59,011</w:t>
            </w: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Total Commercial</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and Industrial</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161,330</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275,910</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216,666</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95,769</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88,538</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129,583</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589,146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1,558,232</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20" w:type="dxa"/>
            <w:vAlign w:val="bottom"/>
            <w:gridSpan w:val="3"/>
          </w:tcPr>
          <w:p>
            <w:pPr>
              <w:ind w:left="180"/>
              <w:spacing w:after="0"/>
              <w:rPr>
                <w:sz w:val="20"/>
                <w:szCs w:val="20"/>
                <w:color w:val="auto"/>
              </w:rPr>
            </w:pPr>
            <w:r>
              <w:rPr>
                <w:rFonts w:ascii="Arial" w:cs="Arial" w:eastAsia="Arial" w:hAnsi="Arial"/>
                <w:sz w:val="13"/>
                <w:szCs w:val="13"/>
                <w:color w:val="auto"/>
              </w:rPr>
              <w:t>Commercial Mortgage</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Pass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209,933</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591,055</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396,239</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302,711</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329,045</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602,337</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81,036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2,512,356</w:t>
            </w: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Special Mention</w:t>
            </w:r>
          </w:p>
        </w:tc>
        <w:tc>
          <w:tcPr>
            <w:tcW w:w="260" w:type="dxa"/>
            <w:vAlign w:val="bottom"/>
          </w:tcPr>
          <w:p>
            <w:pPr>
              <w:spacing w:after="0"/>
              <w:rPr>
                <w:sz w:val="22"/>
                <w:szCs w:val="22"/>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3,961</w:t>
            </w:r>
          </w:p>
        </w:tc>
        <w:tc>
          <w:tcPr>
            <w:tcW w:w="360" w:type="dxa"/>
            <w:vAlign w:val="bottom"/>
          </w:tcPr>
          <w:p>
            <w:pPr>
              <w:spacing w:after="0"/>
              <w:rPr>
                <w:sz w:val="22"/>
                <w:szCs w:val="22"/>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820</w:t>
            </w:r>
          </w:p>
        </w:tc>
        <w:tc>
          <w:tcPr>
            <w:tcW w:w="3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19,919</w:t>
            </w:r>
          </w:p>
        </w:tc>
        <w:tc>
          <w:tcPr>
            <w:tcW w:w="3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13,176</w:t>
            </w:r>
          </w:p>
        </w:tc>
        <w:tc>
          <w:tcPr>
            <w:tcW w:w="34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7,359</w:t>
            </w:r>
          </w:p>
        </w:tc>
        <w:tc>
          <w:tcPr>
            <w:tcW w:w="3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7,884</w:t>
            </w:r>
          </w:p>
        </w:tc>
        <w:tc>
          <w:tcPr>
            <w:tcW w:w="280" w:type="dxa"/>
            <w:vAlign w:val="bottom"/>
          </w:tcPr>
          <w:p>
            <w:pPr>
              <w:spacing w:after="0"/>
              <w:rPr>
                <w:sz w:val="22"/>
                <w:szCs w:val="22"/>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53,119</w:t>
            </w:r>
          </w:p>
        </w:tc>
        <w:tc>
          <w:tcPr>
            <w:tcW w:w="0" w:type="dxa"/>
            <w:vAlign w:val="bottom"/>
          </w:tcPr>
          <w:p>
            <w:pPr>
              <w:spacing w:after="0"/>
              <w:rPr>
                <w:sz w:val="1"/>
                <w:szCs w:val="1"/>
                <w:color w:val="auto"/>
              </w:rPr>
            </w:pPr>
          </w:p>
        </w:tc>
      </w:tr>
      <w:tr>
        <w:trPr>
          <w:trHeight w:val="271"/>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11,464</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5,413</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8,453</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1,405</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704</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23,329</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50,768</w:t>
            </w:r>
          </w:p>
        </w:tc>
        <w:tc>
          <w:tcPr>
            <w:tcW w:w="0" w:type="dxa"/>
            <w:vAlign w:val="bottom"/>
          </w:tcPr>
          <w:p>
            <w:pPr>
              <w:spacing w:after="0"/>
              <w:rPr>
                <w:sz w:val="1"/>
                <w:szCs w:val="1"/>
                <w:color w:val="auto"/>
              </w:rPr>
            </w:pPr>
          </w:p>
        </w:tc>
      </w:tr>
      <w:tr>
        <w:trPr>
          <w:trHeight w:val="148"/>
        </w:trPr>
        <w:tc>
          <w:tcPr>
            <w:tcW w:w="126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Total Commercial</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Mortgage</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225,358</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597,288</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424,611</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317,292</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337,108</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633,550</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81,036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2,616,243</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54,220</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81,985</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45,600</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20,336</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1,936</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40,152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244,229</w:t>
            </w:r>
          </w:p>
        </w:tc>
        <w:tc>
          <w:tcPr>
            <w:tcW w:w="0" w:type="dxa"/>
            <w:vAlign w:val="bottom"/>
          </w:tcPr>
          <w:p>
            <w:pPr>
              <w:spacing w:after="0"/>
              <w:rPr>
                <w:sz w:val="1"/>
                <w:szCs w:val="1"/>
                <w:color w:val="auto"/>
              </w:rPr>
            </w:pPr>
          </w:p>
        </w:tc>
      </w:tr>
      <w:tr>
        <w:trPr>
          <w:trHeight w:val="272"/>
        </w:trPr>
        <w:tc>
          <w:tcPr>
            <w:tcW w:w="12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1,161</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304"/>
        </w:trPr>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Total Construction</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54,220</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81,985</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45,600</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20,336</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3,097</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40,152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245,390</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Lease Financing</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280"/>
              <w:spacing w:after="0"/>
              <w:rPr>
                <w:sz w:val="20"/>
                <w:szCs w:val="20"/>
                <w:color w:val="auto"/>
              </w:rPr>
            </w:pPr>
            <w:r>
              <w:rPr>
                <w:rFonts w:ascii="Arial" w:cs="Arial" w:eastAsia="Arial" w:hAnsi="Arial"/>
                <w:sz w:val="13"/>
                <w:szCs w:val="13"/>
                <w:color w:val="auto"/>
              </w:rPr>
              <w:t>Pass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2,785</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23,324</w:t>
            </w:r>
          </w:p>
        </w:tc>
        <w:tc>
          <w:tcPr>
            <w:tcW w:w="3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16,762</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5,767</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12,007</w:t>
            </w:r>
          </w:p>
        </w:tc>
        <w:tc>
          <w:tcPr>
            <w:tcW w:w="3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48,527</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109,172</w:t>
            </w: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Special Mention</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38</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80</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1,206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1,496</w:t>
            </w: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Total Lease</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Financing</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2,823</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23,404</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17,968</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5,828</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12,154</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48,527</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110,704</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Total Commercial</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443,731</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978,587</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704,845</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439,225</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437,800</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814,757</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710,334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4,530,569</w:t>
            </w:r>
          </w:p>
        </w:tc>
        <w:tc>
          <w:tcPr>
            <w:tcW w:w="0" w:type="dxa"/>
            <w:vAlign w:val="bottom"/>
          </w:tcPr>
          <w:p>
            <w:pPr>
              <w:spacing w:after="0"/>
              <w:rPr>
                <w:sz w:val="1"/>
                <w:szCs w:val="1"/>
                <w:color w:val="auto"/>
              </w:rPr>
            </w:pPr>
          </w:p>
        </w:tc>
      </w:tr>
      <w:tr>
        <w:trPr>
          <w:trHeight w:val="257"/>
        </w:trPr>
        <w:tc>
          <w:tcPr>
            <w:tcW w:w="1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60" w:type="dxa"/>
            <w:vAlign w:val="bottom"/>
            <w:gridSpan w:val="2"/>
          </w:tcPr>
          <w:p>
            <w:pPr>
              <w:ind w:left="180"/>
              <w:spacing w:after="0"/>
              <w:rPr>
                <w:sz w:val="20"/>
                <w:szCs w:val="20"/>
                <w:color w:val="auto"/>
              </w:rPr>
            </w:pPr>
            <w:r>
              <w:rPr>
                <w:rFonts w:ascii="Arial" w:cs="Arial" w:eastAsia="Arial" w:hAnsi="Arial"/>
                <w:sz w:val="13"/>
                <w:szCs w:val="13"/>
                <w:color w:val="auto"/>
                <w:w w:val="86"/>
              </w:rPr>
              <w:t>Residential Mortgage</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Pass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212,313</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704,271</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445,511</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625,159</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678,049</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1,258,545</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3,923,848</w:t>
            </w:r>
          </w:p>
        </w:tc>
        <w:tc>
          <w:tcPr>
            <w:tcW w:w="0" w:type="dxa"/>
            <w:vAlign w:val="bottom"/>
          </w:tcPr>
          <w:p>
            <w:pPr>
              <w:spacing w:after="0"/>
              <w:rPr>
                <w:sz w:val="1"/>
                <w:szCs w:val="1"/>
                <w:color w:val="auto"/>
              </w:rPr>
            </w:pPr>
          </w:p>
        </w:tc>
      </w:tr>
      <w:tr>
        <w:trPr>
          <w:trHeight w:val="263"/>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932</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3,403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4,335</w:t>
            </w:r>
          </w:p>
        </w:tc>
        <w:tc>
          <w:tcPr>
            <w:tcW w:w="0" w:type="dxa"/>
            <w:vAlign w:val="bottom"/>
          </w:tcPr>
          <w:p>
            <w:pPr>
              <w:spacing w:after="0"/>
              <w:rPr>
                <w:sz w:val="1"/>
                <w:szCs w:val="1"/>
                <w:color w:val="auto"/>
              </w:rPr>
            </w:pPr>
          </w:p>
        </w:tc>
      </w:tr>
      <w:tr>
        <w:trPr>
          <w:trHeight w:val="148"/>
        </w:trPr>
        <w:tc>
          <w:tcPr>
            <w:tcW w:w="1260" w:type="dxa"/>
            <w:vAlign w:val="bottom"/>
            <w:gridSpan w:val="2"/>
            <w:shd w:val="clear" w:color="auto" w:fill="CCEEFF"/>
          </w:tcPr>
          <w:p>
            <w:pPr>
              <w:ind w:left="180"/>
              <w:spacing w:after="0" w:line="148" w:lineRule="exact"/>
              <w:rPr>
                <w:sz w:val="20"/>
                <w:szCs w:val="20"/>
                <w:color w:val="auto"/>
              </w:rPr>
            </w:pPr>
            <w:r>
              <w:rPr>
                <w:rFonts w:ascii="Arial" w:cs="Arial" w:eastAsia="Arial" w:hAnsi="Arial"/>
                <w:sz w:val="13"/>
                <w:szCs w:val="13"/>
                <w:color w:val="auto"/>
              </w:rPr>
              <w:t>Total Residential</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Mortgage</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212,313</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704,271</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445,511</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626,091</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678,049</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1,261,948</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3,928,183</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60" w:type="dxa"/>
            <w:vAlign w:val="bottom"/>
            <w:gridSpan w:val="2"/>
          </w:tcPr>
          <w:p>
            <w:pPr>
              <w:ind w:left="180"/>
              <w:spacing w:after="0"/>
              <w:rPr>
                <w:sz w:val="20"/>
                <w:szCs w:val="20"/>
                <w:color w:val="auto"/>
              </w:rPr>
            </w:pPr>
            <w:r>
              <w:rPr>
                <w:rFonts w:ascii="Arial" w:cs="Arial" w:eastAsia="Arial" w:hAnsi="Arial"/>
                <w:sz w:val="13"/>
                <w:szCs w:val="13"/>
                <w:color w:val="auto"/>
              </w:rPr>
              <w:t>Home Equity</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Pass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6,245</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1,637,082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43,589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1,686,916</w:t>
            </w:r>
          </w:p>
        </w:tc>
        <w:tc>
          <w:tcPr>
            <w:tcW w:w="0" w:type="dxa"/>
            <w:vAlign w:val="bottom"/>
          </w:tcPr>
          <w:p>
            <w:pPr>
              <w:spacing w:after="0"/>
              <w:rPr>
                <w:sz w:val="1"/>
                <w:szCs w:val="1"/>
                <w:color w:val="auto"/>
              </w:rPr>
            </w:pPr>
          </w:p>
        </w:tc>
      </w:tr>
      <w:tr>
        <w:trPr>
          <w:trHeight w:val="263"/>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3,973</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1,162</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5,238</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w w:val="99"/>
              </w:rPr>
              <w:t>Total Home Equity</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6,348</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1,641,055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44,751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1,692,154</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60" w:type="dxa"/>
            <w:vAlign w:val="bottom"/>
            <w:gridSpan w:val="2"/>
          </w:tcPr>
          <w:p>
            <w:pPr>
              <w:ind w:left="180"/>
              <w:spacing w:after="0"/>
              <w:rPr>
                <w:sz w:val="20"/>
                <w:szCs w:val="20"/>
                <w:color w:val="auto"/>
              </w:rPr>
            </w:pPr>
            <w:r>
              <w:rPr>
                <w:rFonts w:ascii="Arial" w:cs="Arial" w:eastAsia="Arial" w:hAnsi="Arial"/>
                <w:sz w:val="13"/>
                <w:szCs w:val="13"/>
                <w:color w:val="auto"/>
              </w:rPr>
              <w:t>Automobile</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Pass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63,914</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265,516</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208,273</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98,987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51,746</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26,912</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715,348</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182</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257</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Automobile</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63,914</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265,698</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208,439</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99,244</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51,925</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26,994</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716,214</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60" w:type="dxa"/>
            <w:vAlign w:val="bottom"/>
            <w:gridSpan w:val="2"/>
          </w:tcPr>
          <w:p>
            <w:pPr>
              <w:ind w:left="180"/>
              <w:spacing w:after="0"/>
              <w:rPr>
                <w:sz w:val="20"/>
                <w:szCs w:val="20"/>
                <w:color w:val="auto"/>
              </w:rPr>
            </w:pPr>
            <w:r>
              <w:rPr>
                <w:rFonts w:ascii="Arial" w:cs="Arial" w:eastAsia="Arial" w:hAnsi="Arial"/>
                <w:sz w:val="13"/>
                <w:szCs w:val="13"/>
                <w:color w:val="auto"/>
              </w:rPr>
              <w:t>Other</w:t>
            </w:r>
            <w:r>
              <w:rPr>
                <w:rFonts w:ascii="Arial" w:cs="Arial" w:eastAsia="Arial" w:hAnsi="Arial"/>
                <w:sz w:val="8"/>
                <w:szCs w:val="8"/>
                <w:color w:val="auto"/>
              </w:rPr>
              <w:t>1</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Pass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45,414</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181,911</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123,803</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68,751</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17,783</w:t>
            </w:r>
          </w:p>
        </w:tc>
        <w:tc>
          <w:tcPr>
            <w:tcW w:w="3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6,098</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39,053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1,643</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484,456</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color w:val="auto"/>
              </w:rPr>
              <w:t>Classified</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326</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302</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79</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8</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1,204</w:t>
            </w: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Other</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45,414</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182,237</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124,129</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69,053</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17,902</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6,142</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39,132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485,660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Total Consumer</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321,641</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1,152,206</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778,079</w:t>
            </w:r>
          </w:p>
        </w:tc>
        <w:tc>
          <w:tcPr>
            <w:tcW w:w="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794,388</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747,876</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1,301,432</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1,680,187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46,402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6,822,211</w:t>
            </w:r>
          </w:p>
        </w:tc>
        <w:tc>
          <w:tcPr>
            <w:tcW w:w="0" w:type="dxa"/>
            <w:vAlign w:val="bottom"/>
          </w:tcPr>
          <w:p>
            <w:pPr>
              <w:spacing w:after="0"/>
              <w:rPr>
                <w:sz w:val="1"/>
                <w:szCs w:val="1"/>
                <w:color w:val="auto"/>
              </w:rPr>
            </w:pPr>
          </w:p>
        </w:tc>
      </w:tr>
      <w:tr>
        <w:trPr>
          <w:trHeight w:val="250"/>
        </w:trPr>
        <w:tc>
          <w:tcPr>
            <w:tcW w:w="152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3"/>
                <w:szCs w:val="13"/>
                <w:color w:val="auto"/>
                <w:w w:val="97"/>
              </w:rPr>
              <w:t>Total Loans and Leases $</w:t>
            </w: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765,372</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2,130,793</w:t>
            </w:r>
          </w:p>
        </w:tc>
        <w:tc>
          <w:tcPr>
            <w:tcW w:w="3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1,482,924</w:t>
            </w:r>
          </w:p>
        </w:tc>
        <w:tc>
          <w:tcPr>
            <w:tcW w:w="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1,233,613</w:t>
            </w:r>
          </w:p>
        </w:tc>
        <w:tc>
          <w:tcPr>
            <w:tcW w:w="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1,185,676</w:t>
            </w:r>
          </w:p>
        </w:tc>
        <w:tc>
          <w:tcPr>
            <w:tcW w:w="3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2,116,189</w:t>
            </w:r>
          </w:p>
        </w:tc>
        <w:tc>
          <w:tcPr>
            <w:tcW w:w="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2,390,521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47,692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11,352,780</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$0.6 million revolving loans were converted to term loans.</w:t>
      </w:r>
    </w:p>
    <w:p>
      <w:pPr>
        <w:sectPr>
          <w:pgSz w:w="11900" w:h="16838" w:orient="portrait"/>
          <w:cols w:equalWidth="0" w:num="1">
            <w:col w:w="11240"/>
          </w:cols>
          <w:pgMar w:left="320" w:top="130" w:right="339" w:bottom="763"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30" w:right="339" w:bottom="763"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loan class and credit quality indicator, the recorded investment in the Company’s loans and leases as of December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2"/>
              </w:rPr>
              <w:t>December 31, 2019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Lease</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Financing</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1,306,040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2,463,858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188,832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120,933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4,079,663</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4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37,722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16,453</w:t>
            </w:r>
          </w:p>
        </w:tc>
        <w:tc>
          <w:tcPr>
            <w:tcW w:w="5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4,148</w:t>
            </w:r>
          </w:p>
        </w:tc>
        <w:tc>
          <w:tcPr>
            <w:tcW w:w="30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58,323</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35,390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37,740</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1,190</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1,521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75,841</w:t>
            </w:r>
          </w:p>
        </w:tc>
      </w:tr>
      <w:tr>
        <w:trPr>
          <w:trHeight w:val="231"/>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1,379,152</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2,518,051</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194,170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122,454</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73"/>
        </w:trPr>
        <w:tc>
          <w:tcPr>
            <w:tcW w:w="40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3,886,389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1,671,468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719,337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488,113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6,765,307</w:t>
            </w:r>
          </w:p>
        </w:tc>
      </w:tr>
      <w:tr>
        <w:trPr>
          <w:trHeight w:val="237"/>
        </w:trPr>
        <w:tc>
          <w:tcPr>
            <w:tcW w:w="406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4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4,711</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4,605</w:t>
            </w:r>
          </w:p>
        </w:tc>
        <w:tc>
          <w:tcPr>
            <w:tcW w:w="52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949</w:t>
            </w:r>
          </w:p>
        </w:tc>
        <w:tc>
          <w:tcPr>
            <w:tcW w:w="30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1,493</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11,758</w:t>
            </w:r>
          </w:p>
        </w:tc>
      </w:tr>
      <w:tr>
        <w:trPr>
          <w:trHeight w:val="33"/>
        </w:trPr>
        <w:tc>
          <w:tcPr>
            <w:tcW w:w="4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3,891,100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1,676,073</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720,286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489,606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6,777,065</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06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10,990,892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March 31, 2020, and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30-59</w:t>
            </w:r>
          </w:p>
        </w:tc>
        <w:tc>
          <w:tcPr>
            <w:tcW w:w="28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60-89</w:t>
            </w:r>
          </w:p>
        </w:tc>
        <w:tc>
          <w:tcPr>
            <w:tcW w:w="28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2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2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Loans and</w:t>
            </w:r>
          </w:p>
        </w:tc>
        <w:tc>
          <w:tcPr>
            <w:tcW w:w="280" w:type="dxa"/>
            <w:vAlign w:val="bottom"/>
          </w:tcPr>
          <w:p>
            <w:pPr>
              <w:spacing w:after="0"/>
              <w:rPr>
                <w:sz w:val="12"/>
                <w:szCs w:val="12"/>
                <w:color w:val="auto"/>
              </w:rPr>
            </w:pP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Leases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69"/>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March 31, 2020</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3,596</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1,553,747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1,558,232</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4,637</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9,048</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13,685</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2,602,558</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2,616,243</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244,670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245,390</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110,681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110,704</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8,976</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9,682</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18,913</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4,511,656</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4,530,569</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9,477</w:t>
            </w:r>
          </w:p>
        </w:tc>
        <w:tc>
          <w:tcPr>
            <w:tcW w:w="0" w:type="dxa"/>
            <w:vAlign w:val="bottom"/>
          </w:tcPr>
          <w:p>
            <w:pPr>
              <w:spacing w:after="0"/>
              <w:rPr>
                <w:sz w:val="1"/>
                <w:szCs w:val="1"/>
                <w:color w:val="auto"/>
              </w:rPr>
            </w:pPr>
          </w:p>
        </w:tc>
      </w:tr>
      <w:tr>
        <w:trPr>
          <w:trHeight w:val="264"/>
        </w:trPr>
        <w:tc>
          <w:tcPr>
            <w:tcW w:w="2000" w:type="dxa"/>
            <w:vAlign w:val="bottom"/>
          </w:tcPr>
          <w:p>
            <w:pPr>
              <w:ind w:left="40"/>
              <w:spacing w:after="0"/>
              <w:rPr>
                <w:sz w:val="20"/>
                <w:szCs w:val="20"/>
                <w:color w:val="auto"/>
              </w:rPr>
            </w:pPr>
            <w:r>
              <w:rPr>
                <w:rFonts w:ascii="Arial" w:cs="Arial" w:eastAsia="Arial" w:hAnsi="Arial"/>
                <w:sz w:val="14"/>
                <w:szCs w:val="14"/>
                <w:color w:val="auto"/>
              </w:rPr>
              <w:t>Consumer</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2,342</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3,024</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4,330</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13,631</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3,914,552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3,928,183</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4,367</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2,819</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3,426</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4,086</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14,698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1,677,456</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1,692,154</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14,590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4,096</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19,552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696,662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716,214</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3,648</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1,905</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1,205</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478,902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485,660</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26,540</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11,162</w:t>
            </w:r>
          </w:p>
        </w:tc>
        <w:tc>
          <w:tcPr>
            <w:tcW w:w="2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8,521</w:t>
            </w: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8,416</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54,639</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6,767,572</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6,822,211</w:t>
            </w: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304"/>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35,516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8,521</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18,098</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73,552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11,279,228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11,352,780</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11,420</w:t>
            </w:r>
          </w:p>
        </w:tc>
        <w:tc>
          <w:tcPr>
            <w:tcW w:w="0" w:type="dxa"/>
            <w:vAlign w:val="bottom"/>
          </w:tcPr>
          <w:p>
            <w:pPr>
              <w:spacing w:after="0"/>
              <w:rPr>
                <w:sz w:val="1"/>
                <w:szCs w:val="1"/>
                <w:color w:val="auto"/>
              </w:rPr>
            </w:pPr>
          </w:p>
        </w:tc>
      </w:tr>
      <w:tr>
        <w:trPr>
          <w:trHeight w:val="256"/>
        </w:trPr>
        <w:tc>
          <w:tcPr>
            <w:tcW w:w="2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12,534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13,512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1,365,640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1,379,152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2,998</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9,244</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2,505,809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2,518,051</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194,018</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194,170</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121,734</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122,454</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16,353</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10,074</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26,626</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4,187,201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4,213,827</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270"/>
        </w:trPr>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6,097</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2,070</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1,839</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4,125</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14,131</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3,876,969</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3,891,100</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276"/>
        </w:trPr>
        <w:tc>
          <w:tcPr>
            <w:tcW w:w="2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3,949</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4,125</w:t>
            </w: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3,181</w:t>
            </w: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1,662,538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1,676,073</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64"/>
        </w:trPr>
        <w:tc>
          <w:tcPr>
            <w:tcW w:w="200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16,067</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4,154</w:t>
            </w:r>
          </w:p>
        </w:tc>
        <w:tc>
          <w:tcPr>
            <w:tcW w:w="2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3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21,170</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699,116</w:t>
            </w:r>
          </w:p>
        </w:tc>
        <w:tc>
          <w:tcPr>
            <w:tcW w:w="32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720,286</w:t>
            </w:r>
          </w:p>
        </w:tc>
        <w:tc>
          <w:tcPr>
            <w:tcW w:w="2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3,498</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2,074</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1,493</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7,065</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482,541</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489,606</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29,611</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10,578</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8,406</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7,306</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55,901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6,721,164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6,777,065</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64"/>
        </w:trPr>
        <w:tc>
          <w:tcPr>
            <w:tcW w:w="2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45,964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10,777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8,406</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17,380</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82,527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10,908,365</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10,990,892</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11,506</w:t>
            </w: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non-accrual loans and leases as of March 31, 2020, and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March 31, 2020</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4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Nonaccrual loans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Nonaccrual loans</w:t>
            </w:r>
          </w:p>
        </w:tc>
        <w:tc>
          <w:tcPr>
            <w:tcW w:w="30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without a related</w:t>
            </w:r>
          </w:p>
        </w:tc>
        <w:tc>
          <w:tcPr>
            <w:tcW w:w="280" w:type="dxa"/>
            <w:vAlign w:val="bottom"/>
          </w:tcPr>
          <w:p>
            <w:pPr>
              <w:spacing w:after="0"/>
              <w:rPr>
                <w:sz w:val="17"/>
                <w:szCs w:val="17"/>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Total Nonaccrual</w:t>
            </w:r>
          </w:p>
        </w:tc>
        <w:tc>
          <w:tcPr>
            <w:tcW w:w="12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Total Nonaccrual</w:t>
            </w:r>
          </w:p>
        </w:tc>
      </w:tr>
      <w:tr>
        <w:trPr>
          <w:trHeight w:val="237"/>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with a related ACL</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ACL</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loans</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loans</w:t>
            </w:r>
          </w:p>
        </w:tc>
      </w:tr>
      <w:tr>
        <w:trPr>
          <w:trHeight w:val="250"/>
        </w:trPr>
        <w:tc>
          <w:tcPr>
            <w:tcW w:w="4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w:t>
            </w:r>
          </w:p>
        </w:tc>
        <w:tc>
          <w:tcPr>
            <w:tcW w:w="12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634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830</w:t>
            </w:r>
          </w:p>
        </w:tc>
      </w:tr>
      <w:tr>
        <w:trPr>
          <w:trHeight w:val="33"/>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Commercial Mortgage</w:t>
            </w:r>
          </w:p>
        </w:tc>
        <w:tc>
          <w:tcPr>
            <w:tcW w:w="12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3,543</w:t>
            </w:r>
          </w:p>
        </w:tc>
        <w:tc>
          <w:tcPr>
            <w:tcW w:w="30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5,505</w:t>
            </w:r>
          </w:p>
        </w:tc>
        <w:tc>
          <w:tcPr>
            <w:tcW w:w="28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9,048</w:t>
            </w:r>
          </w:p>
        </w:tc>
        <w:tc>
          <w:tcPr>
            <w:tcW w:w="2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9,244</w:t>
            </w:r>
          </w:p>
        </w:tc>
      </w:tr>
      <w:tr>
        <w:trPr>
          <w:trHeight w:val="231"/>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4,177</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5,505</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9,682</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10,074</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BFE4FF"/>
            </w:tcBorders>
            <w:shd w:val="clear" w:color="auto" w:fill="BFE4FF"/>
          </w:tcPr>
          <w:p>
            <w:pPr>
              <w:spacing w:after="0"/>
              <w:rPr>
                <w:sz w:val="21"/>
                <w:szCs w:val="21"/>
                <w:color w:val="auto"/>
              </w:rPr>
            </w:pPr>
          </w:p>
        </w:tc>
        <w:tc>
          <w:tcPr>
            <w:tcW w:w="14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20"/>
                <w:szCs w:val="20"/>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3,399</w:t>
            </w:r>
          </w:p>
        </w:tc>
        <w:tc>
          <w:tcPr>
            <w:tcW w:w="3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931</w:t>
            </w:r>
          </w:p>
        </w:tc>
        <w:tc>
          <w:tcPr>
            <w:tcW w:w="2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4,125</w:t>
            </w:r>
          </w:p>
        </w:tc>
      </w:tr>
      <w:tr>
        <w:trPr>
          <w:trHeight w:val="33"/>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47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Home Equity</w:t>
            </w:r>
          </w:p>
        </w:tc>
        <w:tc>
          <w:tcPr>
            <w:tcW w:w="120" w:type="dxa"/>
            <w:vAlign w:val="bottom"/>
            <w:tcBorders>
              <w:bottom w:val="single" w:sz="8" w:color="BFE4FF"/>
            </w:tcBorders>
            <w:shd w:val="clear" w:color="auto" w:fill="BFE4FF"/>
          </w:tcPr>
          <w:p>
            <w:pPr>
              <w:spacing w:after="0"/>
              <w:rPr>
                <w:sz w:val="23"/>
                <w:szCs w:val="23"/>
                <w:color w:val="auto"/>
              </w:rPr>
            </w:pPr>
          </w:p>
        </w:tc>
        <w:tc>
          <w:tcPr>
            <w:tcW w:w="14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4,086</w:t>
            </w:r>
          </w:p>
        </w:tc>
        <w:tc>
          <w:tcPr>
            <w:tcW w:w="30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4,086</w:t>
            </w:r>
          </w:p>
        </w:tc>
        <w:tc>
          <w:tcPr>
            <w:tcW w:w="22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3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3,181</w:t>
            </w:r>
          </w:p>
        </w:tc>
      </w:tr>
      <w:tr>
        <w:trPr>
          <w:trHeight w:val="231"/>
        </w:trPr>
        <w:tc>
          <w:tcPr>
            <w:tcW w:w="4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Consumer</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7,485</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931</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8,416</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7,306</w:t>
            </w: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4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b w:val="1"/>
                <w:bCs w:val="1"/>
                <w:color w:val="auto"/>
              </w:rPr>
              <w:t>11,662</w:t>
            </w:r>
          </w:p>
        </w:tc>
        <w:tc>
          <w:tcPr>
            <w:tcW w:w="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6,436</w:t>
            </w:r>
          </w:p>
        </w:tc>
        <w:tc>
          <w:tcPr>
            <w:tcW w:w="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18,098</w:t>
            </w:r>
          </w:p>
        </w:tc>
        <w:tc>
          <w:tcPr>
            <w:tcW w:w="2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17,380</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payments received while on non-accrual status are applied against the principal balance of the loan or lease. The Company does not recognize interest income while loans or leases are on non-accrual status.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modification of a loan constitutes a TDR when the Company, for economic or legal reasons related to a borrower’s financial difficulties, grants a concession to the borrower that it would not otherwise consider. Loans modified in a TDR were $67.1 million as of March 31, 2020, and $69.1 million as of December 31, 2019. There were $0.2 million and $0.3 million commitments to lend additional funds on loans modified in a TDR as of March 31, 2020, and December 31, 2019, respectively.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fully amortizing the loan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by class, information related to loans modified in a TDR during the three months ended March 31, 2020, and March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80" w:type="dxa"/>
            <w:vAlign w:val="bottom"/>
            <w:gridSpan w:val="5"/>
          </w:tcPr>
          <w:p>
            <w:pPr>
              <w:jc w:val="center"/>
              <w:ind w:right="1020"/>
              <w:spacing w:after="0"/>
              <w:rPr>
                <w:sz w:val="20"/>
                <w:szCs w:val="20"/>
                <w:color w:val="auto"/>
              </w:rPr>
            </w:pPr>
            <w:r>
              <w:rPr>
                <w:rFonts w:ascii="Arial" w:cs="Arial" w:eastAsia="Arial" w:hAnsi="Arial"/>
                <w:sz w:val="16"/>
                <w:szCs w:val="16"/>
                <w:b w:val="1"/>
                <w:bCs w:val="1"/>
                <w:color w:val="auto"/>
                <w:w w:val="93"/>
              </w:rPr>
              <w:t>Loans Modified as a TDR for the</w:t>
            </w:r>
          </w:p>
        </w:tc>
        <w:tc>
          <w:tcPr>
            <w:tcW w:w="900" w:type="dxa"/>
            <w:vAlign w:val="bottom"/>
          </w:tcPr>
          <w:p>
            <w:pPr>
              <w:spacing w:after="0"/>
              <w:rPr>
                <w:sz w:val="17"/>
                <w:szCs w:val="17"/>
                <w:color w:val="auto"/>
              </w:rPr>
            </w:pPr>
          </w:p>
        </w:tc>
        <w:tc>
          <w:tcPr>
            <w:tcW w:w="3200" w:type="dxa"/>
            <w:vAlign w:val="bottom"/>
            <w:gridSpan w:val="4"/>
          </w:tcPr>
          <w:p>
            <w:pPr>
              <w:jc w:val="right"/>
              <w:ind w:right="822"/>
              <w:spacing w:after="0"/>
              <w:rPr>
                <w:sz w:val="20"/>
                <w:szCs w:val="20"/>
                <w:color w:val="auto"/>
              </w:rPr>
            </w:pPr>
            <w:r>
              <w:rPr>
                <w:rFonts w:ascii="Arial" w:cs="Arial" w:eastAsia="Arial" w:hAnsi="Arial"/>
                <w:sz w:val="16"/>
                <w:szCs w:val="16"/>
                <w:b w:val="1"/>
                <w:bCs w:val="1"/>
                <w:color w:val="auto"/>
                <w:w w:val="93"/>
              </w:rPr>
              <w:t>Loans Modified as a TDR for the</w:t>
            </w:r>
          </w:p>
        </w:tc>
      </w:tr>
      <w:tr>
        <w:trPr>
          <w:trHeight w:val="210"/>
        </w:trPr>
        <w:tc>
          <w:tcPr>
            <w:tcW w:w="2820" w:type="dxa"/>
            <w:vAlign w:val="bottom"/>
          </w:tcPr>
          <w:p>
            <w:pPr>
              <w:spacing w:after="0"/>
              <w:rPr>
                <w:sz w:val="18"/>
                <w:szCs w:val="18"/>
                <w:color w:val="auto"/>
              </w:rPr>
            </w:pPr>
          </w:p>
        </w:tc>
        <w:tc>
          <w:tcPr>
            <w:tcW w:w="43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4"/>
              </w:rPr>
              <w:t>Three Months Ended March 31, 2020</w:t>
            </w:r>
          </w:p>
        </w:tc>
        <w:tc>
          <w:tcPr>
            <w:tcW w:w="4100" w:type="dxa"/>
            <w:vAlign w:val="bottom"/>
            <w:gridSpan w:val="5"/>
          </w:tcPr>
          <w:p>
            <w:pPr>
              <w:jc w:val="right"/>
              <w:ind w:right="662"/>
              <w:spacing w:after="0"/>
              <w:rPr>
                <w:sz w:val="20"/>
                <w:szCs w:val="20"/>
                <w:color w:val="auto"/>
              </w:rPr>
            </w:pPr>
            <w:r>
              <w:rPr>
                <w:rFonts w:ascii="Arial" w:cs="Arial" w:eastAsia="Arial" w:hAnsi="Arial"/>
                <w:sz w:val="16"/>
                <w:szCs w:val="16"/>
                <w:b w:val="1"/>
                <w:bCs w:val="1"/>
                <w:color w:val="auto"/>
              </w:rPr>
              <w:t>Three Months Ended March 31, 2019</w:t>
            </w:r>
          </w:p>
        </w:tc>
      </w:tr>
      <w:tr>
        <w:trPr>
          <w:trHeight w:val="33"/>
        </w:trPr>
        <w:tc>
          <w:tcPr>
            <w:tcW w:w="2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1"/>
        </w:trPr>
        <w:tc>
          <w:tcPr>
            <w:tcW w:w="28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Recorded</w:t>
            </w: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Increase in</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42"/>
              <w:spacing w:after="0"/>
              <w:rPr>
                <w:sz w:val="20"/>
                <w:szCs w:val="20"/>
                <w:color w:val="auto"/>
              </w:rPr>
            </w:pPr>
            <w:r>
              <w:rPr>
                <w:rFonts w:ascii="Arial" w:cs="Arial" w:eastAsia="Arial" w:hAnsi="Arial"/>
                <w:sz w:val="14"/>
                <w:szCs w:val="14"/>
                <w:b w:val="1"/>
                <w:bCs w:val="1"/>
                <w:color w:val="auto"/>
              </w:rPr>
              <w:t>Recorded</w:t>
            </w:r>
          </w:p>
        </w:tc>
        <w:tc>
          <w:tcPr>
            <w:tcW w:w="28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23"/>
                <w:szCs w:val="23"/>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Allowance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00" w:type="dxa"/>
            <w:vAlign w:val="bottom"/>
          </w:tcPr>
          <w:p>
            <w:pPr>
              <w:jc w:val="right"/>
              <w:ind w:right="42"/>
              <w:spacing w:after="0"/>
              <w:rPr>
                <w:sz w:val="20"/>
                <w:szCs w:val="20"/>
                <w:color w:val="auto"/>
              </w:rPr>
            </w:pPr>
            <w:r>
              <w:rPr>
                <w:rFonts w:ascii="Arial" w:cs="Arial" w:eastAsia="Arial" w:hAnsi="Arial"/>
                <w:sz w:val="14"/>
                <w:szCs w:val="14"/>
                <w:b w:val="1"/>
                <w:bCs w:val="1"/>
                <w:color w:val="auto"/>
              </w:rPr>
              <w:t>Investment</w:t>
            </w:r>
          </w:p>
        </w:tc>
        <w:tc>
          <w:tcPr>
            <w:tcW w:w="28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7"/>
              </w:rPr>
              <w:t>(as of period end)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2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w:t>
            </w:r>
          </w:p>
        </w:tc>
      </w:tr>
      <w:tr>
        <w:trPr>
          <w:trHeight w:val="33"/>
        </w:trPr>
        <w:tc>
          <w:tcPr>
            <w:tcW w:w="2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3,907</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31"/>
        </w:trPr>
        <w:tc>
          <w:tcPr>
            <w:tcW w:w="28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99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4,018</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r>
      <w:tr>
        <w:trPr>
          <w:trHeight w:val="33"/>
        </w:trPr>
        <w:tc>
          <w:tcPr>
            <w:tcW w:w="2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2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400" w:type="dxa"/>
            <w:vAlign w:val="bottom"/>
          </w:tcPr>
          <w:p>
            <w:pPr>
              <w:spacing w:after="0"/>
              <w:rPr>
                <w:sz w:val="20"/>
                <w:szCs w:val="20"/>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893</w:t>
            </w:r>
          </w:p>
        </w:tc>
        <w:tc>
          <w:tcPr>
            <w:tcW w:w="28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w:t>
            </w:r>
          </w:p>
        </w:tc>
        <w:tc>
          <w:tcPr>
            <w:tcW w:w="3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2,240</w:t>
            </w:r>
          </w:p>
        </w:tc>
        <w:tc>
          <w:tcPr>
            <w:tcW w:w="28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34</w:t>
            </w:r>
          </w:p>
        </w:tc>
      </w:tr>
      <w:tr>
        <w:trPr>
          <w:trHeight w:val="33"/>
        </w:trPr>
        <w:tc>
          <w:tcPr>
            <w:tcW w:w="2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240</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229</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r>
      <w:tr>
        <w:trPr>
          <w:trHeight w:val="231"/>
        </w:trPr>
        <w:tc>
          <w:tcPr>
            <w:tcW w:w="282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400" w:type="dxa"/>
            <w:vAlign w:val="bottom"/>
          </w:tcPr>
          <w:p>
            <w:pPr>
              <w:spacing w:after="0"/>
              <w:rPr>
                <w:sz w:val="20"/>
                <w:szCs w:val="20"/>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1,133</w:t>
            </w:r>
          </w:p>
        </w:tc>
        <w:tc>
          <w:tcPr>
            <w:tcW w:w="28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w:t>
            </w:r>
          </w:p>
        </w:tc>
        <w:tc>
          <w:tcPr>
            <w:tcW w:w="36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2,469</w:t>
            </w:r>
          </w:p>
        </w:tc>
        <w:tc>
          <w:tcPr>
            <w:tcW w:w="280" w:type="dxa"/>
            <w:vAlign w:val="bottom"/>
          </w:tcPr>
          <w:p>
            <w:pPr>
              <w:spacing w:after="0"/>
              <w:rPr>
                <w:sz w:val="20"/>
                <w:szCs w:val="20"/>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40</w:t>
            </w:r>
          </w:p>
        </w:tc>
      </w:tr>
      <w:tr>
        <w:trPr>
          <w:trHeight w:val="33"/>
        </w:trPr>
        <w:tc>
          <w:tcPr>
            <w:tcW w:w="2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2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w:t>
            </w:r>
          </w:p>
        </w:tc>
      </w:tr>
      <w:tr>
        <w:trPr>
          <w:trHeight w:val="20"/>
        </w:trPr>
        <w:tc>
          <w:tcPr>
            <w:tcW w:w="2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presents by class, all loans modified in a TDR that defaulted during the three months ended March 31, 2020, and March 31, 2019, and within twelve months of their modification date. A TDR is considered to be in default once it becomes 60 days or more past due following a modification.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31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31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4"/>
              </w:rPr>
              <w:t>March 31, 2020</w:t>
            </w:r>
          </w:p>
        </w:tc>
        <w:tc>
          <w:tcPr>
            <w:tcW w:w="3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08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Recorded</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08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2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Investment</w:t>
            </w:r>
          </w:p>
        </w:tc>
        <w:tc>
          <w:tcPr>
            <w:tcW w:w="130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0"/>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23</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226</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33</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in response to COVID-19</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The Company began offering short-term loan modifications to assist borrowers during the COVID-19 national emergency. The CARES Act along with a joint agency statement issued by banking agencies, provides that short-term modifications made in response to COVID-19 does not need to be accounted for as a TDR. Accordingly, the Company does not account for such loan modifications as TDRs.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$1.9 million as of March 31, 2020.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$3.1 billion as of March 31, 2020, and December 31, 2019, respectively.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for more information). Changes to the balance of mortgage servicing rights are recorded in mortgage banking income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1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$3.7 million and $1.8 million for the three months ended March 31, 2020, and March 31, 2019, respectively.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March 31, 2020, and March 31, 2019,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7"/>
                <w:szCs w:val="17"/>
                <w:color w:val="auto"/>
              </w:rPr>
            </w:pPr>
          </w:p>
        </w:tc>
      </w:tr>
      <w:tr>
        <w:trPr>
          <w:trHeight w:val="210"/>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1,126</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1"/>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8"/>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1,101</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months ended March 31, 2020, and March 31, 2019,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23,896</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1,165</w:t>
            </w:r>
          </w:p>
        </w:tc>
        <w:tc>
          <w:tcPr>
            <w:tcW w:w="8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(1,112)</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Valuation Allowance Provision</w:t>
            </w:r>
          </w:p>
        </w:tc>
        <w:tc>
          <w:tcPr>
            <w:tcW w:w="4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(2,513)</w:t>
            </w:r>
          </w:p>
        </w:tc>
        <w:tc>
          <w:tcPr>
            <w:tcW w:w="8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21,436</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22,881</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Provision</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(2,513)</w:t>
            </w:r>
          </w:p>
        </w:tc>
        <w:tc>
          <w:tcPr>
            <w:tcW w:w="8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(2,513)</w:t>
            </w:r>
          </w:p>
        </w:tc>
        <w:tc>
          <w:tcPr>
            <w:tcW w:w="8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8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r>
      <w:tr>
        <w:trPr>
          <w:trHeight w:val="197"/>
        </w:trPr>
        <w:tc>
          <w:tcPr>
            <w:tcW w:w="8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832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25,714</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29,218</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21,436</w:t>
            </w: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26,814</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March 31, 2020, and December 31, 2019,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398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900" w:type="dxa"/>
            <w:vAlign w:val="bottom"/>
          </w:tcPr>
          <w:p>
            <w:pPr>
              <w:spacing w:after="0"/>
              <w:rPr>
                <w:sz w:val="18"/>
                <w:szCs w:val="18"/>
                <w:color w:val="auto"/>
              </w:rPr>
            </w:pPr>
          </w:p>
        </w:tc>
        <w:tc>
          <w:tcPr>
            <w:tcW w:w="3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33"/>
        </w:trPr>
        <w:tc>
          <w:tcPr>
            <w:tcW w:w="59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3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14.93%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3980" w:type="dxa"/>
            <w:vAlign w:val="bottom"/>
          </w:tcPr>
          <w:p>
            <w:pPr>
              <w:jc w:val="right"/>
              <w:ind w:right="319"/>
              <w:spacing w:after="0"/>
              <w:rPr>
                <w:sz w:val="20"/>
                <w:szCs w:val="20"/>
                <w:color w:val="auto"/>
              </w:rPr>
            </w:pPr>
            <w:r>
              <w:rPr>
                <w:rFonts w:ascii="Arial" w:cs="Arial" w:eastAsia="Arial" w:hAnsi="Arial"/>
                <w:sz w:val="16"/>
                <w:szCs w:val="16"/>
                <w:color w:val="auto"/>
              </w:rPr>
              <w:t>4.88</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6.20</w:t>
            </w:r>
          </w:p>
        </w:tc>
      </w:tr>
      <w:tr>
        <w:trPr>
          <w:trHeight w:val="33"/>
        </w:trPr>
        <w:tc>
          <w:tcPr>
            <w:tcW w:w="59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3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3.96%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311"/>
        </w:trPr>
        <w:tc>
          <w:tcPr>
            <w:tcW w:w="590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3980" w:type="dxa"/>
            <w:vAlign w:val="bottom"/>
          </w:tcPr>
          <w:p>
            <w:pPr>
              <w:jc w:val="right"/>
              <w:ind w:right="199"/>
              <w:spacing w:after="0"/>
              <w:rPr>
                <w:sz w:val="20"/>
                <w:szCs w:val="20"/>
                <w:color w:val="auto"/>
              </w:rPr>
            </w:pPr>
            <w:r>
              <w:rPr>
                <w:rFonts w:ascii="Arial" w:cs="Arial" w:eastAsia="Arial" w:hAnsi="Arial"/>
                <w:sz w:val="16"/>
                <w:szCs w:val="16"/>
                <w:color w:val="auto"/>
              </w:rPr>
              <w:t>5.90%</w:t>
            </w:r>
          </w:p>
        </w:tc>
        <w:tc>
          <w:tcPr>
            <w:tcW w:w="1360" w:type="dxa"/>
            <w:vAlign w:val="bottom"/>
          </w:tcPr>
          <w:p>
            <w:pPr>
              <w:jc w:val="right"/>
              <w:spacing w:after="0"/>
              <w:rPr>
                <w:sz w:val="20"/>
                <w:szCs w:val="20"/>
                <w:color w:val="auto"/>
              </w:rPr>
            </w:pPr>
            <w:r>
              <w:rPr>
                <w:rFonts w:ascii="Arial" w:cs="Arial" w:eastAsia="Arial" w:hAnsi="Arial"/>
                <w:sz w:val="16"/>
                <w:szCs w:val="16"/>
                <w:color w:val="auto"/>
              </w:rPr>
              <w:t>7.33%</w:t>
            </w:r>
          </w:p>
        </w:tc>
      </w:tr>
    </w:tbl>
    <w:p>
      <w:pPr>
        <w:spacing w:after="0" w:line="156"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0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March 31, 2020, and December 31, 2019,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2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33"/>
        </w:trPr>
        <w:tc>
          <w:tcPr>
            <w:tcW w:w="6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20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(403)</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(522)</w:t>
            </w:r>
          </w:p>
        </w:tc>
      </w:tr>
    </w:tbl>
    <w:p>
      <w:pPr>
        <w:spacing w:after="0" w:line="200" w:lineRule="exact"/>
        <w:rPr>
          <w:sz w:val="20"/>
          <w:szCs w:val="20"/>
          <w:color w:val="auto"/>
        </w:rPr>
      </w:pPr>
    </w:p>
    <w:p>
      <w:pPr>
        <w:spacing w:after="0" w:line="25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spacing w:after="0" w:line="1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8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$92.9 million and $76.3 million as of March 31, 2020, and December 31, 2019, respectively, and are included in other assets in the consolidated statements of condition.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25,423</w:t>
            </w:r>
          </w:p>
        </w:tc>
      </w:tr>
      <w:tr>
        <w:trPr>
          <w:trHeight w:val="223"/>
        </w:trPr>
        <w:tc>
          <w:tcPr>
            <w:tcW w:w="6040" w:type="dxa"/>
            <w:vAlign w:val="bottom"/>
          </w:tcPr>
          <w:p>
            <w:pPr>
              <w:ind w:left="40"/>
              <w:spacing w:after="0"/>
              <w:rPr>
                <w:sz w:val="20"/>
                <w:szCs w:val="20"/>
                <w:color w:val="auto"/>
              </w:rPr>
            </w:pPr>
            <w:r>
              <w:rPr>
                <w:rFonts w:ascii="Arial" w:cs="Arial" w:eastAsia="Arial" w:hAnsi="Arial"/>
                <w:sz w:val="16"/>
                <w:szCs w:val="16"/>
                <w:color w:val="auto"/>
              </w:rPr>
              <w:t>2021</w:t>
            </w:r>
          </w:p>
        </w:tc>
        <w:tc>
          <w:tcPr>
            <w:tcW w:w="4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5,310</w:t>
            </w:r>
          </w:p>
        </w:tc>
      </w:tr>
      <w:tr>
        <w:trPr>
          <w:trHeight w:val="33"/>
        </w:trPr>
        <w:tc>
          <w:tcPr>
            <w:tcW w:w="6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2023</w:t>
            </w:r>
          </w:p>
        </w:tc>
        <w:tc>
          <w:tcPr>
            <w:tcW w:w="4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60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4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1,754</w:t>
            </w:r>
          </w:p>
        </w:tc>
      </w:tr>
      <w:tr>
        <w:trPr>
          <w:trHeight w:val="33"/>
        </w:trPr>
        <w:tc>
          <w:tcPr>
            <w:tcW w:w="60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Unfunded Commitments</w:t>
            </w:r>
          </w:p>
        </w:tc>
        <w:tc>
          <w:tcPr>
            <w:tcW w:w="42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32,676</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4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months ended March 31, 2020, and March 31, 2019.</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Effective Yield Method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Tax credits and other tax benefits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4"/>
          <w:szCs w:val="14"/>
          <w:color w:val="auto"/>
          <w:shd w:val="clear" w:color="auto" w:fill="CCEEFF"/>
        </w:rPr>
        <w:t>Amortization Expense in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33020</wp:posOffset>
            </wp:positionV>
            <wp:extent cx="1568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r>
        <w:trPr>
          <w:trHeight w:val="553"/>
        </w:trPr>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2,938</w:t>
            </w: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2,930</w:t>
            </w:r>
          </w:p>
        </w:tc>
      </w:tr>
      <w:tr>
        <w:trPr>
          <w:trHeight w:val="270"/>
        </w:trPr>
        <w:tc>
          <w:tcPr>
            <w:tcW w:w="360" w:type="dxa"/>
            <w:vAlign w:val="bottom"/>
          </w:tcPr>
          <w:p>
            <w:pPr>
              <w:spacing w:after="0"/>
              <w:rPr>
                <w:sz w:val="23"/>
                <w:szCs w:val="23"/>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2,147</w:t>
            </w:r>
          </w:p>
        </w:tc>
        <w:tc>
          <w:tcPr>
            <w:tcW w:w="5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1,891</w:t>
            </w:r>
          </w:p>
        </w:tc>
      </w:tr>
    </w:tbl>
    <w:p>
      <w:pPr>
        <w:spacing w:after="0" w:line="200" w:lineRule="exact"/>
        <w:rPr>
          <w:sz w:val="20"/>
          <w:szCs w:val="20"/>
          <w:color w:val="auto"/>
        </w:rPr>
      </w:pPr>
    </w:p>
    <w:p>
      <w:pPr>
        <w:sectPr>
          <w:pgSz w:w="11900" w:h="16838" w:orient="portrait"/>
          <w:cols w:equalWidth="0" w:num="2">
            <w:col w:w="8080" w:space="720"/>
            <w:col w:w="2440"/>
          </w:cols>
          <w:pgMar w:left="320" w:top="130" w:right="33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Proportional Amortization Method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4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5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1,523</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753</w:t>
            </w:r>
          </w:p>
        </w:tc>
      </w:tr>
      <w:tr>
        <w:trPr>
          <w:trHeight w:val="33"/>
        </w:trPr>
        <w:tc>
          <w:tcPr>
            <w:tcW w:w="3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37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shd w:val="clear" w:color="auto" w:fill="CCEEFF"/>
              </w:rPr>
              <w:t>Amortization Expense in Provision for Income Taxes</w:t>
            </w:r>
          </w:p>
        </w:tc>
        <w:tc>
          <w:tcPr>
            <w:tcW w:w="5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1,318</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r>
      <w:tr>
        <w:trPr>
          <w:trHeight w:val="41"/>
        </w:trPr>
        <w:tc>
          <w:tcPr>
            <w:tcW w:w="374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related to LIHTC investments during the three months ended March 31, 2020, and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third-party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$18.9 million and $5.1 million as of March 31, 2020, and December 31, 2019, respectively. See Note 12 </w:t>
      </w:r>
      <w:r>
        <w:rPr>
          <w:rFonts w:ascii="Arial" w:cs="Arial" w:eastAsia="Arial" w:hAnsi="Arial"/>
          <w:sz w:val="17"/>
          <w:szCs w:val="17"/>
          <w:i w:val="1"/>
          <w:iCs w:val="1"/>
          <w:color w:val="auto"/>
        </w:rPr>
        <w:t>Derivative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for more information.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March 31, 2020, and December 31, 2019,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0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9"/>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b w:val="1"/>
                <w:bCs w:val="1"/>
                <w:color w:val="auto"/>
              </w:rPr>
              <w:t>Up to</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7"/>
        </w:trPr>
        <w:tc>
          <w:tcPr>
            <w:tcW w:w="57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90 days</w:t>
            </w:r>
          </w:p>
        </w:tc>
        <w:tc>
          <w:tcPr>
            <w:tcW w:w="114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6"/>
                <w:szCs w:val="16"/>
                <w:b w:val="1"/>
                <w:bCs w:val="1"/>
                <w:color w:val="auto"/>
              </w:rPr>
              <w:t>91-365 days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98"/>
              </w:rPr>
              <w:t>1-3 Years</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4"/>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199,173</w:t>
            </w:r>
          </w:p>
        </w:tc>
        <w:tc>
          <w:tcPr>
            <w:tcW w:w="3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38,065</w:t>
            </w:r>
          </w:p>
        </w:tc>
        <w:tc>
          <w:tcPr>
            <w:tcW w:w="5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8"/>
              </w:rPr>
              <w:t>237,238</w:t>
            </w: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1,200</w:t>
            </w:r>
          </w:p>
        </w:tc>
        <w:tc>
          <w:tcPr>
            <w:tcW w:w="26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490</w:t>
            </w:r>
          </w:p>
        </w:tc>
        <w:tc>
          <w:tcPr>
            <w:tcW w:w="50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rPr>
              <w:t>1,690</w:t>
            </w:r>
          </w:p>
        </w:tc>
      </w:tr>
      <w:tr>
        <w:trPr>
          <w:trHeight w:val="274"/>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6"/>
        </w:trPr>
        <w:tc>
          <w:tcPr>
            <w:tcW w:w="57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1,516</w:t>
            </w:r>
          </w:p>
        </w:tc>
        <w:tc>
          <w:tcPr>
            <w:tcW w:w="26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25,827</w:t>
            </w:r>
          </w:p>
        </w:tc>
        <w:tc>
          <w:tcPr>
            <w:tcW w:w="34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88,391</w:t>
            </w:r>
          </w:p>
        </w:tc>
        <w:tc>
          <w:tcPr>
            <w:tcW w:w="500" w:type="dxa"/>
            <w:vAlign w:val="bottom"/>
          </w:tcPr>
          <w:p>
            <w:pPr>
              <w:spacing w:after="0"/>
              <w:rPr>
                <w:sz w:val="23"/>
                <w:szCs w:val="23"/>
                <w:color w:val="auto"/>
              </w:rPr>
            </w:pPr>
          </w:p>
        </w:tc>
        <w:tc>
          <w:tcPr>
            <w:tcW w:w="600" w:type="dxa"/>
            <w:vAlign w:val="bottom"/>
          </w:tcPr>
          <w:p>
            <w:pPr>
              <w:jc w:val="right"/>
              <w:ind w:right="23"/>
              <w:spacing w:after="0"/>
              <w:rPr>
                <w:sz w:val="20"/>
                <w:szCs w:val="20"/>
                <w:color w:val="auto"/>
              </w:rPr>
            </w:pPr>
            <w:r>
              <w:rPr>
                <w:rFonts w:ascii="Arial" w:cs="Arial" w:eastAsia="Arial" w:hAnsi="Arial"/>
                <w:sz w:val="15"/>
                <w:szCs w:val="15"/>
                <w:color w:val="auto"/>
                <w:w w:val="88"/>
              </w:rPr>
              <w:t>115,734</w:t>
            </w:r>
          </w:p>
        </w:tc>
      </w:tr>
      <w:tr>
        <w:trPr>
          <w:trHeight w:val="270"/>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248,544</w:t>
            </w:r>
          </w:p>
        </w:tc>
        <w:tc>
          <w:tcPr>
            <w:tcW w:w="5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88"/>
              </w:rPr>
              <w:t>248,544</w:t>
            </w:r>
          </w:p>
        </w:tc>
      </w:tr>
      <w:tr>
        <w:trPr>
          <w:trHeight w:val="303"/>
        </w:trPr>
        <w:tc>
          <w:tcPr>
            <w:tcW w:w="57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2,716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375,490</w:t>
            </w:r>
          </w:p>
        </w:tc>
        <w:tc>
          <w:tcPr>
            <w:tcW w:w="5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88"/>
              </w:rPr>
              <w:t>603,206</w:t>
            </w:r>
          </w:p>
        </w:tc>
      </w:tr>
      <w:tr>
        <w:trPr>
          <w:trHeight w:val="160"/>
        </w:trPr>
        <w:tc>
          <w:tcPr>
            <w:tcW w:w="5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199,173</w:t>
            </w:r>
          </w:p>
        </w:tc>
        <w:tc>
          <w:tcPr>
            <w:tcW w:w="3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38,065</w:t>
            </w:r>
          </w:p>
        </w:tc>
        <w:tc>
          <w:tcPr>
            <w:tcW w:w="50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3"/>
              <w:spacing w:after="0"/>
              <w:rPr>
                <w:sz w:val="20"/>
                <w:szCs w:val="20"/>
                <w:color w:val="auto"/>
              </w:rPr>
            </w:pPr>
            <w:r>
              <w:rPr>
                <w:rFonts w:ascii="Arial" w:cs="Arial" w:eastAsia="Arial" w:hAnsi="Arial"/>
                <w:sz w:val="15"/>
                <w:szCs w:val="15"/>
                <w:color w:val="auto"/>
                <w:w w:val="88"/>
              </w:rPr>
              <w:t>237,238</w:t>
            </w:r>
          </w:p>
        </w:tc>
      </w:tr>
      <w:tr>
        <w:trPr>
          <w:trHeight w:val="274"/>
        </w:trPr>
        <w:tc>
          <w:tcPr>
            <w:tcW w:w="57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1,200</w:t>
            </w: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1,100</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490</w:t>
            </w: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2,790</w:t>
            </w:r>
          </w:p>
        </w:tc>
      </w:tr>
      <w:tr>
        <w:trPr>
          <w:trHeight w:val="266"/>
        </w:trPr>
        <w:tc>
          <w:tcPr>
            <w:tcW w:w="57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4"/>
        </w:trPr>
        <w:tc>
          <w:tcPr>
            <w:tcW w:w="5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1,516</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25,827</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88,391</w:t>
            </w:r>
          </w:p>
        </w:tc>
        <w:tc>
          <w:tcPr>
            <w:tcW w:w="5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88"/>
              </w:rPr>
              <w:t>115,734</w:t>
            </w:r>
          </w:p>
        </w:tc>
      </w:tr>
      <w:tr>
        <w:trPr>
          <w:trHeight w:val="266"/>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248,544</w:t>
            </w:r>
          </w:p>
        </w:tc>
        <w:tc>
          <w:tcPr>
            <w:tcW w:w="5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88"/>
              </w:rPr>
              <w:t>248,544</w:t>
            </w:r>
          </w:p>
        </w:tc>
      </w:tr>
      <w:tr>
        <w:trPr>
          <w:trHeight w:val="264"/>
        </w:trPr>
        <w:tc>
          <w:tcPr>
            <w:tcW w:w="5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rPr>
              <w:t>1,200</w:t>
            </w:r>
          </w:p>
        </w:tc>
        <w:tc>
          <w:tcPr>
            <w:tcW w:w="4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2,616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375,490</w:t>
            </w:r>
          </w:p>
        </w:tc>
        <w:tc>
          <w:tcPr>
            <w:tcW w:w="5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88"/>
              </w:rPr>
              <w:t>604,306</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March 31, 2020, and December 31, 2019.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(ii)</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(iii) = (i)-(ii)</w:t>
            </w:r>
          </w:p>
        </w:tc>
        <w:tc>
          <w:tcPr>
            <w:tcW w:w="180" w:type="dxa"/>
            <w:vAlign w:val="bottom"/>
          </w:tcPr>
          <w:p>
            <w:pPr>
              <w:spacing w:after="0"/>
              <w:rPr>
                <w:sz w:val="18"/>
                <w:szCs w:val="18"/>
                <w:color w:val="auto"/>
              </w:rPr>
            </w:pPr>
          </w:p>
        </w:tc>
        <w:tc>
          <w:tcPr>
            <w:tcW w:w="1380" w:type="dxa"/>
            <w:vAlign w:val="bottom"/>
          </w:tcPr>
          <w:p>
            <w:pPr>
              <w:jc w:val="center"/>
              <w:ind w:left="101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Gross Amounts Not Offset in the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61"/>
              <w:spacing w:after="0"/>
              <w:rPr>
                <w:sz w:val="20"/>
                <w:szCs w:val="20"/>
                <w:color w:val="auto"/>
              </w:rPr>
            </w:pPr>
            <w:r>
              <w:rPr>
                <w:rFonts w:ascii="Arial" w:cs="Arial" w:eastAsia="Arial" w:hAnsi="Arial"/>
                <w:sz w:val="16"/>
                <w:szCs w:val="16"/>
                <w:b w:val="1"/>
                <w:bCs w:val="1"/>
                <w:color w:val="auto"/>
                <w:w w:val="90"/>
              </w:rPr>
              <w:t>Statements of Condition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Net Amounts</w:t>
            </w:r>
          </w:p>
        </w:tc>
        <w:tc>
          <w:tcPr>
            <w:tcW w:w="180" w:type="dxa"/>
            <w:vAlign w:val="bottom"/>
          </w:tcPr>
          <w:p>
            <w:pPr>
              <w:spacing w:after="0"/>
              <w:rPr>
                <w:sz w:val="17"/>
                <w:szCs w:val="17"/>
                <w:color w:val="auto"/>
              </w:rPr>
            </w:pPr>
          </w:p>
        </w:tc>
        <w:tc>
          <w:tcPr>
            <w:tcW w:w="1380" w:type="dxa"/>
            <w:vAlign w:val="bottom"/>
          </w:tcPr>
          <w:p>
            <w:pPr>
              <w:jc w:val="center"/>
              <w:ind w:right="21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5"/>
              </w:rPr>
              <w:t>Fair Value of</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Recognized in the</w:t>
            </w:r>
          </w:p>
        </w:tc>
        <w:tc>
          <w:tcPr>
            <w:tcW w:w="140" w:type="dxa"/>
            <w:vAlign w:val="bottom"/>
          </w:tcPr>
          <w:p>
            <w:pPr>
              <w:spacing w:after="0"/>
              <w:rPr>
                <w:sz w:val="7"/>
                <w:szCs w:val="7"/>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Offset in the</w:t>
            </w:r>
          </w:p>
        </w:tc>
        <w:tc>
          <w:tcPr>
            <w:tcW w:w="120" w:type="dxa"/>
            <w:vAlign w:val="bottom"/>
          </w:tcPr>
          <w:p>
            <w:pPr>
              <w:spacing w:after="0"/>
              <w:rPr>
                <w:sz w:val="7"/>
                <w:szCs w:val="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Presented in the</w:t>
            </w:r>
          </w:p>
        </w:tc>
        <w:tc>
          <w:tcPr>
            <w:tcW w:w="180" w:type="dxa"/>
            <w:vAlign w:val="bottom"/>
          </w:tcPr>
          <w:p>
            <w:pPr>
              <w:spacing w:after="0"/>
              <w:rPr>
                <w:sz w:val="7"/>
                <w:szCs w:val="7"/>
                <w:color w:val="auto"/>
              </w:rPr>
            </w:pPr>
          </w:p>
        </w:tc>
        <w:tc>
          <w:tcPr>
            <w:tcW w:w="13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6"/>
                <w:szCs w:val="16"/>
                <w:b w:val="1"/>
                <w:bCs w:val="1"/>
                <w:color w:val="auto"/>
                <w:w w:val="93"/>
              </w:rPr>
              <w:t>Collateral</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Statements</w:t>
            </w:r>
          </w:p>
        </w:tc>
        <w:tc>
          <w:tcPr>
            <w:tcW w:w="120" w:type="dxa"/>
            <w:vAlign w:val="bottom"/>
          </w:tcPr>
          <w:p>
            <w:pPr>
              <w:spacing w:after="0"/>
              <w:rPr>
                <w:sz w:val="7"/>
                <w:szCs w:val="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Statements</w:t>
            </w:r>
          </w:p>
        </w:tc>
        <w:tc>
          <w:tcPr>
            <w:tcW w:w="180" w:type="dxa"/>
            <w:vAlign w:val="bottom"/>
          </w:tcPr>
          <w:p>
            <w:pPr>
              <w:spacing w:after="0"/>
              <w:rPr>
                <w:sz w:val="7"/>
                <w:szCs w:val="7"/>
                <w:color w:val="auto"/>
              </w:rPr>
            </w:pPr>
          </w:p>
        </w:tc>
        <w:tc>
          <w:tcPr>
            <w:tcW w:w="13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0"/>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7"/>
              </w:rPr>
              <w:t>Pledged/Received</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0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7"/>
                <w:szCs w:val="7"/>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3"/>
              </w:rPr>
              <w:t>of Condition</w:t>
            </w:r>
          </w:p>
        </w:tc>
        <w:tc>
          <w:tcPr>
            <w:tcW w:w="120" w:type="dxa"/>
            <w:vAlign w:val="bottom"/>
          </w:tcPr>
          <w:p>
            <w:pPr>
              <w:spacing w:after="0"/>
              <w:rPr>
                <w:sz w:val="7"/>
                <w:szCs w:val="7"/>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80" w:type="dxa"/>
            <w:vAlign w:val="bottom"/>
          </w:tcPr>
          <w:p>
            <w:pPr>
              <w:spacing w:after="0"/>
              <w:rPr>
                <w:sz w:val="7"/>
                <w:szCs w:val="7"/>
                <w:color w:val="auto"/>
              </w:rPr>
            </w:pPr>
          </w:p>
        </w:tc>
        <w:tc>
          <w:tcPr>
            <w:tcW w:w="13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71"/>
              </w:rPr>
              <w:t>1</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18,947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18,947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8,955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9,956</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603,206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603,206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603,206</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6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584</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584</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0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604,306</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right="60" w:hanging="72"/>
        <w:spacing w:after="0" w:line="257" w:lineRule="auto"/>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$646.4 million and $645.3 million as of March 31, 2020, and December 31, 2019, respectively. For repurchase agreements with government entities, the fair value of investment securities pledged was $5.4 million and $5.5 million as of March 31, 2020, and December 31, 2019,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30" w:right="3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comprehensive income (loss) for the three months ended March 31, 2020, and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w w:val="96"/>
              </w:rPr>
              <w:t>Before Tax</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Tax Effect</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2020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56,556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14,989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41,567</w:t>
            </w:r>
          </w:p>
        </w:tc>
      </w:tr>
      <w:tr>
        <w:trPr>
          <w:trHeight w:val="220"/>
        </w:trPr>
        <w:tc>
          <w:tcPr>
            <w:tcW w:w="7180" w:type="dxa"/>
            <w:vAlign w:val="bottom"/>
          </w:tcPr>
          <w:p>
            <w:pPr>
              <w:ind w:left="280"/>
              <w:spacing w:after="0"/>
              <w:rPr>
                <w:sz w:val="20"/>
                <w:szCs w:val="20"/>
                <w:color w:val="auto"/>
              </w:rPr>
            </w:pPr>
            <w:r>
              <w:rPr>
                <w:rFonts w:ascii="Arial" w:cs="Arial" w:eastAsia="Arial" w:hAnsi="Arial"/>
                <w:sz w:val="16"/>
                <w:szCs w:val="16"/>
                <w:color w:val="auto"/>
                <w:w w:val="93"/>
              </w:rPr>
              <w:t>Amounts Reclassified from Accumulated Other Comprehensive Income (Loss) that (Increase) Decrease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71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(77)</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70"/>
        </w:trPr>
        <w:tc>
          <w:tcPr>
            <w:tcW w:w="71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65</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48</w:t>
            </w:r>
          </w:p>
        </w:tc>
      </w:tr>
      <w:tr>
        <w:trPr>
          <w:trHeight w:val="244"/>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56,544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14,985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41,559</w:t>
            </w: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570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418</w:t>
            </w: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Pr>
          <w:p>
            <w:pPr>
              <w:spacing w:after="0"/>
              <w:rPr>
                <w:sz w:val="20"/>
                <w:szCs w:val="20"/>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509</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374</w:t>
            </w:r>
          </w:p>
        </w:tc>
      </w:tr>
      <w:tr>
        <w:trPr>
          <w:trHeight w:val="231"/>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57,053</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15,120</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41,933</w:t>
            </w:r>
          </w:p>
        </w:tc>
      </w:tr>
      <w:tr>
        <w:trPr>
          <w:trHeight w:val="73"/>
        </w:trPr>
        <w:tc>
          <w:tcPr>
            <w:tcW w:w="71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43"/>
        </w:trPr>
        <w:tc>
          <w:tcPr>
            <w:tcW w:w="7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7"/>
        </w:trPr>
        <w:tc>
          <w:tcPr>
            <w:tcW w:w="718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8,952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2,371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6,581</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71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Amounts Reclassified from Accumulated Other Comprehensive Income (Loss) that (Increase) Decrease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7"/>
        </w:trPr>
        <w:tc>
          <w:tcPr>
            <w:tcW w:w="7180" w:type="dxa"/>
            <w:vAlign w:val="bottom"/>
          </w:tcPr>
          <w:p>
            <w:pPr>
              <w:ind w:left="360"/>
              <w:spacing w:after="0"/>
              <w:rPr>
                <w:sz w:val="20"/>
                <w:szCs w:val="20"/>
                <w:color w:val="auto"/>
              </w:rPr>
            </w:pPr>
            <w:r>
              <w:rPr>
                <w:rFonts w:ascii="Arial" w:cs="Arial" w:eastAsia="Arial" w:hAnsi="Arial"/>
                <w:sz w:val="16"/>
                <w:szCs w:val="16"/>
                <w:color w:val="auto"/>
              </w:rPr>
              <w:t>(Gain) Loss on Sale</w:t>
            </w:r>
          </w:p>
        </w:tc>
        <w:tc>
          <w:tcPr>
            <w:tcW w:w="34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64</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47</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396</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291</w:t>
            </w:r>
          </w:p>
        </w:tc>
      </w:tr>
      <w:tr>
        <w:trPr>
          <w:trHeight w:val="230"/>
        </w:trPr>
        <w:tc>
          <w:tcPr>
            <w:tcW w:w="71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34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9,412</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2,493</w:t>
            </w:r>
          </w:p>
        </w:tc>
        <w:tc>
          <w:tcPr>
            <w:tcW w:w="28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6,919</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1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340" w:type="dxa"/>
            <w:vAlign w:val="bottom"/>
          </w:tcPr>
          <w:p>
            <w:pPr>
              <w:spacing w:after="0"/>
              <w:rPr>
                <w:sz w:val="20"/>
                <w:szCs w:val="20"/>
                <w:color w:val="auto"/>
              </w:rPr>
            </w:pPr>
          </w:p>
        </w:tc>
        <w:tc>
          <w:tcPr>
            <w:tcW w:w="1080" w:type="dxa"/>
            <w:vAlign w:val="bottom"/>
          </w:tcPr>
          <w:p>
            <w:pPr>
              <w:jc w:val="right"/>
              <w:ind w:right="78"/>
              <w:spacing w:after="0"/>
              <w:rPr>
                <w:sz w:val="20"/>
                <w:szCs w:val="20"/>
                <w:color w:val="auto"/>
              </w:rPr>
            </w:pPr>
            <w:r>
              <w:rPr>
                <w:rFonts w:ascii="Arial" w:cs="Arial" w:eastAsia="Arial" w:hAnsi="Arial"/>
                <w:sz w:val="16"/>
                <w:szCs w:val="16"/>
                <w:color w:val="auto"/>
              </w:rPr>
              <w:t>406</w:t>
            </w:r>
          </w:p>
        </w:tc>
        <w:tc>
          <w:tcPr>
            <w:tcW w:w="3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299</w:t>
            </w:r>
          </w:p>
        </w:tc>
      </w:tr>
      <w:tr>
        <w:trPr>
          <w:trHeight w:val="33"/>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0"/>
        </w:trPr>
        <w:tc>
          <w:tcPr>
            <w:tcW w:w="71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334</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246</w:t>
            </w:r>
          </w:p>
        </w:tc>
      </w:tr>
      <w:tr>
        <w:trPr>
          <w:trHeight w:val="33"/>
        </w:trPr>
        <w:tc>
          <w:tcPr>
            <w:tcW w:w="7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9,746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7,165</w:t>
            </w:r>
          </w:p>
        </w:tc>
      </w:tr>
      <w:tr>
        <w:trPr>
          <w:trHeight w:val="20"/>
        </w:trPr>
        <w:tc>
          <w:tcPr>
            <w:tcW w:w="7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80" w:right="220" w:hanging="72"/>
        <w:spacing w:after="0" w:line="273" w:lineRule="auto"/>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each component of accumulated other comprehensive income (loss), net of tax,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Available-for-</w:t>
            </w: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w w:val="99"/>
              </w:rPr>
              <w:t>Securities-Held-to-</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Sale</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2020</w:t>
            </w: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8,359</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(31,112)</w:t>
            </w:r>
          </w:p>
        </w:tc>
      </w:tr>
      <w:tr>
        <w:trPr>
          <w:trHeight w:val="237"/>
        </w:trPr>
        <w:tc>
          <w:tcPr>
            <w:tcW w:w="482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6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41,567</w:t>
            </w:r>
          </w:p>
        </w:tc>
        <w:tc>
          <w:tcPr>
            <w:tcW w:w="420" w:type="dxa"/>
            <w:vAlign w:val="bottom"/>
          </w:tcPr>
          <w:p>
            <w:pPr>
              <w:spacing w:after="0"/>
              <w:rPr>
                <w:sz w:val="20"/>
                <w:szCs w:val="20"/>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41,567</w:t>
            </w: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4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6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r>
      <w:tr>
        <w:trPr>
          <w:trHeight w:val="230"/>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6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41,511</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374</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41,933</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49,870</w:t>
            </w:r>
          </w:p>
        </w:tc>
        <w:tc>
          <w:tcPr>
            <w:tcW w:w="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10,821</w:t>
            </w: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420" w:type="dxa"/>
            <w:vAlign w:val="bottom"/>
          </w:tcPr>
          <w:p>
            <w:pPr>
              <w:ind w:lef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(4,586)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(36,010)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33"/>
        </w:trPr>
        <w:tc>
          <w:tcPr>
            <w:tcW w:w="4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6,581</w:t>
            </w:r>
          </w:p>
        </w:tc>
      </w:tr>
      <w:tr>
        <w:trPr>
          <w:trHeight w:val="220"/>
        </w:trPr>
        <w:tc>
          <w:tcPr>
            <w:tcW w:w="482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2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6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42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6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6,628</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7,165</w:t>
            </w:r>
          </w:p>
        </w:tc>
      </w:tr>
      <w:tr>
        <w:trPr>
          <w:trHeight w:val="231"/>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(3,819)</w:t>
            </w: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(35,764)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(43,878)</w:t>
            </w:r>
          </w:p>
        </w:tc>
      </w:tr>
      <w:tr>
        <w:trPr>
          <w:trHeight w:val="33"/>
        </w:trPr>
        <w:tc>
          <w:tcPr>
            <w:tcW w:w="4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277"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30" w:right="339" w:bottom="277"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amounts reclassified out of each component of accumulated other comprehensive income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March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203"/>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20" w:type="dxa"/>
            <w:vAlign w:val="bottom"/>
          </w:tcPr>
          <w:p>
            <w:pPr>
              <w:spacing w:after="0"/>
              <w:rPr>
                <w:sz w:val="17"/>
                <w:szCs w:val="17"/>
                <w:color w:val="auto"/>
              </w:rPr>
            </w:pPr>
          </w:p>
        </w:tc>
        <w:tc>
          <w:tcPr>
            <w:tcW w:w="3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w w:val="99"/>
              </w:rPr>
              <w:t>Statement Where Net Income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Is Presented</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1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224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Arial" w:cs="Arial" w:eastAsia="Arial" w:hAnsi="Arial"/>
                <w:sz w:val="16"/>
                <w:szCs w:val="16"/>
                <w:color w:val="auto"/>
              </w:rPr>
              <w:t>Investment Securities Gains</w:t>
            </w:r>
          </w:p>
        </w:tc>
        <w:tc>
          <w:tcPr>
            <w:tcW w:w="0" w:type="dxa"/>
            <w:vAlign w:val="bottom"/>
          </w:tcPr>
          <w:p>
            <w:pPr>
              <w:spacing w:after="0"/>
              <w:rPr>
                <w:sz w:val="1"/>
                <w:szCs w:val="1"/>
                <w:color w:val="auto"/>
              </w:rPr>
            </w:pPr>
          </w:p>
        </w:tc>
      </w:tr>
      <w:tr>
        <w:trPr>
          <w:trHeight w:val="206"/>
        </w:trPr>
        <w:tc>
          <w:tcPr>
            <w:tcW w:w="5520" w:type="dxa"/>
            <w:vAlign w:val="bottom"/>
            <w:vMerge w:val="restart"/>
          </w:tcPr>
          <w:p>
            <w:pPr>
              <w:ind w:left="40"/>
              <w:spacing w:after="0"/>
              <w:rPr>
                <w:sz w:val="20"/>
                <w:szCs w:val="20"/>
                <w:color w:val="auto"/>
              </w:rPr>
            </w:pPr>
            <w:r>
              <w:rPr>
                <w:rFonts w:ascii="Arial" w:cs="Arial" w:eastAsia="Arial" w:hAnsi="Arial"/>
                <w:sz w:val="16"/>
                <w:szCs w:val="16"/>
                <w:color w:val="auto"/>
              </w:rPr>
              <w:t>Sale of Investment Securities Available-for-Sale</w:t>
            </w:r>
          </w:p>
        </w:tc>
        <w:tc>
          <w:tcPr>
            <w:tcW w:w="120" w:type="dxa"/>
            <w:vAlign w:val="bottom"/>
          </w:tcPr>
          <w:p>
            <w:pPr>
              <w:spacing w:after="0"/>
              <w:rPr>
                <w:sz w:val="17"/>
                <w:szCs w:val="17"/>
                <w:color w:val="auto"/>
              </w:rPr>
            </w:pPr>
          </w:p>
        </w:tc>
        <w:tc>
          <w:tcPr>
            <w:tcW w:w="1680" w:type="dxa"/>
            <w:vAlign w:val="bottom"/>
            <w:vMerge w:val="restart"/>
          </w:tcPr>
          <w:p>
            <w:pPr>
              <w:jc w:val="right"/>
              <w:ind w:right="19"/>
              <w:spacing w:after="0"/>
              <w:rPr>
                <w:sz w:val="20"/>
                <w:szCs w:val="20"/>
                <w:color w:val="auto"/>
              </w:rPr>
            </w:pPr>
            <w:r>
              <w:rPr>
                <w:rFonts w:ascii="Arial" w:cs="Arial" w:eastAsia="Arial" w:hAnsi="Arial"/>
                <w:sz w:val="16"/>
                <w:szCs w:val="16"/>
                <w:color w:val="auto"/>
              </w:rPr>
              <w:t>77</w:t>
            </w:r>
          </w:p>
        </w:tc>
        <w:tc>
          <w:tcPr>
            <w:tcW w:w="1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2240" w:type="dxa"/>
            <w:vAlign w:val="bottom"/>
          </w:tcPr>
          <w:p>
            <w:pPr>
              <w:ind w:left="20"/>
              <w:spacing w:after="0"/>
              <w:rPr>
                <w:sz w:val="20"/>
                <w:szCs w:val="20"/>
                <w:color w:val="auto"/>
              </w:rPr>
            </w:pPr>
            <w:r>
              <w:rPr>
                <w:rFonts w:ascii="Arial" w:cs="Arial" w:eastAsia="Arial" w:hAnsi="Arial"/>
                <w:sz w:val="16"/>
                <w:szCs w:val="16"/>
                <w:color w:val="auto"/>
              </w:rPr>
              <w:t>(Losses), Net</w:t>
            </w:r>
          </w:p>
        </w:tc>
        <w:tc>
          <w:tcPr>
            <w:tcW w:w="0" w:type="dxa"/>
            <w:vAlign w:val="bottom"/>
          </w:tcPr>
          <w:p>
            <w:pPr>
              <w:spacing w:after="0"/>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4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1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22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1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224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620" w:hanging="172"/>
        <w:spacing w:after="0" w:line="255" w:lineRule="auto"/>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months ended March 31, 2020, and March 31,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292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20" w:type="dxa"/>
            <w:vAlign w:val="bottom"/>
          </w:tcPr>
          <w:p>
            <w:pPr>
              <w:spacing w:after="0"/>
              <w:rPr>
                <w:sz w:val="18"/>
                <w:szCs w:val="18"/>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96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320" w:type="dxa"/>
            <w:vAlign w:val="bottom"/>
          </w:tcPr>
          <w:p>
            <w:pPr>
              <w:spacing w:after="0"/>
              <w:rPr>
                <w:sz w:val="20"/>
                <w:szCs w:val="20"/>
                <w:color w:val="auto"/>
              </w:rPr>
            </w:pPr>
          </w:p>
        </w:tc>
        <w:tc>
          <w:tcPr>
            <w:tcW w:w="1960" w:type="dxa"/>
            <w:vAlign w:val="bottom"/>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33"/>
        </w:trPr>
        <w:tc>
          <w:tcPr>
            <w:tcW w:w="8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9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39,681,611</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40,938,318</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960" w:type="dxa"/>
            <w:vAlign w:val="bottom"/>
          </w:tcPr>
          <w:p>
            <w:pPr>
              <w:jc w:val="right"/>
              <w:ind w:right="639"/>
              <w:spacing w:after="0"/>
              <w:rPr>
                <w:sz w:val="20"/>
                <w:szCs w:val="20"/>
                <w:color w:val="auto"/>
              </w:rPr>
            </w:pPr>
            <w:r>
              <w:rPr>
                <w:rFonts w:ascii="Arial" w:cs="Arial" w:eastAsia="Arial" w:hAnsi="Arial"/>
                <w:sz w:val="16"/>
                <w:szCs w:val="16"/>
                <w:color w:val="auto"/>
              </w:rPr>
              <w:t>235,375</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275,135</w:t>
            </w:r>
          </w:p>
        </w:tc>
      </w:tr>
      <w:tr>
        <w:trPr>
          <w:trHeight w:val="33"/>
        </w:trPr>
        <w:tc>
          <w:tcPr>
            <w:tcW w:w="8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9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39,916,986</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41,213,453</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9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106,602</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102,394</w:t>
            </w:r>
          </w:p>
        </w:tc>
      </w:tr>
      <w:tr>
        <w:trPr>
          <w:trHeight w:val="20"/>
        </w:trPr>
        <w:tc>
          <w:tcPr>
            <w:tcW w:w="8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Effective January 1, 2020, the Company changed segments based on management structure and strategic focus which is placing a greater emphasis on customer segment vs. product type. The Company’s business segments are defined as Consumer Banking, Commercial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ectPr>
          <w:pgSz w:w="11900" w:h="16838" w:orient="portrait"/>
          <w:cols w:equalWidth="0" w:num="1">
            <w:col w:w="11240"/>
          </w:cols>
          <w:pgMar w:left="320" w:top="130"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our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Consumer Banking offers a broad range of financial products and services, including loan, deposit and insurance products; private banking and international client banking services; trust services; investment management; and institutional investment advisory services. Consumer Banking also provides a full service brokerage offering equities, mutual funds, life insurance, and annuity products. Loan and lease products include residential mortgage loans, home equity lines of credit, automobile loans and leases, personal lines of credit, installment loans, small business loans and leases, and credit cards. Deposit products include checking, savings, and time deposit accounts.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Also within Consumer Banking, institutional client services offer investment advice to corporations, government entities, and foundations. Products and services from Consumer Banking are delivered to customers through 67 branch locations and 382 ATMs throughout Hawaii and the Pacific Islands, e-Bankoh (on-line banking service), a 24-hour customer service center, and a mobile banking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6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30" w:right="3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months ended March 31, 2020, and March 31, 2019,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Consolidated</w:t>
            </w:r>
          </w:p>
        </w:tc>
      </w:tr>
      <w:tr>
        <w:trPr>
          <w:trHeight w:val="23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Consumer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9"/>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2020</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73,661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45,986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6,319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125,966</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3,545</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29,765</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33,600</w:t>
            </w:r>
          </w:p>
        </w:tc>
      </w:tr>
      <w:tr>
        <w:trPr>
          <w:trHeight w:val="231"/>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1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70,116</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45,696</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(23,446)</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92,366</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32,590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11,735</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1,824</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46,149</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1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(70,900)</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(17,298)</w:t>
            </w: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(8,114)</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(96,312)</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31,806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40,133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(29,736)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42,203</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(7,984)</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(9,760)</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10,283</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(7,461)</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8"/>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23,822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30,373</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(19,453)</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34,742</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March 31, 2020</w:t>
            </w: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7,385,185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4,584,040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6,573,008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18,542,233</w:t>
            </w:r>
          </w:p>
        </w:tc>
      </w:tr>
      <w:tr>
        <w:trPr>
          <w:trHeight w:val="73"/>
        </w:trPr>
        <w:tc>
          <w:tcPr>
            <w:tcW w:w="4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1"/>
        </w:trPr>
        <w:tc>
          <w:tcPr>
            <w:tcW w:w="45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6"/>
                <w:szCs w:val="16"/>
                <w:b w:val="1"/>
                <w:bCs w:val="1"/>
                <w:color w:val="auto"/>
              </w:rPr>
              <w:t xml:space="preserve">Three Months Ended March 31, 2019 </w:t>
            </w:r>
            <w:r>
              <w:rPr>
                <w:rFonts w:ascii="Arial" w:cs="Arial" w:eastAsia="Arial" w:hAnsi="Arial"/>
                <w:sz w:val="21"/>
                <w:szCs w:val="21"/>
                <w:b w:val="1"/>
                <w:bCs w:val="1"/>
                <w:color w:val="auto"/>
                <w:vertAlign w:val="superscript"/>
              </w:rPr>
              <w:t>1</w:t>
            </w: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13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76,352</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47,290</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124,837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1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2,224</w:t>
            </w: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1,446</w:t>
            </w:r>
          </w:p>
        </w:tc>
        <w:tc>
          <w:tcPr>
            <w:tcW w:w="3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4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1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74,128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45,844</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121,837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1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34,478</w:t>
            </w: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7,061</w:t>
            </w:r>
          </w:p>
        </w:tc>
        <w:tc>
          <w:tcPr>
            <w:tcW w:w="36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2,140</w:t>
            </w:r>
          </w:p>
        </w:tc>
        <w:tc>
          <w:tcPr>
            <w:tcW w:w="2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43,679</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(69,427)</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(20,955)</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(2,675)</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(93,057)</w:t>
            </w:r>
          </w:p>
        </w:tc>
      </w:tr>
      <w:tr>
        <w:trPr>
          <w:trHeight w:val="231"/>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39,179</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31,950</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1,330</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72,459</w:t>
            </w:r>
          </w:p>
        </w:tc>
      </w:tr>
      <w:tr>
        <w:trPr>
          <w:trHeight w:val="33"/>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(9,834)</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(6,002)</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2,176</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(13,660)</w:t>
            </w:r>
          </w:p>
        </w:tc>
      </w:tr>
      <w:tr>
        <w:trPr>
          <w:trHeight w:val="230"/>
        </w:trPr>
        <w:tc>
          <w:tcPr>
            <w:tcW w:w="4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29,345</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25,948</w:t>
            </w:r>
          </w:p>
        </w:tc>
        <w:tc>
          <w:tcPr>
            <w:tcW w:w="3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3,506</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58,799</w:t>
            </w:r>
          </w:p>
        </w:tc>
      </w:tr>
      <w:tr>
        <w:trPr>
          <w:trHeight w:val="73"/>
        </w:trPr>
        <w:tc>
          <w:tcPr>
            <w:tcW w:w="4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51"/>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Total Assets as of March 31, 2019 </w:t>
            </w:r>
            <w:r>
              <w:rPr>
                <w:rFonts w:ascii="Arial" w:cs="Arial" w:eastAsia="Arial" w:hAnsi="Arial"/>
                <w:sz w:val="21"/>
                <w:szCs w:val="21"/>
                <w:b w:val="1"/>
                <w:bCs w:val="1"/>
                <w:color w:val="auto"/>
                <w:vertAlign w:val="superscript"/>
              </w:rPr>
              <w:t>1</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6,796,106</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4,004,176</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6,646,131</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17,446,413</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80" w:hanging="72"/>
        <w:spacing w:after="0"/>
        <w:tabs>
          <w:tab w:leader="none" w:pos="80" w:val="left"/>
        </w:tabs>
        <w:numPr>
          <w:ilvl w:val="0"/>
          <w:numId w:val="20"/>
        </w:numPr>
        <w:rPr>
          <w:rFonts w:ascii="Arial" w:cs="Arial" w:eastAsia="Arial" w:hAnsi="Arial"/>
          <w:sz w:val="9"/>
          <w:szCs w:val="9"/>
          <w:color w:val="auto"/>
        </w:rPr>
      </w:pPr>
      <w:r>
        <w:rPr>
          <w:rFonts w:ascii="Arial" w:cs="Arial" w:eastAsia="Arial" w:hAnsi="Arial"/>
          <w:sz w:val="14"/>
          <w:szCs w:val="14"/>
          <w:color w:val="auto"/>
        </w:rPr>
        <w:t>Certain prior period information has been reclassified to conform to current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months ended March 31, 2020, and March 31,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2019</w:t>
            </w:r>
          </w:p>
        </w:tc>
      </w:tr>
      <w:tr>
        <w:trPr>
          <w:trHeight w:val="24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151</w:t>
            </w:r>
          </w:p>
        </w:tc>
        <w:tc>
          <w:tcPr>
            <w:tcW w:w="92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118</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900</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1,094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231</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258</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98"/>
              <w:spacing w:after="0"/>
              <w:rPr>
                <w:sz w:val="20"/>
                <w:szCs w:val="20"/>
                <w:color w:val="auto"/>
              </w:rPr>
            </w:pPr>
            <w:r>
              <w:rPr>
                <w:rFonts w:ascii="Arial" w:cs="Arial" w:eastAsia="Arial" w:hAnsi="Arial"/>
                <w:sz w:val="16"/>
                <w:szCs w:val="16"/>
                <w:color w:val="auto"/>
              </w:rPr>
              <w:t>(1,258)</w:t>
            </w:r>
          </w:p>
        </w:tc>
        <w:tc>
          <w:tcPr>
            <w:tcW w:w="7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(61)</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5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rPr>
              <w:t>570</w:t>
            </w:r>
          </w:p>
        </w:tc>
        <w:tc>
          <w:tcPr>
            <w:tcW w:w="7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484</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0"/>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38"/>
              <w:spacing w:after="0"/>
              <w:rPr>
                <w:sz w:val="20"/>
                <w:szCs w:val="20"/>
                <w:color w:val="auto"/>
              </w:rPr>
            </w:pPr>
            <w:r>
              <w:rPr>
                <w:rFonts w:ascii="Arial" w:cs="Arial" w:eastAsia="Arial" w:hAnsi="Arial"/>
                <w:sz w:val="16"/>
                <w:szCs w:val="16"/>
                <w:color w:val="auto"/>
              </w:rPr>
              <w:t>212</w:t>
            </w:r>
          </w:p>
        </w:tc>
        <w:tc>
          <w:tcPr>
            <w:tcW w:w="7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329</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321</w:t>
            </w:r>
          </w:p>
        </w:tc>
        <w:tc>
          <w:tcPr>
            <w:tcW w:w="92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226</w:t>
            </w:r>
          </w:p>
        </w:tc>
      </w:tr>
      <w:tr>
        <w:trPr>
          <w:trHeight w:val="33"/>
        </w:trPr>
        <w:tc>
          <w:tcPr>
            <w:tcW w:w="5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months ended March 31, 2020, the Company contributed $0.1 million to the pension plans and $0.3 million to the postretirement benefit plan. The Company expects to contribute a total of $0.4 million to the pension plans and $1.0 million to the postretirement benefit plan for the year ending December 31, 2020.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March 31, 2020, and December 31, 2019,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March 31, 2020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920" w:type="dxa"/>
            <w:vAlign w:val="bottom"/>
          </w:tcPr>
          <w:p>
            <w:pPr>
              <w:spacing w:after="0"/>
              <w:rPr>
                <w:sz w:val="18"/>
                <w:szCs w:val="18"/>
                <w:color w:val="auto"/>
              </w:rPr>
            </w:pPr>
          </w:p>
        </w:tc>
      </w:tr>
      <w:tr>
        <w:trPr>
          <w:trHeight w:val="33"/>
        </w:trPr>
        <w:tc>
          <w:tcPr>
            <w:tcW w:w="44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8"/>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Notional Amount</w:t>
            </w: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4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82,433</w:t>
            </w:r>
          </w:p>
        </w:tc>
        <w:tc>
          <w:tcPr>
            <w:tcW w:w="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48,677</w:t>
            </w: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0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75,861</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82,735</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0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1,035,227</w:t>
            </w:r>
          </w:p>
        </w:tc>
        <w:tc>
          <w:tcPr>
            <w:tcW w:w="5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95,661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802,389</w:t>
            </w:r>
          </w:p>
        </w:tc>
        <w:tc>
          <w:tcPr>
            <w:tcW w:w="6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26,070</w:t>
            </w:r>
          </w:p>
        </w:tc>
      </w:tr>
      <w:tr>
        <w:trPr>
          <w:trHeight w:val="33"/>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1,035,227</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802,389</w:t>
            </w: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r>
      <w:tr>
        <w:trPr>
          <w:trHeight w:val="237"/>
        </w:trPr>
        <w:tc>
          <w:tcPr>
            <w:tcW w:w="44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00" w:type="dxa"/>
            <w:vAlign w:val="bottom"/>
          </w:tcPr>
          <w:p>
            <w:pPr>
              <w:spacing w:after="0"/>
              <w:rPr>
                <w:sz w:val="20"/>
                <w:szCs w:val="20"/>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88,211</w:t>
            </w:r>
          </w:p>
        </w:tc>
        <w:tc>
          <w:tcPr>
            <w:tcW w:w="5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85,499</w:t>
            </w:r>
          </w:p>
        </w:tc>
        <w:tc>
          <w:tcPr>
            <w:tcW w:w="6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4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98,180</w:t>
            </w:r>
          </w:p>
        </w:tc>
        <w:tc>
          <w:tcPr>
            <w:tcW w:w="5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114,499</w:t>
            </w:r>
          </w:p>
        </w:tc>
        <w:tc>
          <w:tcPr>
            <w:tcW w:w="6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March 31, 2020, and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20" w:type="dxa"/>
            <w:vAlign w:val="bottom"/>
          </w:tcPr>
          <w:p>
            <w:pPr>
              <w:spacing w:after="0"/>
              <w:rPr>
                <w:sz w:val="18"/>
                <w:szCs w:val="18"/>
                <w:color w:val="auto"/>
              </w:rPr>
            </w:pPr>
          </w:p>
        </w:tc>
        <w:tc>
          <w:tcPr>
            <w:tcW w:w="2740" w:type="dxa"/>
            <w:vAlign w:val="bottom"/>
            <w:gridSpan w:val="4"/>
          </w:tcPr>
          <w:p>
            <w:pPr>
              <w:ind w:left="62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24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0"/>
        </w:trPr>
        <w:tc>
          <w:tcPr>
            <w:tcW w:w="564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20" w:type="dxa"/>
            <w:vAlign w:val="bottom"/>
          </w:tcPr>
          <w:p>
            <w:pPr>
              <w:spacing w:after="0"/>
              <w:rPr>
                <w:sz w:val="24"/>
                <w:szCs w:val="24"/>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Asset</w:t>
            </w:r>
          </w:p>
        </w:tc>
        <w:tc>
          <w:tcPr>
            <w:tcW w:w="4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Asset</w:t>
            </w:r>
          </w:p>
        </w:tc>
        <w:tc>
          <w:tcPr>
            <w:tcW w:w="3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Derivatives</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Derivatives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3,930</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1,280</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95,918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27,344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6,051</w:t>
            </w:r>
          </w:p>
        </w:tc>
      </w:tr>
      <w:tr>
        <w:trPr>
          <w:trHeight w:val="237"/>
        </w:trPr>
        <w:tc>
          <w:tcPr>
            <w:tcW w:w="564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691</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284</w:t>
            </w:r>
          </w:p>
        </w:tc>
        <w:tc>
          <w:tcPr>
            <w:tcW w:w="3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100,591</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21,051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28,931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6,377</w:t>
            </w:r>
          </w:p>
        </w:tc>
      </w:tr>
      <w:tr>
        <w:trPr>
          <w:trHeight w:val="20"/>
        </w:trPr>
        <w:tc>
          <w:tcPr>
            <w:tcW w:w="5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months ended March 31, 2020, and March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4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Location of</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4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Net Gains (Losses)</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22"/>
                <w:szCs w:val="22"/>
                <w:color w:val="auto"/>
              </w:rPr>
            </w:pPr>
          </w:p>
        </w:tc>
      </w:tr>
      <w:tr>
        <w:trPr>
          <w:trHeight w:val="256"/>
        </w:trPr>
        <w:tc>
          <w:tcPr>
            <w:tcW w:w="500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4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Recognized in the</w:t>
            </w:r>
          </w:p>
        </w:tc>
        <w:tc>
          <w:tcPr>
            <w:tcW w:w="168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480" w:type="dxa"/>
            <w:vAlign w:val="bottom"/>
          </w:tcPr>
          <w:p>
            <w:pPr>
              <w:spacing w:after="0"/>
              <w:rPr>
                <w:sz w:val="22"/>
                <w:szCs w:val="22"/>
                <w:color w:val="auto"/>
              </w:rPr>
            </w:pPr>
          </w:p>
        </w:tc>
      </w:tr>
      <w:tr>
        <w:trPr>
          <w:trHeight w:val="33"/>
        </w:trPr>
        <w:tc>
          <w:tcPr>
            <w:tcW w:w="5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Statements of Income</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4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Mortgage Banking $</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6,303</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1,725</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4080" w:type="dxa"/>
            <w:vAlign w:val="bottom"/>
            <w:gridSpan w:val="2"/>
          </w:tcPr>
          <w:p>
            <w:pPr>
              <w:jc w:val="right"/>
              <w:ind w:right="320"/>
              <w:spacing w:after="0"/>
              <w:rPr>
                <w:sz w:val="20"/>
                <w:szCs w:val="20"/>
                <w:color w:val="auto"/>
              </w:rPr>
            </w:pPr>
            <w:r>
              <w:rPr>
                <w:rFonts w:ascii="Arial" w:cs="Arial" w:eastAsia="Arial" w:hAnsi="Arial"/>
                <w:sz w:val="16"/>
                <w:szCs w:val="16"/>
                <w:color w:val="auto"/>
              </w:rPr>
              <w:t>Mortgage Banking</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(2,184)</w:t>
            </w:r>
          </w:p>
        </w:tc>
        <w:tc>
          <w:tcPr>
            <w:tcW w:w="7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(592)</w:t>
            </w:r>
          </w:p>
        </w:tc>
      </w:tr>
      <w:tr>
        <w:trPr>
          <w:trHeight w:val="33"/>
        </w:trPr>
        <w:tc>
          <w:tcPr>
            <w:tcW w:w="50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4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Other Noninterest Income</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6,438</w:t>
            </w:r>
          </w:p>
        </w:tc>
        <w:tc>
          <w:tcPr>
            <w:tcW w:w="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1,136</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4080" w:type="dxa"/>
            <w:vAlign w:val="bottom"/>
            <w:gridSpan w:val="2"/>
          </w:tcPr>
          <w:p>
            <w:pPr>
              <w:jc w:val="right"/>
              <w:ind w:right="320"/>
              <w:spacing w:after="0"/>
              <w:rPr>
                <w:sz w:val="20"/>
                <w:szCs w:val="20"/>
                <w:color w:val="auto"/>
              </w:rPr>
            </w:pPr>
            <w:r>
              <w:rPr>
                <w:rFonts w:ascii="Arial" w:cs="Arial" w:eastAsia="Arial" w:hAnsi="Arial"/>
                <w:sz w:val="16"/>
                <w:szCs w:val="16"/>
                <w:color w:val="auto"/>
              </w:rPr>
              <w:t>Other Noninterest Income</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714</w:t>
            </w:r>
          </w:p>
        </w:tc>
        <w:tc>
          <w:tcPr>
            <w:tcW w:w="7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914</w:t>
            </w:r>
          </w:p>
        </w:tc>
      </w:tr>
      <w:tr>
        <w:trPr>
          <w:trHeight w:val="33"/>
        </w:trPr>
        <w:tc>
          <w:tcPr>
            <w:tcW w:w="50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11,271</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3,183</w:t>
            </w:r>
          </w:p>
        </w:tc>
      </w:tr>
      <w:tr>
        <w:trPr>
          <w:trHeight w:val="20"/>
        </w:trPr>
        <w:tc>
          <w:tcPr>
            <w:tcW w:w="500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31, 2020, and December 31, 2019,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Swap Agreements, foreign exchange contracts, and conversion rate swap agreements.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third-party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third-party financial institutions are now required to be cleared through one of the clearinghouses. The uncleared swap agreements executed with third-party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The conversion rate swap agreement was valued at zero (i.e., no contingent liability recorded) as further reductions to the conversion ratio were deemed neither probable nor reasonably estimable by management. See Note 3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March 31, 2020, and December 31, 2019,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2,579,748</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2,713,937</w:t>
            </w:r>
          </w:p>
        </w:tc>
      </w:tr>
      <w:tr>
        <w:trPr>
          <w:trHeight w:val="237"/>
        </w:trPr>
        <w:tc>
          <w:tcPr>
            <w:tcW w:w="544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0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83,175</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81,000</w:t>
            </w:r>
          </w:p>
        </w:tc>
      </w:tr>
      <w:tr>
        <w:trPr>
          <w:trHeight w:val="33"/>
        </w:trPr>
        <w:tc>
          <w:tcPr>
            <w:tcW w:w="5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Letters of Credit</w:t>
            </w:r>
          </w:p>
        </w:tc>
        <w:tc>
          <w:tcPr>
            <w:tcW w:w="30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15,870</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16,981</w:t>
            </w:r>
          </w:p>
        </w:tc>
      </w:tr>
      <w:tr>
        <w:trPr>
          <w:trHeight w:val="231"/>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0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2,678,793</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2,811,918</w:t>
            </w:r>
          </w:p>
        </w:tc>
      </w:tr>
      <w:tr>
        <w:trPr>
          <w:trHeight w:val="33"/>
        </w:trPr>
        <w:tc>
          <w:tcPr>
            <w:tcW w:w="54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On October 16, 2019, the Bank reached a tentative settlement with the named plaintiff, subject to documentation and court approvals. The settlement provides for forgiveness of certain related and previously charged off overdraft fees, and a payment by the Company of $8.0 million into a class settlement fund the proceeds of which will be used to refund class members, and to pay attorneys’ fees, administrative and other costs, in exchange for a complete release of all claims asserted against the Company. The Company had an $8.0 million reserve relating to this claim, as of March 31, 2020. On March 12, 2020, the court granted preliminary approval of the settlement. A court hearing for final approval of the settlement is set for July 6, 2020.</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March 31, 2020, the unpaid principal balance of residential mortgage loans sold by the Company was $2.8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three months ended March 31, 2020, there were no residential mortgage loans repurchased as a result of the representation and warranty provisions contained in the applicable contract. As of March 31, 2020, there was no pending repurchase requests related to representation and warranty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three months ended March 31, 2020, there were no loans repurchased related to loan servicing activities. As of March 31, 2020, there were no pending repurchase requests related to loan servicing activities.</w:t>
      </w:r>
    </w:p>
    <w:p>
      <w:pPr>
        <w:spacing w:after="0" w:line="18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March 31, 2020, management believes that this exposure is not material due to the historical level of repurchase requests and loss trends and thus has not established a liability for losses related to mortgage loan repurchases. As of March 31, 2020,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30" w:right="3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30" w:lineRule="exact"/>
        <w:rPr>
          <w:sz w:val="20"/>
          <w:szCs w:val="20"/>
          <w:color w:val="auto"/>
        </w:rPr>
      </w:pPr>
    </w:p>
    <w:p>
      <w:pPr>
        <w:ind w:left="1480" w:right="580" w:hanging="1038"/>
        <w:spacing w:after="0" w:line="286" w:lineRule="auto"/>
        <w:tabs>
          <w:tab w:leader="none" w:pos="14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480" w:right="600" w:hanging="1038"/>
        <w:spacing w:after="0" w:line="259" w:lineRule="auto"/>
        <w:tabs>
          <w:tab w:leader="none" w:pos="14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3" w:lineRule="exact"/>
        <w:rPr>
          <w:sz w:val="20"/>
          <w:szCs w:val="20"/>
          <w:color w:val="auto"/>
        </w:rPr>
      </w:pPr>
    </w:p>
    <w:p>
      <w:pPr>
        <w:ind w:left="1480" w:right="640" w:hanging="1038"/>
        <w:spacing w:after="0" w:line="259" w:lineRule="auto"/>
        <w:tabs>
          <w:tab w:leader="none" w:pos="14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30" w:right="3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March 31, 2020, and December 31, 2019,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30" w:right="3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balances of assets and liabilities measured at fair value on a recurring basis as of March 31, 2020, and December 31,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Quoted Prices</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in Active</w:t>
            </w:r>
          </w:p>
        </w:tc>
        <w:tc>
          <w:tcPr>
            <w:tcW w:w="380" w:type="dxa"/>
            <w:vAlign w:val="bottom"/>
          </w:tcPr>
          <w:p>
            <w:pPr>
              <w:spacing w:after="0"/>
              <w:rPr>
                <w:sz w:val="17"/>
                <w:szCs w:val="17"/>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Markets for</w:t>
            </w:r>
          </w:p>
        </w:tc>
        <w:tc>
          <w:tcPr>
            <w:tcW w:w="380" w:type="dxa"/>
            <w:vAlign w:val="bottom"/>
          </w:tcPr>
          <w:p>
            <w:pPr>
              <w:spacing w:after="0"/>
              <w:rPr>
                <w:sz w:val="17"/>
                <w:szCs w:val="17"/>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w w:val="95"/>
              </w:rPr>
              <w:t>Identical Assets</w:t>
            </w:r>
          </w:p>
        </w:tc>
        <w:tc>
          <w:tcPr>
            <w:tcW w:w="380" w:type="dxa"/>
            <w:vAlign w:val="bottom"/>
          </w:tcPr>
          <w:p>
            <w:pPr>
              <w:spacing w:after="0"/>
              <w:rPr>
                <w:sz w:val="17"/>
                <w:szCs w:val="17"/>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w w:val="96"/>
              </w:rPr>
              <w:t>Unobservable</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or Liabilities</w:t>
            </w:r>
          </w:p>
        </w:tc>
        <w:tc>
          <w:tcPr>
            <w:tcW w:w="380" w:type="dxa"/>
            <w:vAlign w:val="bottom"/>
          </w:tcPr>
          <w:p>
            <w:pPr>
              <w:spacing w:after="0"/>
              <w:rPr>
                <w:sz w:val="18"/>
                <w:szCs w:val="18"/>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6"/>
                <w:szCs w:val="16"/>
                <w:b w:val="1"/>
                <w:bCs w:val="1"/>
                <w:color w:val="auto"/>
              </w:rPr>
              <w:t>(Level 1)</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6"/>
        </w:trPr>
        <w:tc>
          <w:tcPr>
            <w:tcW w:w="48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March 31, 2020</w:t>
            </w:r>
          </w:p>
        </w:tc>
        <w:tc>
          <w:tcPr>
            <w:tcW w:w="6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20" w:type="dxa"/>
            <w:vAlign w:val="bottom"/>
          </w:tcPr>
          <w:p>
            <w:pPr>
              <w:ind w:left="28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20" w:type="dxa"/>
            <w:vAlign w:val="bottom"/>
          </w:tcPr>
          <w:p>
            <w:pPr>
              <w:ind w:left="500"/>
              <w:spacing w:after="0"/>
              <w:rPr>
                <w:sz w:val="20"/>
                <w:szCs w:val="20"/>
                <w:color w:val="auto"/>
              </w:rPr>
            </w:pPr>
            <w:r>
              <w:rPr>
                <w:rFonts w:ascii="Arial" w:cs="Arial" w:eastAsia="Arial" w:hAnsi="Arial"/>
                <w:sz w:val="14"/>
                <w:szCs w:val="14"/>
                <w:color w:val="auto"/>
              </w:rPr>
              <w:t>and Government Agencies</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1,176</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199,913</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201,089</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55,023</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55,023</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1,012</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271,176</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271,176</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Mortgage-Backed Securities:</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Government Agencies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1,199,214</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1,199,214</w:t>
            </w:r>
          </w:p>
        </w:tc>
        <w:tc>
          <w:tcPr>
            <w:tcW w:w="0" w:type="dxa"/>
            <w:vAlign w:val="bottom"/>
          </w:tcPr>
          <w:p>
            <w:pPr>
              <w:spacing w:after="0"/>
              <w:rPr>
                <w:sz w:val="1"/>
                <w:szCs w:val="1"/>
                <w:color w:val="auto"/>
              </w:rPr>
            </w:pPr>
          </w:p>
        </w:tc>
      </w:tr>
      <w:tr>
        <w:trPr>
          <w:trHeight w:val="264"/>
        </w:trPr>
        <w:tc>
          <w:tcPr>
            <w:tcW w:w="4820" w:type="dxa"/>
            <w:vAlign w:val="bottom"/>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661,173</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661,173</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Commercial - Government Agencies</w:t>
            </w: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292,362</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292,362</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Mortgage-Backed Securities</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2,152,749</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2,152,749</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6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1,176</w:t>
            </w: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2,679,873</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2,681,049</w:t>
            </w: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20,789</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20,789</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1,101</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42,844</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42,844</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743</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99,848</w:t>
            </w: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100,591</w:t>
            </w:r>
          </w:p>
        </w:tc>
        <w:tc>
          <w:tcPr>
            <w:tcW w:w="0" w:type="dxa"/>
            <w:vAlign w:val="bottom"/>
          </w:tcPr>
          <w:p>
            <w:pPr>
              <w:spacing w:after="0"/>
              <w:rPr>
                <w:sz w:val="1"/>
                <w:szCs w:val="1"/>
                <w:color w:val="auto"/>
              </w:rPr>
            </w:pPr>
          </w:p>
        </w:tc>
      </w:tr>
      <w:tr>
        <w:trPr>
          <w:trHeight w:val="152"/>
        </w:trPr>
        <w:tc>
          <w:tcPr>
            <w:tcW w:w="48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March 31, 2020</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44,020</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2,701,405</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100,949</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2,846,374</w:t>
            </w:r>
          </w:p>
        </w:tc>
        <w:tc>
          <w:tcPr>
            <w:tcW w:w="0" w:type="dxa"/>
            <w:vAlign w:val="bottom"/>
          </w:tcPr>
          <w:p>
            <w:pPr>
              <w:spacing w:after="0"/>
              <w:rPr>
                <w:sz w:val="1"/>
                <w:szCs w:val="1"/>
                <w:color w:val="auto"/>
              </w:rPr>
            </w:pPr>
          </w:p>
        </w:tc>
      </w:tr>
      <w:tr>
        <w:trPr>
          <w:trHeight w:val="122"/>
        </w:trPr>
        <w:tc>
          <w:tcPr>
            <w:tcW w:w="48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1,883</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19,168</w:t>
            </w:r>
          </w:p>
        </w:tc>
        <w:tc>
          <w:tcPr>
            <w:tcW w:w="4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21,051</w:t>
            </w:r>
          </w:p>
        </w:tc>
        <w:tc>
          <w:tcPr>
            <w:tcW w:w="0" w:type="dxa"/>
            <w:vAlign w:val="bottom"/>
          </w:tcPr>
          <w:p>
            <w:pPr>
              <w:spacing w:after="0"/>
              <w:rPr>
                <w:sz w:val="1"/>
                <w:szCs w:val="1"/>
                <w:color w:val="auto"/>
              </w:rPr>
            </w:pPr>
          </w:p>
        </w:tc>
      </w:tr>
      <w:tr>
        <w:trPr>
          <w:trHeight w:val="152"/>
        </w:trPr>
        <w:tc>
          <w:tcPr>
            <w:tcW w:w="48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March 31, 2020</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1,883</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19,168</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21,051</w:t>
            </w:r>
          </w:p>
        </w:tc>
        <w:tc>
          <w:tcPr>
            <w:tcW w:w="0" w:type="dxa"/>
            <w:vAlign w:val="bottom"/>
          </w:tcPr>
          <w:p>
            <w:pPr>
              <w:spacing w:after="0"/>
              <w:rPr>
                <w:sz w:val="1"/>
                <w:szCs w:val="1"/>
                <w:color w:val="auto"/>
              </w:rPr>
            </w:pPr>
          </w:p>
        </w:tc>
      </w:tr>
      <w:tr>
        <w:trPr>
          <w:trHeight w:val="121"/>
        </w:trPr>
        <w:tc>
          <w:tcPr>
            <w:tcW w:w="48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December 31, 2019</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Investment Securities Available-for-Sale</w:t>
            </w:r>
          </w:p>
        </w:tc>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Securities Issued by the U.S. Treasury</w:t>
            </w:r>
          </w:p>
        </w:tc>
        <w:tc>
          <w:tcPr>
            <w:tcW w:w="6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8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and Government Agencies</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1,155</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219,976</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221,131</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55,097</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55,097</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22,147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22,147</w:t>
            </w:r>
          </w:p>
        </w:tc>
        <w:tc>
          <w:tcPr>
            <w:tcW w:w="0" w:type="dxa"/>
            <w:vAlign w:val="bottom"/>
          </w:tcPr>
          <w:p>
            <w:pPr>
              <w:spacing w:after="0"/>
              <w:rPr>
                <w:sz w:val="1"/>
                <w:szCs w:val="1"/>
                <w:color w:val="auto"/>
              </w:rPr>
            </w:pPr>
          </w:p>
        </w:tc>
      </w:tr>
      <w:tr>
        <w:trPr>
          <w:trHeight w:val="264"/>
        </w:trPr>
        <w:tc>
          <w:tcPr>
            <w:tcW w:w="4820" w:type="dxa"/>
            <w:vAlign w:val="bottom"/>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336,321</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336,321</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Mortgage-Backed Securities: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560"/>
              <w:spacing w:after="0"/>
              <w:rPr>
                <w:sz w:val="20"/>
                <w:szCs w:val="20"/>
                <w:color w:val="auto"/>
              </w:rPr>
            </w:pPr>
            <w:r>
              <w:rPr>
                <w:rFonts w:ascii="Arial" w:cs="Arial" w:eastAsia="Arial" w:hAnsi="Arial"/>
                <w:sz w:val="14"/>
                <w:szCs w:val="14"/>
                <w:color w:val="auto"/>
              </w:rPr>
              <w:t>Residential - Government Agencies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1,172,826</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1,172,826</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586,761</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586,761</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Commercial - Government Agencies</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224,720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224,720</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Mortgage-Backed Securities</w:t>
            </w:r>
          </w:p>
        </w:tc>
        <w:tc>
          <w:tcPr>
            <w:tcW w:w="6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1,984,307</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1,984,307</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1,155</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2,617,848</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2,619,003</w:t>
            </w:r>
          </w:p>
        </w:tc>
        <w:tc>
          <w:tcPr>
            <w:tcW w:w="0" w:type="dxa"/>
            <w:vAlign w:val="bottom"/>
          </w:tcPr>
          <w:p>
            <w:pPr>
              <w:spacing w:after="0"/>
              <w:rPr>
                <w:sz w:val="1"/>
                <w:szCs w:val="1"/>
                <w:color w:val="auto"/>
              </w:rPr>
            </w:pPr>
          </w:p>
        </w:tc>
      </w:tr>
      <w:tr>
        <w:trPr>
          <w:trHeight w:val="269"/>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39,062</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39,062</w:t>
            </w: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4"/>
                <w:szCs w:val="14"/>
                <w:color w:val="auto"/>
              </w:rPr>
              <w:t>Mortgage Servicing Rights</w:t>
            </w:r>
          </w:p>
        </w:tc>
        <w:tc>
          <w:tcPr>
            <w:tcW w:w="660" w:type="dxa"/>
            <w:vAlign w:val="bottom"/>
          </w:tcPr>
          <w:p>
            <w:pPr>
              <w:spacing w:after="0"/>
              <w:rPr>
                <w:sz w:val="22"/>
                <w:szCs w:val="22"/>
                <w:color w:val="auto"/>
              </w:rPr>
            </w:pPr>
          </w:p>
        </w:tc>
        <w:tc>
          <w:tcPr>
            <w:tcW w:w="138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107"/>
              <w:spacing w:after="0"/>
              <w:rPr>
                <w:sz w:val="20"/>
                <w:szCs w:val="20"/>
                <w:color w:val="auto"/>
              </w:rPr>
            </w:pPr>
            <w:r>
              <w:rPr>
                <w:rFonts w:ascii="Arial" w:cs="Arial" w:eastAsia="Arial" w:hAnsi="Arial"/>
                <w:sz w:val="14"/>
                <w:szCs w:val="14"/>
                <w:color w:val="auto"/>
              </w:rPr>
              <w:t>1,126</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27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6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27"/>
              <w:spacing w:after="0"/>
              <w:rPr>
                <w:sz w:val="20"/>
                <w:szCs w:val="20"/>
                <w:color w:val="auto"/>
              </w:rPr>
            </w:pPr>
            <w:r>
              <w:rPr>
                <w:rFonts w:ascii="Arial" w:cs="Arial" w:eastAsia="Arial" w:hAnsi="Arial"/>
                <w:sz w:val="14"/>
                <w:szCs w:val="14"/>
                <w:color w:val="auto"/>
              </w:rPr>
              <w:t>41,464</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41,464</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308</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28,623</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28,931</w:t>
            </w:r>
          </w:p>
        </w:tc>
        <w:tc>
          <w:tcPr>
            <w:tcW w:w="0" w:type="dxa"/>
            <w:vAlign w:val="bottom"/>
          </w:tcPr>
          <w:p>
            <w:pPr>
              <w:spacing w:after="0"/>
              <w:rPr>
                <w:sz w:val="1"/>
                <w:szCs w:val="1"/>
                <w:color w:val="auto"/>
              </w:rPr>
            </w:pPr>
          </w:p>
        </w:tc>
      </w:tr>
      <w:tr>
        <w:trPr>
          <w:trHeight w:val="152"/>
        </w:trPr>
        <w:tc>
          <w:tcPr>
            <w:tcW w:w="482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shd w:val="clear" w:color="auto" w:fill="CCEEFF"/>
              </w:rPr>
              <w:t>Total Assets Measured at Fair Value on a</w:t>
            </w:r>
          </w:p>
        </w:tc>
        <w:tc>
          <w:tcPr>
            <w:tcW w:w="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shd w:val="clear" w:color="auto" w:fill="CCEEFF"/>
              </w:rPr>
              <w:t>Recurring Basis as of December 31, 2019</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4"/>
                <w:szCs w:val="14"/>
                <w:color w:val="auto"/>
              </w:rPr>
              <w:t>42,619</w:t>
            </w:r>
          </w:p>
        </w:tc>
        <w:tc>
          <w:tcPr>
            <w:tcW w:w="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2,657,218</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4"/>
                <w:szCs w:val="14"/>
                <w:color w:val="auto"/>
              </w:rPr>
              <w:t>29,749</w:t>
            </w:r>
          </w:p>
        </w:tc>
        <w:tc>
          <w:tcPr>
            <w:tcW w:w="4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2,729,586</w:t>
            </w:r>
          </w:p>
        </w:tc>
        <w:tc>
          <w:tcPr>
            <w:tcW w:w="0" w:type="dxa"/>
            <w:vAlign w:val="bottom"/>
          </w:tcPr>
          <w:p>
            <w:pPr>
              <w:spacing w:after="0"/>
              <w:rPr>
                <w:sz w:val="1"/>
                <w:szCs w:val="1"/>
                <w:color w:val="auto"/>
              </w:rPr>
            </w:pP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6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327</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6,050</w:t>
            </w:r>
          </w:p>
        </w:tc>
        <w:tc>
          <w:tcPr>
            <w:tcW w:w="4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Total Liabilities Measured at Fair Value on a</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127"/>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107"/>
              <w:spacing w:after="0"/>
              <w:rPr>
                <w:sz w:val="20"/>
                <w:szCs w:val="20"/>
                <w:color w:val="auto"/>
              </w:rPr>
            </w:pPr>
            <w:r>
              <w:rPr>
                <w:rFonts w:ascii="Arial" w:cs="Arial" w:eastAsia="Arial" w:hAnsi="Arial"/>
                <w:sz w:val="14"/>
                <w:szCs w:val="14"/>
                <w:color w:val="auto"/>
              </w:rPr>
              <w:t>327</w:t>
            </w:r>
          </w:p>
        </w:tc>
        <w:tc>
          <w:tcPr>
            <w:tcW w:w="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7"/>
              <w:spacing w:after="0"/>
              <w:rPr>
                <w:sz w:val="20"/>
                <w:szCs w:val="20"/>
                <w:color w:val="auto"/>
              </w:rPr>
            </w:pPr>
            <w:r>
              <w:rPr>
                <w:rFonts w:ascii="Arial" w:cs="Arial" w:eastAsia="Arial" w:hAnsi="Arial"/>
                <w:sz w:val="14"/>
                <w:szCs w:val="14"/>
                <w:color w:val="auto"/>
              </w:rPr>
              <w:t>6,050</w:t>
            </w:r>
          </w:p>
        </w:tc>
        <w:tc>
          <w:tcPr>
            <w:tcW w:w="4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175"/>
        </w:trPr>
        <w:tc>
          <w:tcPr>
            <w:tcW w:w="482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shd w:val="clear" w:color="auto" w:fill="CCEEFF"/>
              </w:rPr>
              <w:t>Recurring Basis as of December 31, 2019</w:t>
            </w: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380" w:type="dxa"/>
            <w:vAlign w:val="bottom"/>
            <w:tcBorders>
              <w:bottom w:val="single" w:sz="8" w:color="CCEEFF"/>
            </w:tcBorders>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240"/>
          </w:cols>
          <w:pgMar w:left="320" w:top="130" w:right="339" w:bottom="547"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30" w:right="339" w:bottom="547"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March 31, 2020, and March 31, 2019,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 xml:space="preserve">Servicing Rights </w:t>
            </w:r>
            <w:r>
              <w:rPr>
                <w:rFonts w:ascii="Arial" w:cs="Arial" w:eastAsia="Arial" w:hAnsi="Arial"/>
                <w:sz w:val="17"/>
                <w:szCs w:val="17"/>
                <w:b w:val="1"/>
                <w:bCs w:val="1"/>
                <w:color w:val="auto"/>
                <w:w w:val="97"/>
                <w:vertAlign w:val="superscript"/>
              </w:rPr>
              <w:t>1</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March 31, 2020</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2020</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1,126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22,573</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08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6,172</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08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55,588</w:t>
            </w:r>
          </w:p>
        </w:tc>
        <w:tc>
          <w:tcPr>
            <w:tcW w:w="0" w:type="dxa"/>
            <w:vAlign w:val="bottom"/>
          </w:tcPr>
          <w:p>
            <w:pPr>
              <w:spacing w:after="0"/>
              <w:rPr>
                <w:sz w:val="1"/>
                <w:szCs w:val="1"/>
                <w:color w:val="auto"/>
              </w:rPr>
            </w:pPr>
          </w:p>
        </w:tc>
      </w:tr>
      <w:tr>
        <w:trPr>
          <w:trHeight w:val="33"/>
        </w:trPr>
        <w:tc>
          <w:tcPr>
            <w:tcW w:w="60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Balance as of March 31, 2020</w:t>
            </w:r>
          </w:p>
        </w:tc>
        <w:tc>
          <w:tcPr>
            <w:tcW w:w="2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1,101</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80,680</w:t>
            </w:r>
          </w:p>
        </w:tc>
        <w:tc>
          <w:tcPr>
            <w:tcW w:w="0" w:type="dxa"/>
            <w:vAlign w:val="bottom"/>
          </w:tcPr>
          <w:p>
            <w:pPr>
              <w:spacing w:after="0"/>
              <w:rPr>
                <w:sz w:val="1"/>
                <w:szCs w:val="1"/>
                <w:color w:val="auto"/>
              </w:rPr>
            </w:pP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March 31, 2020</w:t>
            </w:r>
          </w:p>
        </w:tc>
        <w:tc>
          <w:tcPr>
            <w:tcW w:w="2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80,680</w:t>
            </w:r>
          </w:p>
        </w:tc>
        <w:tc>
          <w:tcPr>
            <w:tcW w:w="0" w:type="dxa"/>
            <w:vAlign w:val="bottom"/>
          </w:tcPr>
          <w:p>
            <w:pPr>
              <w:spacing w:after="0"/>
              <w:rPr>
                <w:sz w:val="1"/>
                <w:szCs w:val="1"/>
                <w:color w:val="auto"/>
              </w:rPr>
            </w:pPr>
          </w:p>
        </w:tc>
      </w:tr>
      <w:tr>
        <w:trPr>
          <w:trHeight w:val="73"/>
        </w:trPr>
        <w:tc>
          <w:tcPr>
            <w:tcW w:w="60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2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2019</w:t>
            </w:r>
          </w:p>
        </w:tc>
        <w:tc>
          <w:tcPr>
            <w:tcW w:w="2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08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0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231"/>
        </w:trPr>
        <w:tc>
          <w:tcPr>
            <w:tcW w:w="6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2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1,268</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73"/>
        </w:trPr>
        <w:tc>
          <w:tcPr>
            <w:tcW w:w="60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0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March 31, 2019</w:t>
            </w:r>
          </w:p>
        </w:tc>
        <w:tc>
          <w:tcPr>
            <w:tcW w:w="2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23"/>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4" w:lineRule="exact"/>
        <w:rPr>
          <w:rFonts w:ascii="Arial" w:cs="Arial" w:eastAsia="Arial" w:hAnsi="Arial"/>
          <w:sz w:val="8"/>
          <w:szCs w:val="8"/>
          <w:color w:val="auto"/>
        </w:rPr>
      </w:pPr>
    </w:p>
    <w:p>
      <w:pPr>
        <w:ind w:left="80" w:right="80" w:hanging="81"/>
        <w:spacing w:after="0" w:line="248" w:lineRule="auto"/>
        <w:rPr>
          <w:rFonts w:ascii="Arial" w:cs="Arial" w:eastAsia="Arial" w:hAnsi="Arial"/>
          <w:sz w:val="8"/>
          <w:szCs w:val="8"/>
          <w:color w:val="auto"/>
        </w:rPr>
      </w:pPr>
      <w:r>
        <w:rPr>
          <w:rFonts w:ascii="Arial" w:cs="Arial" w:eastAsia="Arial" w:hAnsi="Arial"/>
          <w:sz w:val="9"/>
          <w:szCs w:val="9"/>
          <w:color w:val="auto"/>
        </w:rPr>
        <w:t xml:space="preserve">2 </w:t>
      </w:r>
      <w:r>
        <w:rPr>
          <w:rFonts w:ascii="Arial" w:cs="Arial" w:eastAsia="Arial" w:hAnsi="Arial"/>
          <w:sz w:val="14"/>
          <w:szCs w:val="14"/>
          <w:color w:val="auto"/>
        </w:rPr>
        <w:t>Realized and unrealized gains and losses related to interest rate lock commitments are reported as a component of mortgage banking income in the Company’s consolidated statements of</w:t>
      </w:r>
      <w:r>
        <w:rPr>
          <w:rFonts w:ascii="Arial" w:cs="Arial" w:eastAsia="Arial" w:hAnsi="Arial"/>
          <w:sz w:val="9"/>
          <w:szCs w:val="9"/>
          <w:color w:val="auto"/>
        </w:rPr>
        <w:t xml:space="preserve"> </w:t>
      </w:r>
      <w:r>
        <w:rPr>
          <w:rFonts w:ascii="Arial" w:cs="Arial" w:eastAsia="Arial" w:hAnsi="Arial"/>
          <w:sz w:val="14"/>
          <w:szCs w:val="14"/>
          <w:color w:val="auto"/>
        </w:rPr>
        <w:t>income. Realized and unrealized gains and losses related to interest rate swap agreements are reported as a component of other noninterest income in the Company’s consolidated statements of income.</w:t>
      </w:r>
    </w:p>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March 31, 2020, and December 31, 2019, the significant unobservable inputs used in the fair value measurements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gridSpan w:val="3"/>
          </w:tcPr>
          <w:p>
            <w:pPr>
              <w:jc w:val="right"/>
              <w:ind w:right="508"/>
              <w:spacing w:after="0"/>
              <w:rPr>
                <w:sz w:val="20"/>
                <w:szCs w:val="20"/>
                <w:color w:val="auto"/>
              </w:rPr>
            </w:pPr>
            <w:r>
              <w:rPr>
                <w:rFonts w:ascii="Arial" w:cs="Arial" w:eastAsia="Arial" w:hAnsi="Arial"/>
                <w:sz w:val="16"/>
                <w:szCs w:val="16"/>
                <w:b w:val="1"/>
                <w:bCs w:val="1"/>
                <w:color w:val="auto"/>
              </w:rPr>
              <w:t>March 31, 2020</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jc w:val="right"/>
              <w:ind w:right="268"/>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2560" w:type="dxa"/>
            <w:vAlign w:val="bottom"/>
          </w:tcPr>
          <w:p>
            <w:pPr>
              <w:spacing w:after="0"/>
              <w:rPr>
                <w:sz w:val="18"/>
                <w:szCs w:val="18"/>
                <w:color w:val="auto"/>
              </w:rPr>
            </w:pPr>
          </w:p>
        </w:tc>
        <w:tc>
          <w:tcPr>
            <w:tcW w:w="1460" w:type="dxa"/>
            <w:vAlign w:val="bottom"/>
          </w:tcPr>
          <w:p>
            <w:pPr>
              <w:jc w:val="right"/>
              <w:ind w:right="65"/>
              <w:spacing w:after="0"/>
              <w:rPr>
                <w:sz w:val="20"/>
                <w:szCs w:val="20"/>
                <w:color w:val="auto"/>
              </w:rPr>
            </w:pPr>
            <w:r>
              <w:rPr>
                <w:rFonts w:ascii="Arial" w:cs="Arial" w:eastAsia="Arial" w:hAnsi="Arial"/>
                <w:sz w:val="16"/>
                <w:szCs w:val="16"/>
                <w:b w:val="1"/>
                <w:bCs w:val="1"/>
                <w:color w:val="auto"/>
              </w:rPr>
              <w:t>Valuation</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125"/>
              <w:spacing w:after="0"/>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Fair</w:t>
            </w:r>
          </w:p>
        </w:tc>
        <w:tc>
          <w:tcPr>
            <w:tcW w:w="1080" w:type="dxa"/>
            <w:vAlign w:val="bottom"/>
          </w:tcPr>
          <w:p>
            <w:pPr>
              <w:jc w:val="right"/>
              <w:ind w:right="124"/>
              <w:spacing w:after="0"/>
              <w:rPr>
                <w:sz w:val="20"/>
                <w:szCs w:val="20"/>
                <w:color w:val="auto"/>
              </w:rPr>
            </w:pPr>
            <w:r>
              <w:rPr>
                <w:rFonts w:ascii="Arial" w:cs="Arial" w:eastAsia="Arial" w:hAnsi="Arial"/>
                <w:sz w:val="16"/>
                <w:szCs w:val="16"/>
                <w:b w:val="1"/>
                <w:bCs w:val="1"/>
                <w:color w:val="auto"/>
              </w:rPr>
              <w:t>Weighted</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43"/>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Technique</w:t>
            </w:r>
          </w:p>
        </w:tc>
        <w:tc>
          <w:tcPr>
            <w:tcW w:w="13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Description</w:t>
            </w:r>
          </w:p>
        </w:tc>
        <w:tc>
          <w:tcPr>
            <w:tcW w:w="11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rPr>
              <w:t>Range</w:t>
            </w:r>
          </w:p>
        </w:tc>
        <w:tc>
          <w:tcPr>
            <w:tcW w:w="7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 xml:space="preserve">Average </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Value</w:t>
            </w: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b w:val="1"/>
                <w:bCs w:val="1"/>
                <w:color w:val="auto"/>
              </w:rPr>
              <w:t xml:space="preserve">Average </w:t>
            </w:r>
            <w:r>
              <w:rPr>
                <w:rFonts w:ascii="Arial" w:cs="Arial" w:eastAsia="Arial" w:hAnsi="Arial"/>
                <w:sz w:val="21"/>
                <w:szCs w:val="21"/>
                <w:b w:val="1"/>
                <w:bCs w:val="1"/>
                <w:color w:val="auto"/>
                <w:vertAlign w:val="superscript"/>
              </w:rPr>
              <w:t>1</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r>
      <w:tr>
        <w:trPr>
          <w:trHeight w:val="150"/>
        </w:trPr>
        <w:tc>
          <w:tcPr>
            <w:tcW w:w="25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65"/>
              <w:spacing w:after="0" w:line="151" w:lineRule="exact"/>
              <w:rPr>
                <w:sz w:val="20"/>
                <w:szCs w:val="20"/>
                <w:color w:val="auto"/>
              </w:rPr>
            </w:pPr>
            <w:r>
              <w:rPr>
                <w:rFonts w:ascii="Arial" w:cs="Arial" w:eastAsia="Arial" w:hAnsi="Arial"/>
                <w:sz w:val="14"/>
                <w:szCs w:val="14"/>
                <w:color w:val="auto"/>
              </w:rPr>
              <w:t>Discounted Cash</w:t>
            </w:r>
          </w:p>
        </w:tc>
        <w:tc>
          <w:tcPr>
            <w:tcW w:w="1380" w:type="dxa"/>
            <w:vAlign w:val="bottom"/>
            <w:shd w:val="clear" w:color="auto" w:fill="CCEEFF"/>
          </w:tcPr>
          <w:p>
            <w:pPr>
              <w:jc w:val="right"/>
              <w:ind w:right="107"/>
              <w:spacing w:after="0" w:line="151" w:lineRule="exact"/>
              <w:rPr>
                <w:sz w:val="20"/>
                <w:szCs w:val="20"/>
                <w:color w:val="auto"/>
              </w:rPr>
            </w:pPr>
            <w:r>
              <w:rPr>
                <w:rFonts w:ascii="Arial" w:cs="Arial" w:eastAsia="Arial" w:hAnsi="Arial"/>
                <w:sz w:val="14"/>
                <w:szCs w:val="14"/>
                <w:color w:val="auto"/>
              </w:rPr>
              <w:t>Constant</w:t>
            </w: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94"/>
        </w:trPr>
        <w:tc>
          <w:tcPr>
            <w:tcW w:w="2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Flow</w:t>
            </w:r>
          </w:p>
        </w:tc>
        <w:tc>
          <w:tcPr>
            <w:tcW w:w="1380" w:type="dxa"/>
            <w:vAlign w:val="bottom"/>
            <w:shd w:val="clear" w:color="auto" w:fill="CCEEFF"/>
          </w:tcPr>
          <w:p>
            <w:pPr>
              <w:jc w:val="right"/>
              <w:ind w:right="147"/>
              <w:spacing w:after="0"/>
              <w:rPr>
                <w:sz w:val="20"/>
                <w:szCs w:val="20"/>
                <w:color w:val="auto"/>
              </w:rPr>
            </w:pPr>
            <w:r>
              <w:rPr>
                <w:rFonts w:ascii="Arial" w:cs="Arial" w:eastAsia="Arial" w:hAnsi="Arial"/>
                <w:sz w:val="14"/>
                <w:szCs w:val="14"/>
                <w:color w:val="auto"/>
              </w:rPr>
              <w:t>Prepayment Rate</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9.57%</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16.76%</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14.93%</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22,537</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10.76%</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26,840</w:t>
            </w:r>
          </w:p>
        </w:tc>
      </w:tr>
      <w:tr>
        <w:trPr>
          <w:trHeight w:val="264"/>
        </w:trPr>
        <w:tc>
          <w:tcPr>
            <w:tcW w:w="25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80" w:type="dxa"/>
            <w:vAlign w:val="bottom"/>
          </w:tcPr>
          <w:p>
            <w:pPr>
              <w:jc w:val="right"/>
              <w:ind w:right="107"/>
              <w:spacing w:after="0"/>
              <w:rPr>
                <w:sz w:val="20"/>
                <w:szCs w:val="20"/>
                <w:color w:val="auto"/>
              </w:rPr>
            </w:pPr>
            <w:r>
              <w:rPr>
                <w:rFonts w:ascii="Arial" w:cs="Arial" w:eastAsia="Arial" w:hAnsi="Arial"/>
                <w:sz w:val="14"/>
                <w:szCs w:val="14"/>
                <w:color w:val="auto"/>
              </w:rPr>
              <w:t>Discount Rate</w:t>
            </w:r>
          </w:p>
        </w:tc>
        <w:tc>
          <w:tcPr>
            <w:tcW w:w="820" w:type="dxa"/>
            <w:vAlign w:val="bottom"/>
          </w:tcPr>
          <w:p>
            <w:pPr>
              <w:jc w:val="right"/>
              <w:ind w:right="5"/>
              <w:spacing w:after="0"/>
              <w:rPr>
                <w:sz w:val="20"/>
                <w:szCs w:val="20"/>
                <w:color w:val="auto"/>
              </w:rPr>
            </w:pPr>
            <w:r>
              <w:rPr>
                <w:rFonts w:ascii="Arial" w:cs="Arial" w:eastAsia="Arial" w:hAnsi="Arial"/>
                <w:sz w:val="14"/>
                <w:szCs w:val="14"/>
                <w:color w:val="auto"/>
              </w:rPr>
              <w:t>5.88%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6.44%</w:t>
            </w:r>
          </w:p>
        </w:tc>
        <w:tc>
          <w:tcPr>
            <w:tcW w:w="1040" w:type="dxa"/>
            <w:vAlign w:val="bottom"/>
          </w:tcPr>
          <w:p>
            <w:pPr>
              <w:jc w:val="right"/>
              <w:ind w:right="5"/>
              <w:spacing w:after="0"/>
              <w:rPr>
                <w:sz w:val="20"/>
                <w:szCs w:val="20"/>
                <w:color w:val="auto"/>
              </w:rPr>
            </w:pPr>
            <w:r>
              <w:rPr>
                <w:rFonts w:ascii="Arial" w:cs="Arial" w:eastAsia="Arial" w:hAnsi="Arial"/>
                <w:sz w:val="14"/>
                <w:szCs w:val="14"/>
                <w:color w:val="auto"/>
              </w:rPr>
              <w:t>5.90%</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7.33%</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5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256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1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146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Pricing Model</w:t>
            </w:r>
          </w:p>
        </w:tc>
        <w:tc>
          <w:tcPr>
            <w:tcW w:w="138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Closing Ratio</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75.40%</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99.00%</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87.46%</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3,930</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auto"/>
              </w:rPr>
              <w:t>92.24%</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w:t>
            </w:r>
          </w:p>
        </w:tc>
      </w:tr>
      <w:tr>
        <w:trPr>
          <w:trHeight w:val="157"/>
        </w:trPr>
        <w:tc>
          <w:tcPr>
            <w:tcW w:w="2560" w:type="dxa"/>
            <w:vAlign w:val="bottom"/>
          </w:tcPr>
          <w:p>
            <w:pPr>
              <w:spacing w:after="0"/>
              <w:rPr>
                <w:sz w:val="13"/>
                <w:szCs w:val="13"/>
                <w:color w:val="auto"/>
              </w:rPr>
            </w:pPr>
          </w:p>
        </w:tc>
        <w:tc>
          <w:tcPr>
            <w:tcW w:w="1460" w:type="dxa"/>
            <w:vAlign w:val="bottom"/>
          </w:tcPr>
          <w:p>
            <w:pPr>
              <w:jc w:val="right"/>
              <w:ind w:right="65"/>
              <w:spacing w:after="0" w:line="157" w:lineRule="exact"/>
              <w:rPr>
                <w:sz w:val="20"/>
                <w:szCs w:val="20"/>
                <w:color w:val="auto"/>
              </w:rPr>
            </w:pPr>
            <w:r>
              <w:rPr>
                <w:rFonts w:ascii="Arial" w:cs="Arial" w:eastAsia="Arial" w:hAnsi="Arial"/>
                <w:sz w:val="14"/>
                <w:szCs w:val="14"/>
                <w:color w:val="auto"/>
              </w:rPr>
              <w:t>Discounted Cash</w:t>
            </w: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2"/>
        </w:trPr>
        <w:tc>
          <w:tcPr>
            <w:tcW w:w="256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1460" w:type="dxa"/>
            <w:vAlign w:val="bottom"/>
          </w:tcPr>
          <w:p>
            <w:pPr>
              <w:jc w:val="right"/>
              <w:ind w:right="65"/>
              <w:spacing w:after="0"/>
              <w:rPr>
                <w:sz w:val="20"/>
                <w:szCs w:val="20"/>
                <w:color w:val="auto"/>
              </w:rPr>
            </w:pPr>
            <w:r>
              <w:rPr>
                <w:rFonts w:ascii="Arial" w:cs="Arial" w:eastAsia="Arial" w:hAnsi="Arial"/>
                <w:sz w:val="14"/>
                <w:szCs w:val="14"/>
                <w:color w:val="auto"/>
              </w:rPr>
              <w:t>Flow</w:t>
            </w:r>
          </w:p>
        </w:tc>
        <w:tc>
          <w:tcPr>
            <w:tcW w:w="1380" w:type="dxa"/>
            <w:vAlign w:val="bottom"/>
          </w:tcPr>
          <w:p>
            <w:pPr>
              <w:jc w:val="right"/>
              <w:ind w:right="107"/>
              <w:spacing w:after="0"/>
              <w:rPr>
                <w:sz w:val="20"/>
                <w:szCs w:val="20"/>
                <w:color w:val="auto"/>
              </w:rPr>
            </w:pPr>
            <w:r>
              <w:rPr>
                <w:rFonts w:ascii="Arial" w:cs="Arial" w:eastAsia="Arial" w:hAnsi="Arial"/>
                <w:sz w:val="14"/>
                <w:szCs w:val="14"/>
                <w:color w:val="auto"/>
              </w:rPr>
              <w:t>Credit Factor</w:t>
            </w:r>
          </w:p>
        </w:tc>
        <w:tc>
          <w:tcPr>
            <w:tcW w:w="820" w:type="dxa"/>
            <w:vAlign w:val="bottom"/>
          </w:tcPr>
          <w:p>
            <w:pPr>
              <w:jc w:val="right"/>
              <w:ind w:right="5"/>
              <w:spacing w:after="0"/>
              <w:rPr>
                <w:sz w:val="20"/>
                <w:szCs w:val="20"/>
                <w:color w:val="auto"/>
              </w:rPr>
            </w:pPr>
            <w:r>
              <w:rPr>
                <w:rFonts w:ascii="Arial" w:cs="Arial" w:eastAsia="Arial" w:hAnsi="Arial"/>
                <w:sz w:val="14"/>
                <w:szCs w:val="14"/>
                <w:color w:val="auto"/>
              </w:rPr>
              <w:t>0.02%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0.61%</w:t>
            </w:r>
          </w:p>
        </w:tc>
        <w:tc>
          <w:tcPr>
            <w:tcW w:w="1040" w:type="dxa"/>
            <w:vAlign w:val="bottom"/>
          </w:tcPr>
          <w:p>
            <w:pPr>
              <w:jc w:val="right"/>
              <w:ind w:right="5"/>
              <w:spacing w:after="0"/>
              <w:rPr>
                <w:sz w:val="20"/>
                <w:szCs w:val="20"/>
                <w:color w:val="auto"/>
              </w:rPr>
            </w:pPr>
            <w:r>
              <w:rPr>
                <w:rFonts w:ascii="Arial" w:cs="Arial" w:eastAsia="Arial" w:hAnsi="Arial"/>
                <w:sz w:val="14"/>
                <w:szCs w:val="14"/>
                <w:color w:val="auto"/>
              </w:rPr>
              <w:t>0.19%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4"/>
              <w:spacing w:after="0"/>
              <w:rPr>
                <w:sz w:val="20"/>
                <w:szCs w:val="20"/>
                <w:color w:val="auto"/>
              </w:rPr>
            </w:pPr>
            <w:r>
              <w:rPr>
                <w:rFonts w:ascii="Arial" w:cs="Arial" w:eastAsia="Arial" w:hAnsi="Arial"/>
                <w:sz w:val="14"/>
                <w:szCs w:val="14"/>
                <w:color w:val="auto"/>
              </w:rPr>
              <w:t>76,750</w:t>
            </w:r>
          </w:p>
        </w:tc>
        <w:tc>
          <w:tcPr>
            <w:tcW w:w="12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0.20%</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21,293</w:t>
            </w:r>
          </w:p>
        </w:tc>
      </w:tr>
    </w:tbl>
    <w:p>
      <w:pPr>
        <w:spacing w:after="0" w:line="317" w:lineRule="exact"/>
        <w:rPr>
          <w:sz w:val="20"/>
          <w:szCs w:val="20"/>
          <w:color w:val="auto"/>
        </w:rPr>
      </w:pPr>
    </w:p>
    <w:p>
      <w:pPr>
        <w:ind w:left="80" w:right="140" w:hanging="72"/>
        <w:spacing w:after="0" w:line="273" w:lineRule="auto"/>
        <w:tabs>
          <w:tab w:leader="none" w:pos="80" w:val="left"/>
        </w:tabs>
        <w:numPr>
          <w:ilvl w:val="0"/>
          <w:numId w:val="24"/>
        </w:numPr>
        <w:rPr>
          <w:rFonts w:ascii="Arial" w:cs="Arial" w:eastAsia="Arial" w:hAnsi="Arial"/>
          <w:sz w:val="9"/>
          <w:szCs w:val="9"/>
          <w:color w:val="auto"/>
        </w:rPr>
      </w:pPr>
      <w:r>
        <w:rPr>
          <w:rFonts w:ascii="Arial" w:cs="Arial" w:eastAsia="Arial" w:hAnsi="Arial"/>
          <w:sz w:val="14"/>
          <w:szCs w:val="14"/>
          <w:color w:val="auto"/>
        </w:rPr>
        <w:t>Unobservable inputs for mortgage servicing rights and interest rate lock commitments were weighted by loan amount. Unobservable inputs for interest rate swap agreements were weighted by fair value.</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third-party. Discussions are held with members from the Treasury, Mortgage Banking, and Controllers Divisions, along with the independent third-party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unobservable input used in the fair value measurement of the Company’s interest rate swap agreements is the credit spread. This factor represents the risk that a counterparty is either unable or unwilling to settle a transaction in accordance with the underlying contractual terms. A significant increase (decrease) in the credit spread could result in a significantly lower (higher) fair value measurement. The credit spread is based upon the creditworthiness of the borrower and is input into a proprietary model that calculates fair value using probability of default, loss given default, and exposure at default.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be required periodically to measure certain assets and liabilities at fair value on a nonrecurring basis in accordance with GAAP.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fair value usually result from the application of lower-of-cost-or-fair value accounting or impairment write-downs of individual assets.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following table represents the assets measured at fair value on a nonrecurring basis as of March 31, 2020. There were no assets measured at fair value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Carrying</w:t>
            </w:r>
          </w:p>
        </w:tc>
        <w:tc>
          <w:tcPr>
            <w:tcW w:w="5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Valuation</w:t>
            </w:r>
          </w:p>
        </w:tc>
      </w:tr>
      <w:tr>
        <w:trPr>
          <w:trHeight w:val="237"/>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 Hierarchy</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Allowance</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3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180"/>
              <w:spacing w:after="0"/>
              <w:rPr>
                <w:sz w:val="20"/>
                <w:szCs w:val="20"/>
                <w:color w:val="auto"/>
              </w:rPr>
            </w:pPr>
            <w:r>
              <w:rPr>
                <w:rFonts w:ascii="Arial" w:cs="Arial" w:eastAsia="Arial" w:hAnsi="Arial"/>
                <w:sz w:val="16"/>
                <w:szCs w:val="16"/>
                <w:color w:val="auto"/>
              </w:rPr>
              <w:t>Mortgage Servicing Rights - amortization method</w:t>
            </w:r>
          </w:p>
        </w:tc>
        <w:tc>
          <w:tcPr>
            <w:tcW w:w="3040" w:type="dxa"/>
            <w:vAlign w:val="bottom"/>
          </w:tcPr>
          <w:p>
            <w:pPr>
              <w:jc w:val="right"/>
              <w:ind w:right="59"/>
              <w:spacing w:after="0"/>
              <w:rPr>
                <w:sz w:val="20"/>
                <w:szCs w:val="20"/>
                <w:color w:val="auto"/>
              </w:rPr>
            </w:pPr>
            <w:r>
              <w:rPr>
                <w:rFonts w:ascii="Arial" w:cs="Arial" w:eastAsia="Arial" w:hAnsi="Arial"/>
                <w:sz w:val="16"/>
                <w:szCs w:val="16"/>
                <w:color w:val="auto"/>
              </w:rPr>
              <w:t>Level 3</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21,436</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(2,513)</w:t>
            </w:r>
          </w:p>
        </w:tc>
      </w:tr>
    </w:tbl>
    <w:p>
      <w:pPr>
        <w:spacing w:after="0" w:line="200" w:lineRule="exact"/>
        <w:rPr>
          <w:sz w:val="20"/>
          <w:szCs w:val="20"/>
          <w:color w:val="auto"/>
        </w:rPr>
      </w:pPr>
    </w:p>
    <w:p>
      <w:pPr>
        <w:spacing w:after="0" w:line="2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March 31, 2020, and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c>
          <w:tcPr>
            <w:tcW w:w="700" w:type="dxa"/>
            <w:vAlign w:val="bottom"/>
          </w:tcPr>
          <w:p>
            <w:pPr>
              <w:spacing w:after="0"/>
              <w:rPr>
                <w:sz w:val="17"/>
                <w:szCs w:val="17"/>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Less Aggregate</w:t>
            </w:r>
          </w:p>
        </w:tc>
      </w:tr>
      <w:tr>
        <w:trPr>
          <w:trHeight w:val="23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20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Unpaid Principal</w:t>
            </w: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Unpaid Principal</w:t>
            </w: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2020</w:t>
            </w:r>
          </w:p>
        </w:tc>
        <w:tc>
          <w:tcPr>
            <w:tcW w:w="2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20,789</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13,848</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6,941</w:t>
            </w:r>
          </w:p>
        </w:tc>
      </w:tr>
      <w:tr>
        <w:trPr>
          <w:trHeight w:val="33"/>
        </w:trPr>
        <w:tc>
          <w:tcPr>
            <w:tcW w:w="3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39,062</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38,293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r>
      <w:tr>
        <w:trPr>
          <w:trHeight w:val="33"/>
        </w:trPr>
        <w:tc>
          <w:tcPr>
            <w:tcW w:w="3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months ended March 31, 2020, and March 31, 2019, the net gains or losses from the change in fair value of the Company’s residential mortgage loans held for sale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presents the carrying amount, fair value, and placement in the fair value hierarchy of the Company’s financial instruments not recorded at fair value on a recurring basis as of March 31, 2020, and December 31, 2019.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5"/>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41"/>
              <w:spacing w:after="0" w:line="162" w:lineRule="exact"/>
              <w:rPr>
                <w:sz w:val="20"/>
                <w:szCs w:val="20"/>
                <w:color w:val="auto"/>
              </w:rPr>
            </w:pPr>
            <w:r>
              <w:rPr>
                <w:rFonts w:ascii="Arial" w:cs="Arial" w:eastAsia="Arial" w:hAnsi="Arial"/>
                <w:sz w:val="15"/>
                <w:szCs w:val="15"/>
                <w:b w:val="1"/>
                <w:bCs w:val="1"/>
                <w:color w:val="auto"/>
              </w:rPr>
              <w:t>Significant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41"/>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106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8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41"/>
              <w:spacing w:after="0" w:line="162" w:lineRule="exact"/>
              <w:rPr>
                <w:sz w:val="20"/>
                <w:szCs w:val="20"/>
                <w:color w:val="auto"/>
              </w:rPr>
            </w:pPr>
            <w:r>
              <w:rPr>
                <w:rFonts w:ascii="Arial" w:cs="Arial" w:eastAsia="Arial" w:hAnsi="Arial"/>
                <w:sz w:val="15"/>
                <w:szCs w:val="15"/>
                <w:b w:val="1"/>
                <w:bCs w:val="1"/>
                <w:color w:val="auto"/>
              </w:rPr>
              <w:t>Observable</w:t>
            </w:r>
          </w:p>
        </w:tc>
        <w:tc>
          <w:tcPr>
            <w:tcW w:w="160" w:type="dxa"/>
            <w:vAlign w:val="bottom"/>
          </w:tcPr>
          <w:p>
            <w:pPr>
              <w:spacing w:after="0"/>
              <w:rPr>
                <w:sz w:val="14"/>
                <w:szCs w:val="14"/>
                <w:color w:val="auto"/>
              </w:rPr>
            </w:pPr>
          </w:p>
        </w:tc>
        <w:tc>
          <w:tcPr>
            <w:tcW w:w="106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4"/>
              </w:rPr>
              <w:t>Unobservable</w:t>
            </w:r>
          </w:p>
        </w:tc>
      </w:tr>
      <w:tr>
        <w:trPr>
          <w:trHeight w:val="198"/>
        </w:trPr>
        <w:tc>
          <w:tcPr>
            <w:tcW w:w="3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8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41"/>
              <w:spacing w:after="0"/>
              <w:rPr>
                <w:sz w:val="20"/>
                <w:szCs w:val="20"/>
                <w:color w:val="auto"/>
              </w:rPr>
            </w:pPr>
            <w:r>
              <w:rPr>
                <w:rFonts w:ascii="Arial" w:cs="Arial" w:eastAsia="Arial" w:hAnsi="Arial"/>
                <w:sz w:val="15"/>
                <w:szCs w:val="15"/>
                <w:b w:val="1"/>
                <w:bCs w:val="1"/>
                <w:color w:val="auto"/>
              </w:rPr>
              <w:t>Inputs</w:t>
            </w:r>
          </w:p>
        </w:tc>
        <w:tc>
          <w:tcPr>
            <w:tcW w:w="16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78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2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41"/>
              <w:spacing w:after="0"/>
              <w:rPr>
                <w:sz w:val="20"/>
                <w:szCs w:val="20"/>
                <w:color w:val="auto"/>
              </w:rPr>
            </w:pPr>
            <w:r>
              <w:rPr>
                <w:rFonts w:ascii="Arial" w:cs="Arial" w:eastAsia="Arial" w:hAnsi="Arial"/>
                <w:sz w:val="15"/>
                <w:szCs w:val="15"/>
                <w:b w:val="1"/>
                <w:bCs w:val="1"/>
                <w:color w:val="auto"/>
              </w:rPr>
              <w:t>(Level 2)</w:t>
            </w:r>
          </w:p>
        </w:tc>
        <w:tc>
          <w:tcPr>
            <w:tcW w:w="16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3,004,139</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3,104,020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216,723</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2,887,297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21"/>
                <w:szCs w:val="21"/>
                <w:color w:val="auto"/>
                <w:vertAlign w:val="superscript"/>
              </w:rPr>
              <w:t>1</w:t>
            </w:r>
          </w:p>
        </w:tc>
        <w:tc>
          <w:tcPr>
            <w:tcW w:w="48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11,013,610</w:t>
            </w:r>
          </w:p>
        </w:tc>
        <w:tc>
          <w:tcPr>
            <w:tcW w:w="42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11,548,639</w:t>
            </w:r>
          </w:p>
        </w:tc>
        <w:tc>
          <w:tcPr>
            <w:tcW w:w="260" w:type="dxa"/>
            <w:vAlign w:val="bottom"/>
          </w:tcPr>
          <w:p>
            <w:pPr>
              <w:spacing w:after="0"/>
              <w:rPr>
                <w:sz w:val="23"/>
                <w:szCs w:val="23"/>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11,548,639</w:t>
            </w:r>
          </w:p>
        </w:tc>
      </w:tr>
      <w:tr>
        <w:trPr>
          <w:trHeight w:val="270"/>
        </w:trPr>
        <w:tc>
          <w:tcPr>
            <w:tcW w:w="3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1,744,812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1,754,741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1,754,741</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w w:val="98"/>
              </w:rPr>
              <w:t>Securities Sold Under Agreements to Repurchase</w:t>
            </w:r>
          </w:p>
        </w:tc>
        <w:tc>
          <w:tcPr>
            <w:tcW w:w="48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603,206</w:t>
            </w:r>
          </w:p>
        </w:tc>
        <w:tc>
          <w:tcPr>
            <w:tcW w:w="42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651,276</w:t>
            </w:r>
          </w:p>
        </w:tc>
        <w:tc>
          <w:tcPr>
            <w:tcW w:w="26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651,276</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50,800</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50,800</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3,042,294</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3,062,882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275,663</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2,787,219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78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48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10,664,885</w:t>
            </w:r>
          </w:p>
        </w:tc>
        <w:tc>
          <w:tcPr>
            <w:tcW w:w="42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10,873,208</w:t>
            </w:r>
          </w:p>
        </w:tc>
        <w:tc>
          <w:tcPr>
            <w:tcW w:w="260" w:type="dxa"/>
            <w:vAlign w:val="bottom"/>
          </w:tcPr>
          <w:p>
            <w:pPr>
              <w:spacing w:after="0"/>
              <w:rPr>
                <w:sz w:val="23"/>
                <w:szCs w:val="23"/>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10,873,208</w:t>
            </w:r>
          </w:p>
        </w:tc>
      </w:tr>
      <w:tr>
        <w:trPr>
          <w:trHeight w:val="271"/>
        </w:trPr>
        <w:tc>
          <w:tcPr>
            <w:tcW w:w="3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1,802,431</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1,800,773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1,800,773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w w:val="98"/>
              </w:rPr>
              <w:t>Securities Sold Under Agreements to Repurchase</w:t>
            </w:r>
          </w:p>
        </w:tc>
        <w:tc>
          <w:tcPr>
            <w:tcW w:w="48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604,306</w:t>
            </w:r>
          </w:p>
        </w:tc>
        <w:tc>
          <w:tcPr>
            <w:tcW w:w="42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627,780</w:t>
            </w:r>
          </w:p>
        </w:tc>
        <w:tc>
          <w:tcPr>
            <w:tcW w:w="260" w:type="dxa"/>
            <w:vAlign w:val="bottom"/>
          </w:tcPr>
          <w:p>
            <w:pPr>
              <w:spacing w:after="0"/>
              <w:rPr>
                <w:sz w:val="20"/>
                <w:szCs w:val="20"/>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627,780</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75,000</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75,581</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75,581</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Excludes finance lease obligations.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all subsequent ASUs that modified Topic 606. The standard’s core principle is that a company will recognize revenue when it transfers promised goods or services to customers in an amount that reflects the consideration to which the company expects to be entitled in exchange for those goods or services. 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within the scope of the new guidance. Topic 606 is applicable to noninterest revenue streams such as trust and asset management income, deposit related fees, interchange fees, merchant income, and annuity and insurance commissions. However, the recognition of these covered revenue streams did not change significantly upon adoption of Topic 606. Substantially all of the Company’s revenue is generated from contracts with customers. Noninterest revenue streams in-scope of Topic 606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Fees, exchange, and other service charges are primarily comprised of debit card income, ATM fees, merchant services income,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Safety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months ended March 31, 2020, and March 31,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7"/>
                <w:szCs w:val="17"/>
                <w:color w:val="auto"/>
              </w:rPr>
            </w:pPr>
          </w:p>
        </w:tc>
      </w:tr>
      <w:tr>
        <w:trPr>
          <w:trHeight w:val="210"/>
        </w:trPr>
        <w:tc>
          <w:tcPr>
            <w:tcW w:w="8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64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i w:val="1"/>
                <w:iCs w:val="1"/>
                <w:color w:val="auto"/>
              </w:rPr>
              <w:t>In-scope of Topic 606:</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Trust and Asset Management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10,915</w:t>
            </w:r>
          </w:p>
        </w:tc>
        <w:tc>
          <w:tcPr>
            <w:tcW w:w="8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10,761</w:t>
            </w:r>
          </w:p>
        </w:tc>
      </w:tr>
      <w:tr>
        <w:trPr>
          <w:trHeight w:val="237"/>
        </w:trPr>
        <w:tc>
          <w:tcPr>
            <w:tcW w:w="8320" w:type="dxa"/>
            <w:vAlign w:val="bottom"/>
          </w:tcPr>
          <w:p>
            <w:pPr>
              <w:ind w:left="500"/>
              <w:spacing w:after="0"/>
              <w:rPr>
                <w:sz w:val="20"/>
                <w:szCs w:val="20"/>
                <w:color w:val="auto"/>
              </w:rPr>
            </w:pPr>
            <w:r>
              <w:rPr>
                <w:rFonts w:ascii="Arial" w:cs="Arial" w:eastAsia="Arial" w:hAnsi="Arial"/>
                <w:sz w:val="16"/>
                <w:szCs w:val="16"/>
                <w:color w:val="auto"/>
              </w:rPr>
              <w:t>Service Charges on Deposit Accounts</w:t>
            </w:r>
          </w:p>
        </w:tc>
        <w:tc>
          <w:tcPr>
            <w:tcW w:w="4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3,053</w:t>
            </w:r>
          </w:p>
        </w:tc>
        <w:tc>
          <w:tcPr>
            <w:tcW w:w="8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3,349</w:t>
            </w: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Fees, Exchange, and Other Service Charges</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10,518</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11,552</w:t>
            </w:r>
          </w:p>
        </w:tc>
      </w:tr>
      <w:tr>
        <w:trPr>
          <w:trHeight w:val="237"/>
        </w:trPr>
        <w:tc>
          <w:tcPr>
            <w:tcW w:w="8320" w:type="dxa"/>
            <w:vAlign w:val="bottom"/>
          </w:tcPr>
          <w:p>
            <w:pPr>
              <w:ind w:left="480"/>
              <w:spacing w:after="0"/>
              <w:rPr>
                <w:sz w:val="20"/>
                <w:szCs w:val="20"/>
                <w:color w:val="auto"/>
              </w:rPr>
            </w:pPr>
            <w:r>
              <w:rPr>
                <w:rFonts w:ascii="Arial" w:cs="Arial" w:eastAsia="Arial" w:hAnsi="Arial"/>
                <w:sz w:val="16"/>
                <w:szCs w:val="16"/>
                <w:color w:val="auto"/>
              </w:rPr>
              <w:t>Annuity and Insurance</w:t>
            </w:r>
          </w:p>
        </w:tc>
        <w:tc>
          <w:tcPr>
            <w:tcW w:w="42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895</w:t>
            </w:r>
          </w:p>
        </w:tc>
        <w:tc>
          <w:tcPr>
            <w:tcW w:w="8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2,544</w:t>
            </w: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2,302</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2,471</w:t>
            </w:r>
          </w:p>
        </w:tc>
      </w:tr>
      <w:tr>
        <w:trPr>
          <w:trHeight w:val="230"/>
        </w:trPr>
        <w:tc>
          <w:tcPr>
            <w:tcW w:w="832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Noninterest Income (in-scope of Topic 606)</w:t>
            </w: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27,683</w:t>
            </w:r>
          </w:p>
        </w:tc>
        <w:tc>
          <w:tcPr>
            <w:tcW w:w="8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30,677</w:t>
            </w:r>
          </w:p>
        </w:tc>
      </w:tr>
      <w:tr>
        <w:trPr>
          <w:trHeight w:val="33"/>
        </w:trPr>
        <w:tc>
          <w:tcPr>
            <w:tcW w:w="8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Noninterest Income (out-of-scope of Topic 606)</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18,466</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13,002</w:t>
            </w:r>
          </w:p>
        </w:tc>
      </w:tr>
      <w:tr>
        <w:trPr>
          <w:trHeight w:val="230"/>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46,149</w:t>
            </w:r>
          </w:p>
        </w:tc>
        <w:tc>
          <w:tcPr>
            <w:tcW w:w="8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43,679</w:t>
            </w:r>
          </w:p>
        </w:tc>
      </w:tr>
      <w:tr>
        <w:trPr>
          <w:trHeight w:val="33"/>
        </w:trPr>
        <w:tc>
          <w:tcPr>
            <w:tcW w:w="8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March 31, 2020, and December 31, 2019, the Company did not have any significant contract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the effects of the COVID-19 pandemic, including reduced tourism in Hawaii, volatility in the international and national economy and credit markets, worker absenteeism, quarantines or other travel or health-related restrictions, the length and severity of the COVID-19 pandemic and the pace of recovery following the COVID-19 pandemic; 3) unanticipated changes in the securities markets, public debt markets, and other capital markets in the U.S. and internationally, including, without limitation, the anticipated elimination of the London Interbank Offered Rate (“LIBOR”) as a benchmark interest rate; 4) competitive pressures in the markets for financial services and products; 5) the impact of legislative and regulatory initiatives, particularly the Dodd-Frank Wall Street Reform and Consumer Protection Act of 2010 (the “Dodd-Frank Act”) and Economic Growth, Regulatory Relief, Consumer Protection Act of 2018, CARES Act, and regulatory pronouncements around CARES Act; 6) changes in fiscal and monetary policies of the markets in which we operate; 7) the increased cost of maintaining or the Company’s ability to maintain adequate liquidity and capital, based on the requirements adopted by the Basel Committee on Banking Supervision and U.S. regulators; 8) actual or alleged conduct which could harm our reputation; 9) changes in accounting standards; 10) changes in tax laws or regulations, including Public Law 115-97, commonly known as the Tax Cuts and Jobs Act, or the interpretation of such laws and regulations; 11) changes in our credit quality or risk profile that may increase or decrease the required level of our reserve for credit losses; 12) changes in market interest rates that may affect credit markets and our ability to maintain our net interest margin; 13) the impact of litigation and regulatory investigations of the Company, including costs, expenses, settlements, and judgments; 14) any failure in or breach of our operational systems, information systems or infrastructure, or those of our merchants, third party vendors and other service providers; 15) any interruption or breach of security of our information systems resulting in failures or disruptions in customer account management, general ledger processing, and loan or deposit systems; 16) changes to the amount and timing of proposed common stock repurchases; and 17) natural disasters, public unrest or adverse weather, public health, disease outbreaks,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2019,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Consolidated Financial Statements were prepared in accordance with U.S. generally accepted accounting principles (“GAAP”) and follow general practices within the industries in which we operate. The most significant accounting policies we follow are presented in Note 1 to the Company’s Annual Report on Form 10-K for the year ended December 31, 2019. Application of these principles requires us to make estimates, assumptions, and judgments that affect the amounts reported in the Consolidated Financial Statements and accompanying notes. Most accounting policies are not considered by management to be critical accounting policies. Several factors are considered in determining whether or not a policy is critical in the preparation of the Consolidated Financial Statements. These factors include among other things, whether the policy requires management to make difficult, subjective, and complex judgments about matters that are inherently uncertain and because it is likely that materially different amounts would be reported under different conditions or using different assumptions. The accounting policies which we believe to be most critical in preparing our Consolidated Financial Statements are presented in the section titled “Critical Accounting Policies” in Management’s Discussion and Analysis of Financial Condition and Results of Operations included in the Company’s Annual Report on Form 10-K for the year ended December 31, 2019. Other than our methodology of estimating reserve for credit losses (mentioned below), there have been no changes in the Company’s application of critical accounting policies since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 consequence of lending activities is that we may incur credit losses. The amount of such losses will vary depending upon the risk characteristics of the loan and lease portfolio as affected by economic conditions such as rising interest rates and the financial performance of borrowers.</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reserve for credit losses consists of the allowance for credit losses (the “Allowance”) and the reserve for unfunded commitments (the “Unfunded Reserve”). As a result of our January 1, 2020,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and its related amendments, our methodology for estimating the reserve for credit losses changed significantly from December 31, 2019. The standard replaced the “incurred loss” approach with an “expected loss” approach known as current expected credit loss (“CECL”).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We then consider whether the historical loss experience should be adjusted for asset-specific risk characteristics or current conditions at the reporting date that did not exist over the period from which historical experience was used. Finally, we consider forecasts about future economic conditions that are reasonable and supportable. The Unfunded Reserve represents the expected credit losses on off-balance sheet commitments such as unfunded commitments to extend credit and standby letters of credit. However, a liability is not recognized for commitments unconditionally cancellable by the Company. The Unfunded Reserve is determined by estimating future draws and applying the expected loss rates on those draws.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Management’s evaluation of the appropriateness of the reserve for credit losses is often the most critical of accounting estimates for a financial institution. Our determination of the amount of the reserve for credit losses is a critical accounting estimate as it requires significant reliance on the credit risk rating we assign to individual borrowers, the use of estimates and significant judgment as to the amount and timing of expected future cash flows on criticized loans, significant reliance on historical loss rates on homogenous portfolios, consideration of our quantitative and qualitative evaluation of economic factors, and the reliance on our reasonable and supportable forecasts. While our methodology in establishing the reserve for credit losses attributes portions of the Allowance and Unfunded Reserve to the commercial and consumer portfolio segments, the entire Allowance and Unfunded Reserve is available to absorb credit losses inherent in the total loan and lease portfolio and total amount of unfunded credit commitments, respectively.</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reserve for credit losses related to our commercial portfolio segment is generally most sensitive to the credit risk rating assigned to each borrower. Commercial loan risk ratings are evaluated based on each situation by experienced senior credit officers and are subject to periodic review by an independent internal team of credit specialists. The reserve for credit losses related to our consumer portfolio segment is generally most sensitive to economic assumptions and delinquency trends. The reserve for credit losses attributable to each portfolio segment also includes an amount for inherent risks not reflected in the historical analyses. Relevant factors include, but are not limited to, concentrations of credit risk (geographic, large borrower, and industry), economic trends and conditions, changes in underwriting standards, experience and depth of lending staff, trends in delinquencies, and the level of criticized loans.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30" w:right="3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to the reserve for credit losses, and therefore, greater volatility to our reported earnings. See Notes 1 and 4 to the Consolidated Financial Statements and the “Corporate Risk Profile - Credit Risk” section in Management’s Discussion and Analysis of Financial Condition and Results of Operations (“MD&amp;A”) for more information on the Allowance and the Unfunded Reserve.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year 2020 began with overall healthy economic conditions in Hawaii that were sharply impacted by a shut-down of tourism at the end of March to try to isolate the Islands from additional transmission of COVID-19 from outside the State. The actions taken by the State within March and April were imposed to mitigate the spread/lessen the impact of the COVID-19 virus in Hawaii. Although at risk industries of leisure and hospitality represents 19% of jobs and 10% of Hawaii’s GDP, the State of Hawaii benefits from a wider range of industries that help to provide stability in the case of economic shocks. Federal government jobs, primarily military, have historically been a stabilizing part of Hawaii’s economy and represented about 20% of</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GDP. Construction activity, including the Honolulu Rail Project, and other non-visitor-related activities are proceeding in light of COVID-19. In addition, Hawaii’s large retiree population helps provide a stable economic base.</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taking significant steps to help our customers who have been impacted by COVID-19. For our consumer customers, we are providing payment relief for residential mortgage, home equity, auto loan, auto lease and direct personal loans for up to six months. We are waiving associated late fees, while not reporting these payment deferrals as late payments to the credit bureaus for all customers who were current prior to the event. For our commercial customers, we are providing six months of principal deferral for those customers that continue to make interest payments, or alternatively, three months of interest or interest and principal deferral.</w:t>
      </w:r>
    </w:p>
    <w:p>
      <w:pPr>
        <w:spacing w:after="0" w:line="18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Bank also continues to responsibly lend to qualified consumer and commercial customers. We have been a participant in the SBA’s Small Business Paycheck Protection Program. Through April 28, 2020, the Bank processed over 3,300 PPP loans totaling over $575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Bank has taken additional steps to help minimize the financial impact of COVID-19 for its customers:</w:t>
      </w:r>
    </w:p>
    <w:p>
      <w:pPr>
        <w:spacing w:after="0" w:line="225" w:lineRule="exact"/>
        <w:rPr>
          <w:sz w:val="20"/>
          <w:szCs w:val="20"/>
          <w:color w:val="auto"/>
        </w:rPr>
      </w:pPr>
    </w:p>
    <w:p>
      <w:pPr>
        <w:ind w:left="660" w:right="2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Suspending ATM surcharge fees for all ATM users through June 30, 2020. The Bank is also waiving ATM fees for Bank debit cardholders who use their cards at non-Bank ATMs in the U.S. and Territories.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Suspending early withdrawal penalties for time deposit accounts, or CDs through June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31 Bank branches across the state of Hawaii and the West Pacific region remain open to serve the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Temporarily increased our mobile deposits limit to $10,000 per rolling five business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Reserved the first branch hour of the day to serve our elderly (65 years and older) and those at-risk, as well as their caregivers or family members.</w:t>
      </w:r>
    </w:p>
    <w:p>
      <w:pPr>
        <w:spacing w:after="0" w:line="248"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our call center capabilities by training and deputizing more than 100 branch, private banking and commercial staff members to provide additional support over the phone.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30" w:right="3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Offered Small Dollar Emergency Relief Loan Program to assist customers who were financially impacted by COVID-19 with loans up to $3,000.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income for the first quarter of 2020 was $34.7 million, a decrease of $24.1 million or 41% compared to the same period in 2019. Diluted earnings per share was $0.87 for the first quarter of 2020, a decrease of $0.56 or 39% compared to the same period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lower earnings for the first quarter of 2020 were primarily due to the following:</w:t>
      </w:r>
    </w:p>
    <w:p>
      <w:pPr>
        <w:spacing w:after="0" w:line="225" w:lineRule="exact"/>
        <w:rPr>
          <w:sz w:val="20"/>
          <w:szCs w:val="20"/>
          <w:color w:val="auto"/>
        </w:rPr>
      </w:pPr>
    </w:p>
    <w:p>
      <w:pPr>
        <w:ind w:left="340" w:right="30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 for credit losses for the first quarter of 2020 was $33.6 million, an increase of $30.6 million compared to the same period in 2019. This increase was primarily due to management’s best estimate of increased losses over the life of loans in our portfolio given the economic outlook and forecasts for our market changing with the COVID-19 pandemic, as well as the unprecedented intervention of fiscal, monetary and regulatory programs.</w:t>
      </w:r>
    </w:p>
    <w:p>
      <w:pPr>
        <w:spacing w:after="0" w:line="186"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Annuity and insurance income for the first quarter of 2020 was $0.9 million, a decrease of $1.7 million or 64%, compared to the same period in 2019. This decrease was primarily due to a one-time commission received related to insurance products offered through a third-party administrator in the first quarter of 2019.</w:t>
      </w:r>
    </w:p>
    <w:p>
      <w:pPr>
        <w:spacing w:after="0" w:line="183" w:lineRule="exact"/>
        <w:rPr>
          <w:rFonts w:ascii="Arial" w:cs="Arial" w:eastAsia="Arial" w:hAnsi="Arial"/>
          <w:sz w:val="18"/>
          <w:szCs w:val="18"/>
          <w:color w:val="auto"/>
        </w:rPr>
      </w:pPr>
    </w:p>
    <w:p>
      <w:pPr>
        <w:jc w:val="both"/>
        <w:ind w:left="340" w:right="20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occupancy expense for the first quarter of 2020 was $9.0 million, an increase of $1.4 million or 18%, compared to the same period in 2019. This increase was primarily due to a $0.6 million gain on sale of real estate property on the island of Oahu during the first quarter of 2019 coupled with a $0.5 million increase in net rental expense.</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equipment expense for the first quarter of 2020 was $8.5 million, an increase of $1.6 million or 24%, compared to the same period in 2019. These increases were due to higher depreciation expense.</w:t>
      </w:r>
    </w:p>
    <w:p>
      <w:pPr>
        <w:spacing w:after="0" w:line="170"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other expense for the first quarter of 2020 was $7.8 million, an increase of $1.2 million or 9% compared to the same period in 2019 primarily due to a $0.9 million increase in broker’s fees related to our customer interest rate swap derivatives coupled with a $0.4 million increase in advertising.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 the following:</w:t>
      </w:r>
    </w:p>
    <w:p>
      <w:pPr>
        <w:spacing w:after="0" w:line="225" w:lineRule="exact"/>
        <w:rPr>
          <w:sz w:val="20"/>
          <w:szCs w:val="20"/>
          <w:color w:val="auto"/>
        </w:rPr>
      </w:pPr>
    </w:p>
    <w:p>
      <w:pPr>
        <w:ind w:left="340" w:right="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provision for income taxes for the first quarter of 2020 was $7.5 million, a decrease of $6.2 million or 45% compared to the same period in 2019 primarily due to lower pretax income. The effective tax rate for the first quarter of 2020 was 17.68%, compared to 18.85% for the same period in 2019.</w:t>
      </w:r>
    </w:p>
    <w:p>
      <w:pPr>
        <w:spacing w:after="0" w:line="123" w:lineRule="exact"/>
        <w:rPr>
          <w:rFonts w:ascii="Arial" w:cs="Arial" w:eastAsia="Arial" w:hAnsi="Arial"/>
          <w:sz w:val="16"/>
          <w:szCs w:val="16"/>
          <w:color w:val="auto"/>
        </w:rPr>
      </w:pPr>
    </w:p>
    <w:p>
      <w:pPr>
        <w:ind w:left="340" w:righ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noninterest income for the first quarter of 2020 was $10.4 million, an increase of $4.7 million or 85%, compared to the same period in 2019. This increase was primarily due to a $5.5 million increase in fees related to our customer interest rate swap derivatives.</w:t>
      </w:r>
    </w:p>
    <w:p>
      <w:pPr>
        <w:spacing w:after="0" w:line="146" w:lineRule="exact"/>
        <w:rPr>
          <w:rFonts w:ascii="Arial" w:cs="Arial" w:eastAsia="Arial" w:hAnsi="Arial"/>
          <w:sz w:val="17"/>
          <w:szCs w:val="17"/>
          <w:color w:val="auto"/>
        </w:rPr>
      </w:pPr>
    </w:p>
    <w:p>
      <w:pPr>
        <w:ind w:left="340" w:right="16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salaries and benefits expense was $54.5 million, a decrease of $2.1 million or 4%, compared to the same period in 2019 primarily due to a $5.7 million decrease in incentive compensation. Share-based compensation decreased by $1.8 million due to forfeiture of unvested restricted stock grants coupled with lower restricted stock units being amortized. These decreases were partially offset by a $4.3 million increase in separation expense coupled with a $1.0 million increase in salaries due to merit increases</w:t>
      </w:r>
    </w:p>
    <w:p>
      <w:pPr>
        <w:spacing w:after="0" w:line="186"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interest income was $126.0 million for the first quarter of 2020, an increase of $1.1 million or 1% compared to the same period in 2019. This increase was primarily due to a higher level of earning assets, including growth in our commercial lending portfolios. The higher level of earning assets was primarily funded by higher deposit balances. Net interest margin was 2.96% in the first quarter of 2020, a 16 basis point decrease from the same period in 2019. We experienced lower yields in both our investment securities portfolio and loan portfolios, which were offset by lower rates paid on our interest-bearing deposits, a reflection of the lower rate environment.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maintained a strong balance sheet during the first quarter of 2020, with what we believe are appropriate reserves for credit losses and high levels of liquidity and capital.</w:t>
      </w:r>
    </w:p>
    <w:p>
      <w:pPr>
        <w:spacing w:after="0" w:line="89" w:lineRule="exact"/>
        <w:rPr>
          <w:sz w:val="20"/>
          <w:szCs w:val="20"/>
          <w:color w:val="auto"/>
        </w:rPr>
      </w:pPr>
    </w:p>
    <w:p>
      <w:pPr>
        <w:ind w:left="340" w:right="2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loans and leases were $11.4 billion as of March 31, 2020, an increase of $361.9 million or 3% from December 31, 2019, due to growth in both our commercial and consumer lending portfolios.</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Allowance was $138.2 million as of March 31, 2020, an increase of $28.1 million or 26% from December 31, 2019. The Allowance represents</w:t>
      </w:r>
    </w:p>
    <w:p>
      <w:pPr>
        <w:spacing w:after="0" w:line="46" w:lineRule="exact"/>
        <w:rPr>
          <w:rFonts w:ascii="Arial" w:cs="Arial" w:eastAsia="Arial" w:hAnsi="Arial"/>
          <w:sz w:val="16"/>
          <w:szCs w:val="16"/>
          <w:color w:val="auto"/>
        </w:rPr>
      </w:pPr>
    </w:p>
    <w:p>
      <w:pPr>
        <w:ind w:left="340" w:right="80"/>
        <w:spacing w:after="0" w:line="290" w:lineRule="auto"/>
        <w:rPr>
          <w:rFonts w:ascii="Arial" w:cs="Arial" w:eastAsia="Arial" w:hAnsi="Arial"/>
          <w:sz w:val="16"/>
          <w:szCs w:val="16"/>
          <w:color w:val="auto"/>
        </w:rPr>
      </w:pPr>
      <w:r>
        <w:rPr>
          <w:rFonts w:ascii="Arial" w:cs="Arial" w:eastAsia="Arial" w:hAnsi="Arial"/>
          <w:sz w:val="17"/>
          <w:szCs w:val="17"/>
          <w:color w:val="auto"/>
        </w:rPr>
        <w:t>1.22% of total loans and leases outstanding as of March 31, 2020, and 1.00% of total loans and leases outstanding as of December 31, 2019. The level of our Allowance was commensurate with the Company’s credit risk profile, future economic outlook, and forecasts utilized.</w:t>
      </w:r>
    </w:p>
    <w:p>
      <w:pPr>
        <w:spacing w:after="0" w:line="80" w:lineRule="exact"/>
        <w:rPr>
          <w:rFonts w:ascii="Arial" w:cs="Arial" w:eastAsia="Arial" w:hAnsi="Arial"/>
          <w:sz w:val="16"/>
          <w:szCs w:val="16"/>
          <w:color w:val="auto"/>
        </w:rPr>
      </w:pPr>
    </w:p>
    <w:p>
      <w:pPr>
        <w:ind w:left="340" w:right="6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March 31, 2020, the total carrying value of our investment securities portfolio was $5.7 billion, relatively unchanged compared to December 31, 2019. Ginnie Mae mortgage-backed securities continue to be the largest concentration in our portfolio.</w:t>
      </w:r>
    </w:p>
    <w:p>
      <w:pPr>
        <w:spacing w:after="0" w:line="89"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deposits were $16.1 billion as of March 31, 2020, an increase of $270.9 million or 2% from December 31, 2019, primarily due to an increase in consumer, public, and other deposits.</w:t>
      </w:r>
    </w:p>
    <w:p>
      <w:pPr>
        <w:spacing w:after="0" w:line="89"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shareholders’ equity was $1.3 billion as of March 31, 2020, relatively unchanged from December 31, 2019. We continued to return capital to our shareholders in the form of share repurchases and dividends. During the first three months of 2020, we acquired 197,276 shares of our common stock at a total cost of $17.6 million under our share repurchase program and from shares obtained from employees and/or directors in connection with income tax withholdings related to the vesting of restricted stock and shares purchased for a deferred compensation plan, less shares distributed from the deferred compensation plan. In March 2020, we suspended share repurchases in light of the COVID-19 pandemic. We believe the suspension, is prudent given uncertainty regarding the length and severity of the COVID-19 pandemic.</w:t>
      </w:r>
    </w:p>
    <w:p>
      <w:pPr>
        <w:spacing w:after="0" w:line="96" w:lineRule="exact"/>
        <w:rPr>
          <w:rFonts w:ascii="Arial" w:cs="Arial" w:eastAsia="Arial" w:hAnsi="Arial"/>
          <w:sz w:val="17"/>
          <w:szCs w:val="17"/>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also paid cash dividends of $26.8 million during the first three months of 2020.</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130" w:right="359" w:bottom="1440" w:gutter="0" w:footer="0" w:header="0"/>
        </w:sectPr>
      </w:pPr>
    </w:p>
    <w:bookmarkStart w:id="54" w:name="page55"/>
    <w:bookmarkEnd w:id="5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60" w:type="dxa"/>
            <w:vAlign w:val="bottom"/>
            <w:gridSpan w:val="4"/>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24"/>
        </w:trPr>
        <w:tc>
          <w:tcPr>
            <w:tcW w:w="8260" w:type="dxa"/>
            <w:vAlign w:val="bottom"/>
            <w:gridSpan w:val="4"/>
          </w:tcPr>
          <w:p>
            <w:pPr>
              <w:spacing w:after="0"/>
              <w:rPr>
                <w:sz w:val="20"/>
                <w:szCs w:val="20"/>
                <w:color w:val="auto"/>
              </w:rPr>
            </w:pPr>
            <w:r>
              <w:rPr>
                <w:rFonts w:ascii="Arial" w:cs="Arial" w:eastAsia="Arial" w:hAnsi="Arial"/>
                <w:sz w:val="18"/>
                <w:szCs w:val="18"/>
                <w:color w:val="auto"/>
              </w:rPr>
              <w:t>Our financial highlights are presented in Table 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13"/>
        </w:trPr>
        <w:tc>
          <w:tcPr>
            <w:tcW w:w="4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Financial Highlights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01"/>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3"/>
          </w:tcPr>
          <w:p>
            <w:pPr>
              <w:jc w:val="right"/>
              <w:ind w:right="708"/>
              <w:spacing w:after="0"/>
              <w:rPr>
                <w:sz w:val="20"/>
                <w:szCs w:val="20"/>
                <w:color w:val="auto"/>
              </w:rPr>
            </w:pPr>
            <w:r>
              <w:rPr>
                <w:rFonts w:ascii="Arial" w:cs="Arial" w:eastAsia="Arial" w:hAnsi="Arial"/>
                <w:sz w:val="15"/>
                <w:szCs w:val="15"/>
                <w:b w:val="1"/>
                <w:bCs w:val="1"/>
                <w:color w:val="auto"/>
              </w:rPr>
              <w:t>Three Months Ended</w:t>
            </w:r>
          </w:p>
        </w:tc>
      </w:tr>
      <w:tr>
        <w:trPr>
          <w:trHeight w:val="22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82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(dollars in thousands, except per share amounts)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2019</w:t>
            </w: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2"/>
              </w:rPr>
              <w:t>For the Period:</w:t>
            </w:r>
          </w:p>
        </w:tc>
        <w:tc>
          <w:tcPr>
            <w:tcW w:w="728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Operating Results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125,966</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124,837</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Provision for Credit Losses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33,600</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3,000</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Noninterest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46,149</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43,679</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Total Noninterest Expense</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96,312</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93,057</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34,742</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58,799</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Basic Earnings Per Share</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0.88</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1.44</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Diluted Earnings Per Share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0.87</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Dividends Declared Per Share</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0.67</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0.62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Performance Ratios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Return on Average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0.77%</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Return on Average Shareholders’ Equity</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10.64</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18.81</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55.96</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55.22</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2.96</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3.12</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76.14</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43.06</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Average Shareholders’ Equity to Average Assets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7.21</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7.35</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Average Balances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Average Loans and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11,060,707</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10,467,321</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Average Assets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18,222,602</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17,236,059</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Average Deposits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15,817,745</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14,971,404</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Average Shareholders’ Equity</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1,313,848</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1,267,438</w:t>
            </w:r>
          </w:p>
        </w:tc>
      </w:tr>
      <w:tr>
        <w:trPr>
          <w:trHeight w:val="181"/>
        </w:trPr>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Market Price Per Share of Common Stock</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Closing</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54.91</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78.87</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High</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95.53</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83.94</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Low</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46.70</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66.54</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28"/>
              <w:spacing w:after="0" w:line="153" w:lineRule="exact"/>
              <w:rPr>
                <w:sz w:val="20"/>
                <w:szCs w:val="20"/>
                <w:color w:val="auto"/>
              </w:rPr>
            </w:pPr>
            <w:r>
              <w:rPr>
                <w:rFonts w:ascii="Arial" w:cs="Arial" w:eastAsia="Arial" w:hAnsi="Arial"/>
                <w:sz w:val="14"/>
                <w:szCs w:val="14"/>
                <w:b w:val="1"/>
                <w:bCs w:val="1"/>
                <w:color w:val="auto"/>
              </w:rPr>
              <w:t>March 31,</w:t>
            </w: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2019</w:t>
            </w:r>
          </w:p>
        </w:tc>
      </w:tr>
      <w:tr>
        <w:trPr>
          <w:trHeight w:val="229"/>
        </w:trPr>
        <w:tc>
          <w:tcPr>
            <w:tcW w:w="4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As of Period End: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Sheet Totals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Loans and Leases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11,352,780</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10,990,892</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18,542,233</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18,095,496</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Total Deposits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16,055,361</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15,784,482</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Debt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60,545</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85,565</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Total Shareholders’ Equity</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1,327,929</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1,286,832</w:t>
            </w:r>
          </w:p>
        </w:tc>
      </w:tr>
      <w:tr>
        <w:trPr>
          <w:trHeight w:val="181"/>
        </w:trPr>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Asset Quality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Non-Performing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20,604</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20,117</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Allowance for Credit Losses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138,150</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110,027</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Allowance to Loans and Leases Outstanding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75"/>
        </w:trPr>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70"/>
        </w:trPr>
        <w:tc>
          <w:tcPr>
            <w:tcW w:w="40" w:type="dxa"/>
            <w:vAlign w:val="bottom"/>
            <w:shd w:val="clear" w:color="auto" w:fill="CCEEFF"/>
          </w:tcPr>
          <w:p>
            <w:pPr>
              <w:spacing w:after="0"/>
              <w:rPr>
                <w:sz w:val="23"/>
                <w:szCs w:val="23"/>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 xml:space="preserve">Capital Ratios </w:t>
            </w:r>
            <w:r>
              <w:rPr>
                <w:rFonts w:ascii="Arial" w:cs="Arial" w:eastAsia="Arial" w:hAnsi="Arial"/>
                <w:sz w:val="8"/>
                <w:szCs w:val="8"/>
                <w:b w:val="1"/>
                <w:bCs w:val="1"/>
                <w:color w:val="auto"/>
              </w:rPr>
              <w:t>4</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Common Equity Tier 1 Capital Ratio</w:t>
            </w: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11.81%</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12.18%</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Tier 1 Capital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11.81</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12.18</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Total Capital Ratio</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13.06</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13.28</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Tier 1 Leverage Ratio</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7.12</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7.25</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Total Shareholders’ Equity to Total Assets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7.16</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7.11</w:t>
            </w: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7.00</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6.95</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5</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11.85</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11.85</w:t>
            </w:r>
          </w:p>
        </w:tc>
      </w:tr>
      <w:tr>
        <w:trPr>
          <w:trHeight w:val="181"/>
        </w:trPr>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Non-Financial Data</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Full-Time Equivalent Employees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2,094</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2,124</w:t>
            </w:r>
          </w:p>
        </w:tc>
      </w:tr>
      <w:tr>
        <w:trPr>
          <w:trHeight w:val="264"/>
        </w:trPr>
        <w:tc>
          <w:tcPr>
            <w:tcW w:w="40" w:type="dxa"/>
            <w:vAlign w:val="bottom"/>
          </w:tcPr>
          <w:p>
            <w:pPr>
              <w:spacing w:after="0"/>
              <w:rPr>
                <w:sz w:val="22"/>
                <w:szCs w:val="22"/>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rPr>
              <w:t>Branches</w:t>
            </w: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67</w:t>
            </w:r>
          </w:p>
        </w:tc>
        <w:tc>
          <w:tcPr>
            <w:tcW w:w="4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68</w:t>
            </w:r>
          </w:p>
        </w:tc>
      </w:tr>
      <w:tr>
        <w:trPr>
          <w:trHeight w:val="196"/>
        </w:trPr>
        <w:tc>
          <w:tcPr>
            <w:tcW w:w="40" w:type="dxa"/>
            <w:vAlign w:val="bottom"/>
            <w:shd w:val="clear" w:color="auto" w:fill="CCEEFF"/>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ATMs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382</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w:t>
            </w:r>
          </w:p>
        </w:tc>
      </w:tr>
      <w:tr>
        <w:trPr>
          <w:trHeight w:val="34"/>
        </w:trPr>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ectPr>
          <w:pgSz w:w="11900" w:h="16900" w:orient="portrait"/>
          <w:cols w:equalWidth="0" w:num="1">
            <w:col w:w="11240"/>
          </w:cols>
          <w:pgMar w:left="320" w:top="130" w:right="339" w:bottom="0" w:gutter="0" w:footer="0" w:header="0"/>
        </w:sectPr>
      </w:pPr>
    </w:p>
    <w:bookmarkStart w:id="55" w:name="page56"/>
    <w:bookmarkEnd w:id="55"/>
    <w:p>
      <w:pPr>
        <w:ind w:left="172" w:hanging="172"/>
        <w:spacing w:after="0"/>
        <w:tabs>
          <w:tab w:leader="none" w:pos="172" w:val="left"/>
        </w:tabs>
        <w:numPr>
          <w:ilvl w:val="0"/>
          <w:numId w:val="32"/>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Efficiency ratio is defined as noninterest expense divided by total revenue (net interest income and total noninterest income).</w:t>
      </w:r>
    </w:p>
    <w:p>
      <w:pPr>
        <w:spacing w:after="0" w:line="13" w:lineRule="exact"/>
        <w:rPr>
          <w:sz w:val="20"/>
          <w:szCs w:val="20"/>
          <w:color w:val="auto"/>
        </w:rPr>
      </w:pPr>
    </w:p>
    <w:p>
      <w:pPr>
        <w:ind w:left="172" w:hanging="172"/>
        <w:spacing w:after="0"/>
        <w:tabs>
          <w:tab w:leader="none" w:pos="172" w:val="left"/>
        </w:tabs>
        <w:numPr>
          <w:ilvl w:val="0"/>
          <w:numId w:val="33"/>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72" w:hanging="172"/>
        <w:spacing w:after="0"/>
        <w:tabs>
          <w:tab w:leader="none" w:pos="172" w:val="left"/>
        </w:tabs>
        <w:numPr>
          <w:ilvl w:val="0"/>
          <w:numId w:val="34"/>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72" w:hanging="172"/>
        <w:spacing w:after="0" w:line="241" w:lineRule="auto"/>
        <w:tabs>
          <w:tab w:leader="none" w:pos="172" w:val="left"/>
        </w:tabs>
        <w:numPr>
          <w:ilvl w:val="0"/>
          <w:numId w:val="35"/>
        </w:numPr>
        <w:rPr>
          <w:rFonts w:ascii="Arial" w:cs="Arial" w:eastAsia="Arial" w:hAnsi="Arial"/>
          <w:sz w:val="9"/>
          <w:szCs w:val="9"/>
          <w:color w:val="auto"/>
        </w:rPr>
      </w:pPr>
      <w:r>
        <w:rPr>
          <w:rFonts w:ascii="Arial" w:cs="Arial" w:eastAsia="Arial" w:hAnsi="Arial"/>
          <w:sz w:val="14"/>
          <w:szCs w:val="14"/>
          <w:color w:val="auto"/>
        </w:rPr>
        <w:t>The company has elected to apply the modified transition provision related to the impact of the CECL accounting standard on regulatory capital, as provided by the US banking agencies’ March 2020 interim final rule.</w:t>
      </w:r>
    </w:p>
    <w:p>
      <w:pPr>
        <w:spacing w:after="0" w:line="1" w:lineRule="exact"/>
        <w:rPr>
          <w:sz w:val="20"/>
          <w:szCs w:val="20"/>
          <w:color w:val="auto"/>
        </w:rPr>
      </w:pPr>
    </w:p>
    <w:p>
      <w:pPr>
        <w:ind w:left="172" w:right="240" w:hanging="172"/>
        <w:spacing w:after="0" w:line="255" w:lineRule="auto"/>
        <w:tabs>
          <w:tab w:leader="none" w:pos="172" w:val="left"/>
        </w:tabs>
        <w:numPr>
          <w:ilvl w:val="0"/>
          <w:numId w:val="36"/>
        </w:numPr>
        <w:rPr>
          <w:rFonts w:ascii="Arial" w:cs="Arial" w:eastAsia="Arial" w:hAnsi="Arial"/>
          <w:sz w:val="9"/>
          <w:szCs w:val="9"/>
          <w:color w:val="auto"/>
        </w:rPr>
      </w:pPr>
      <w:r>
        <w:rPr>
          <w:rFonts w:ascii="Arial" w:cs="Arial" w:eastAsia="Arial" w:hAnsi="Arial"/>
          <w:sz w:val="14"/>
          <w:szCs w:val="14"/>
          <w:color w:val="auto"/>
        </w:rPr>
        <w:t>Tangible common equity, a non-GAAP financial measure, is defined by the Company as shareholders’ equity minus goodwill and intangible assets. Intangible assets are included as a component of other assets in the Consolidated Statements of Condition.</w:t>
      </w:r>
    </w:p>
    <w:p>
      <w:pPr>
        <w:spacing w:after="0" w:line="190"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872"/>
          </w:cols>
          <w:pgMar w:left="328" w:top="283" w:right="69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6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37"/>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4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1,327,929</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1,286,832</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4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1,296,412</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1,255,315</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18,542,233</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18,095,496</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4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Assets</w:t>
            </w:r>
          </w:p>
        </w:tc>
        <w:tc>
          <w:tcPr>
            <w:tcW w:w="1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18,510,716</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18,063,979</w:t>
            </w:r>
          </w:p>
        </w:tc>
      </w:tr>
      <w:tr>
        <w:trPr>
          <w:trHeight w:val="20"/>
        </w:trPr>
        <w:tc>
          <w:tcPr>
            <w:tcW w:w="69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96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10,944,260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10,589,061</w:t>
            </w:r>
          </w:p>
        </w:tc>
      </w:tr>
      <w:tr>
        <w:trPr>
          <w:trHeight w:val="73"/>
        </w:trPr>
        <w:tc>
          <w:tcPr>
            <w:tcW w:w="69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69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4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7.16%</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33"/>
        </w:trPr>
        <w:tc>
          <w:tcPr>
            <w:tcW w:w="6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7.00%</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63"/>
        </w:trPr>
        <w:tc>
          <w:tcPr>
            <w:tcW w:w="69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1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11.81%</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r>
      <w:tr>
        <w:trPr>
          <w:trHeight w:val="237"/>
        </w:trPr>
        <w:tc>
          <w:tcPr>
            <w:tcW w:w="696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4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11.85%</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11.85%</w:t>
            </w:r>
          </w:p>
        </w:tc>
      </w:tr>
      <w:tr>
        <w:trPr>
          <w:trHeight w:val="33"/>
        </w:trPr>
        <w:tc>
          <w:tcPr>
            <w:tcW w:w="6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Average Balances and Interest Rates - Taxable-Equivalent Basis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w w:val="90"/>
              </w:rPr>
              <w:t>Table 3</w:t>
            </w:r>
          </w:p>
        </w:tc>
        <w:tc>
          <w:tcPr>
            <w:tcW w:w="0" w:type="dxa"/>
            <w:vAlign w:val="bottom"/>
          </w:tcPr>
          <w:p>
            <w:pPr>
              <w:spacing w:after="0"/>
              <w:rPr>
                <w:sz w:val="1"/>
                <w:szCs w:val="1"/>
                <w:color w:val="auto"/>
              </w:rPr>
            </w:pPr>
          </w:p>
        </w:tc>
      </w:tr>
      <w:tr>
        <w:trPr>
          <w:trHeight w:val="33"/>
        </w:trPr>
        <w:tc>
          <w:tcPr>
            <w:tcW w:w="6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6"/>
          </w:tcPr>
          <w:p>
            <w:pPr>
              <w:jc w:val="center"/>
              <w:ind w:left="261"/>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7"/>
          </w:tcPr>
          <w:p>
            <w:pPr>
              <w:jc w:val="center"/>
              <w:ind w:right="8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6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6"/>
              </w:rPr>
              <w:t>March 31, 2020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Income/</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Yield/</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Income/</w:t>
            </w:r>
          </w:p>
        </w:tc>
        <w:tc>
          <w:tcPr>
            <w:tcW w:w="660" w:type="dxa"/>
            <w:vAlign w:val="bottom"/>
          </w:tcPr>
          <w:p>
            <w:pPr>
              <w:jc w:val="right"/>
              <w:ind w:right="81"/>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83"/>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(dollars in millions)</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Balance</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97"/>
              </w:rPr>
              <w:t>Expense</w:t>
            </w: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Balance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w w:val="97"/>
              </w:rPr>
              <w:t>Expense</w:t>
            </w: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Interest-Bearing Deposits in Other Banks</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1.4</w:t>
            </w:r>
          </w:p>
        </w:tc>
        <w:tc>
          <w:tcPr>
            <w:tcW w:w="38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480" w:type="dxa"/>
            <w:vAlign w:val="bottom"/>
          </w:tcPr>
          <w:p>
            <w:pPr>
              <w:ind w:left="140"/>
              <w:spacing w:after="0"/>
              <w:rPr>
                <w:sz w:val="20"/>
                <w:szCs w:val="20"/>
                <w:color w:val="auto"/>
              </w:rPr>
            </w:pPr>
            <w:r>
              <w:rPr>
                <w:rFonts w:ascii="Arial" w:cs="Arial" w:eastAsia="Arial" w:hAnsi="Arial"/>
                <w:sz w:val="12"/>
                <w:szCs w:val="12"/>
                <w:color w:val="auto"/>
                <w:w w:val="93"/>
              </w:rPr>
              <w:t>2.36%</w:t>
            </w:r>
          </w:p>
        </w:tc>
        <w:tc>
          <w:tcPr>
            <w:tcW w:w="100" w:type="dxa"/>
            <w:vAlign w:val="bottom"/>
          </w:tcPr>
          <w:p>
            <w:pPr>
              <w:spacing w:after="0"/>
              <w:rPr>
                <w:sz w:val="21"/>
                <w:szCs w:val="21"/>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3.0</w:t>
            </w:r>
          </w:p>
        </w:tc>
        <w:tc>
          <w:tcPr>
            <w:tcW w:w="3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ind w:left="320"/>
              <w:spacing w:after="0"/>
              <w:rPr>
                <w:sz w:val="20"/>
                <w:szCs w:val="20"/>
                <w:color w:val="auto"/>
              </w:rPr>
            </w:pPr>
            <w:r>
              <w:rPr>
                <w:rFonts w:ascii="Arial" w:cs="Arial" w:eastAsia="Arial" w:hAnsi="Arial"/>
                <w:sz w:val="12"/>
                <w:szCs w:val="12"/>
                <w:color w:val="auto"/>
                <w:w w:val="93"/>
              </w:rPr>
              <w:t>2.05%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260"/>
              <w:spacing w:after="0"/>
              <w:rPr>
                <w:sz w:val="20"/>
                <w:szCs w:val="20"/>
                <w:color w:val="auto"/>
              </w:rPr>
            </w:pPr>
            <w:r>
              <w:rPr>
                <w:rFonts w:ascii="Arial" w:cs="Arial" w:eastAsia="Arial" w:hAnsi="Arial"/>
                <w:sz w:val="12"/>
                <w:szCs w:val="12"/>
                <w:color w:val="auto"/>
              </w:rPr>
              <w:t>Taxable</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16.4</w:t>
            </w:r>
          </w:p>
        </w:tc>
        <w:tc>
          <w:tcPr>
            <w:tcW w:w="22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1,595.8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11.5</w:t>
            </w:r>
          </w:p>
        </w:tc>
        <w:tc>
          <w:tcPr>
            <w:tcW w:w="2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3.45</w:t>
            </w:r>
          </w:p>
        </w:tc>
        <w:tc>
          <w:tcPr>
            <w:tcW w:w="0" w:type="dxa"/>
            <w:vAlign w:val="bottom"/>
          </w:tcPr>
          <w:p>
            <w:pPr>
              <w:spacing w:after="0"/>
              <w:rPr>
                <w:sz w:val="1"/>
                <w:szCs w:val="1"/>
                <w:color w:val="auto"/>
              </w:rPr>
            </w:pPr>
          </w:p>
        </w:tc>
      </w:tr>
      <w:tr>
        <w:trPr>
          <w:trHeight w:val="260"/>
        </w:trPr>
        <w:tc>
          <w:tcPr>
            <w:tcW w:w="642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18.9</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20.5</w:t>
            </w: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Non-Taxable</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0.4</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2.67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1.8</w:t>
            </w: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5,825.7</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36.1</w:t>
            </w:r>
          </w:p>
        </w:tc>
        <w:tc>
          <w:tcPr>
            <w:tcW w:w="2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2.48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5,482.5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36.2</w:t>
            </w: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Loans Held for Sale</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0.2</w:t>
            </w:r>
          </w:p>
        </w:tc>
        <w:tc>
          <w:tcPr>
            <w:tcW w:w="22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4.35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42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1,409.3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13.2</w:t>
            </w:r>
          </w:p>
        </w:tc>
        <w:tc>
          <w:tcPr>
            <w:tcW w:w="220" w:type="dxa"/>
            <w:vAlign w:val="bottom"/>
          </w:tcPr>
          <w:p>
            <w:pPr>
              <w:spacing w:after="0"/>
              <w:rPr>
                <w:sz w:val="22"/>
                <w:szCs w:val="2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1,357.8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15.3</w:t>
            </w:r>
          </w:p>
        </w:tc>
        <w:tc>
          <w:tcPr>
            <w:tcW w:w="2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280"/>
        </w:trPr>
        <w:tc>
          <w:tcPr>
            <w:tcW w:w="64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25.1</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24.9</w:t>
            </w: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260"/>
        </w:trPr>
        <w:tc>
          <w:tcPr>
            <w:tcW w:w="642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2.5</w:t>
            </w:r>
          </w:p>
        </w:tc>
        <w:tc>
          <w:tcPr>
            <w:tcW w:w="220" w:type="dxa"/>
            <w:vAlign w:val="bottom"/>
          </w:tcPr>
          <w:p>
            <w:pPr>
              <w:spacing w:after="0"/>
              <w:rPr>
                <w:sz w:val="22"/>
                <w:szCs w:val="2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1.9</w:t>
            </w:r>
          </w:p>
        </w:tc>
        <w:tc>
          <w:tcPr>
            <w:tcW w:w="2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280"/>
        </w:trPr>
        <w:tc>
          <w:tcPr>
            <w:tcW w:w="64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Lease Financing</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0.9</w:t>
            </w: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260"/>
        </w:trPr>
        <w:tc>
          <w:tcPr>
            <w:tcW w:w="642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3,895.4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36.9</w:t>
            </w:r>
          </w:p>
        </w:tc>
        <w:tc>
          <w:tcPr>
            <w:tcW w:w="220" w:type="dxa"/>
            <w:vAlign w:val="bottom"/>
          </w:tcPr>
          <w:p>
            <w:pPr>
              <w:spacing w:after="0"/>
              <w:rPr>
                <w:sz w:val="22"/>
                <w:szCs w:val="2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3,680.2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35.5</w:t>
            </w:r>
          </w:p>
        </w:tc>
        <w:tc>
          <w:tcPr>
            <w:tcW w:w="2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3.86</w:t>
            </w:r>
          </w:p>
        </w:tc>
        <w:tc>
          <w:tcPr>
            <w:tcW w:w="0" w:type="dxa"/>
            <w:vAlign w:val="bottom"/>
          </w:tcPr>
          <w:p>
            <w:pPr>
              <w:spacing w:after="0"/>
              <w:rPr>
                <w:sz w:val="1"/>
                <w:szCs w:val="1"/>
                <w:color w:val="auto"/>
              </w:rPr>
            </w:pPr>
          </w:p>
        </w:tc>
      </w:tr>
      <w:tr>
        <w:trPr>
          <w:trHeight w:val="280"/>
        </w:trPr>
        <w:tc>
          <w:tcPr>
            <w:tcW w:w="64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15.2</w:t>
            </w: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16.1</w:t>
            </w: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3.87</w:t>
            </w:r>
          </w:p>
        </w:tc>
        <w:tc>
          <w:tcPr>
            <w:tcW w:w="0" w:type="dxa"/>
            <w:vAlign w:val="bottom"/>
          </w:tcPr>
          <w:p>
            <w:pPr>
              <w:spacing w:after="0"/>
              <w:rPr>
                <w:sz w:val="1"/>
                <w:szCs w:val="1"/>
                <w:color w:val="auto"/>
              </w:rPr>
            </w:pPr>
          </w:p>
        </w:tc>
      </w:tr>
      <w:tr>
        <w:trPr>
          <w:trHeight w:val="260"/>
        </w:trPr>
        <w:tc>
          <w:tcPr>
            <w:tcW w:w="642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721.0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6.4</w:t>
            </w:r>
          </w:p>
        </w:tc>
        <w:tc>
          <w:tcPr>
            <w:tcW w:w="220" w:type="dxa"/>
            <w:vAlign w:val="bottom"/>
          </w:tcPr>
          <w:p>
            <w:pPr>
              <w:spacing w:after="0"/>
              <w:rPr>
                <w:sz w:val="22"/>
                <w:szCs w:val="2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3.56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668.2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6.0</w:t>
            </w:r>
          </w:p>
        </w:tc>
        <w:tc>
          <w:tcPr>
            <w:tcW w:w="2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3.66</w:t>
            </w:r>
          </w:p>
        </w:tc>
        <w:tc>
          <w:tcPr>
            <w:tcW w:w="0" w:type="dxa"/>
            <w:vAlign w:val="bottom"/>
          </w:tcPr>
          <w:p>
            <w:pPr>
              <w:spacing w:after="0"/>
              <w:rPr>
                <w:sz w:val="1"/>
                <w:szCs w:val="1"/>
                <w:color w:val="auto"/>
              </w:rPr>
            </w:pPr>
          </w:p>
        </w:tc>
      </w:tr>
      <w:tr>
        <w:trPr>
          <w:trHeight w:val="280"/>
        </w:trPr>
        <w:tc>
          <w:tcPr>
            <w:tcW w:w="6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1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480.8</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8.4</w:t>
            </w:r>
          </w:p>
        </w:tc>
        <w:tc>
          <w:tcPr>
            <w:tcW w:w="2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7.06</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7.9</w:t>
            </w:r>
          </w:p>
        </w:tc>
        <w:tc>
          <w:tcPr>
            <w:tcW w:w="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7.13</w:t>
            </w:r>
          </w:p>
        </w:tc>
        <w:tc>
          <w:tcPr>
            <w:tcW w:w="0" w:type="dxa"/>
            <w:vAlign w:val="bottom"/>
          </w:tcPr>
          <w:p>
            <w:pPr>
              <w:spacing w:after="0"/>
              <w:rPr>
                <w:sz w:val="1"/>
                <w:szCs w:val="1"/>
                <w:color w:val="auto"/>
              </w:rPr>
            </w:pPr>
          </w:p>
        </w:tc>
      </w:tr>
      <w:tr>
        <w:trPr>
          <w:trHeight w:val="257"/>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Total Loans and Leases</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11,060.7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108.2</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3.93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10,467.3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108.5</w:t>
            </w: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0.2</w:t>
            </w:r>
          </w:p>
        </w:tc>
        <w:tc>
          <w:tcPr>
            <w:tcW w:w="2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2.54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0.3</w:t>
            </w: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3.60</w:t>
            </w:r>
          </w:p>
        </w:tc>
        <w:tc>
          <w:tcPr>
            <w:tcW w:w="0" w:type="dxa"/>
            <w:vAlign w:val="bottom"/>
          </w:tcPr>
          <w:p>
            <w:pPr>
              <w:spacing w:after="0"/>
              <w:rPr>
                <w:sz w:val="1"/>
                <w:szCs w:val="1"/>
                <w:color w:val="auto"/>
              </w:rPr>
            </w:pPr>
          </w:p>
        </w:tc>
      </w:tr>
      <w:tr>
        <w:trPr>
          <w:trHeight w:val="270"/>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17,098.1</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145.3</w:t>
            </w:r>
          </w:p>
        </w:tc>
        <w:tc>
          <w:tcPr>
            <w:tcW w:w="2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3.41</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16,242.3</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146.6</w:t>
            </w: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Other Assets</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18,222.6</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17,236.1</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3,110.0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2,939.9</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w w:val="93"/>
              </w:rPr>
              <w:t>0.20%</w:t>
            </w:r>
          </w:p>
        </w:tc>
        <w:tc>
          <w:tcPr>
            <w:tcW w:w="0" w:type="dxa"/>
            <w:vAlign w:val="bottom"/>
          </w:tcPr>
          <w:p>
            <w:pPr>
              <w:spacing w:after="0"/>
              <w:rPr>
                <w:sz w:val="1"/>
                <w:szCs w:val="1"/>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2"/>
                <w:szCs w:val="12"/>
                <w:color w:val="auto"/>
              </w:rPr>
              <w:t>Savings</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6,502.4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7.1</w:t>
            </w:r>
          </w:p>
        </w:tc>
        <w:tc>
          <w:tcPr>
            <w:tcW w:w="22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5,760.8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6.7</w:t>
            </w:r>
          </w:p>
        </w:tc>
        <w:tc>
          <w:tcPr>
            <w:tcW w:w="2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1,743.0</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6.2</w:t>
            </w:r>
          </w:p>
        </w:tc>
        <w:tc>
          <w:tcPr>
            <w:tcW w:w="2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1.43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1,703.4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7.1</w:t>
            </w: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Total Interest-Bearing Deposits</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11,355.4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14.3</w:t>
            </w:r>
          </w:p>
        </w:tc>
        <w:tc>
          <w:tcPr>
            <w:tcW w:w="22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8"/>
              </w:rPr>
              <w:t>10,404.1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15.3</w:t>
            </w:r>
          </w:p>
        </w:tc>
        <w:tc>
          <w:tcPr>
            <w:tcW w:w="2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2.49</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Securities Sold Under Agreements to Repurchase</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604.1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Arial" w:cs="Arial" w:eastAsia="Arial" w:hAnsi="Arial"/>
                <w:sz w:val="12"/>
                <w:szCs w:val="12"/>
                <w:color w:val="auto"/>
              </w:rPr>
              <w:t>4.0</w:t>
            </w:r>
          </w:p>
        </w:tc>
        <w:tc>
          <w:tcPr>
            <w:tcW w:w="22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4.6</w:t>
            </w:r>
          </w:p>
        </w:tc>
        <w:tc>
          <w:tcPr>
            <w:tcW w:w="2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1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66.9</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0.6</w:t>
            </w:r>
          </w:p>
        </w:tc>
        <w:tc>
          <w:tcPr>
            <w:tcW w:w="2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3.51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c>
          <w:tcPr>
            <w:tcW w:w="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Total Interest-Bearing Liabilities</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12,084.2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19.0</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0.63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11,059.5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20.8</w:t>
            </w: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0.76</w:t>
            </w:r>
          </w:p>
        </w:tc>
        <w:tc>
          <w:tcPr>
            <w:tcW w:w="0" w:type="dxa"/>
            <w:vAlign w:val="bottom"/>
          </w:tcPr>
          <w:p>
            <w:pPr>
              <w:spacing w:after="0"/>
              <w:rPr>
                <w:sz w:val="1"/>
                <w:szCs w:val="1"/>
                <w:color w:val="auto"/>
              </w:rPr>
            </w:pPr>
          </w:p>
        </w:tc>
      </w:tr>
      <w:tr>
        <w:trPr>
          <w:trHeight w:val="253"/>
        </w:trPr>
        <w:tc>
          <w:tcPr>
            <w:tcW w:w="64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126.3</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125.8</w:t>
            </w: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2"/>
                <w:szCs w:val="12"/>
                <w:color w:val="auto"/>
                <w:w w:val="93"/>
              </w:rPr>
              <w:t>2.78%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2"/>
                <w:szCs w:val="12"/>
                <w:color w:val="auto"/>
                <w:w w:val="93"/>
              </w:rPr>
              <w:t>2.88%</w:t>
            </w:r>
          </w:p>
        </w:tc>
        <w:tc>
          <w:tcPr>
            <w:tcW w:w="0" w:type="dxa"/>
            <w:vAlign w:val="bottom"/>
          </w:tcPr>
          <w:p>
            <w:pPr>
              <w:spacing w:after="0" w:line="20" w:lineRule="exact"/>
              <w:rPr>
                <w:sz w:val="1"/>
                <w:szCs w:val="1"/>
                <w:color w:val="auto"/>
              </w:rPr>
            </w:pPr>
          </w:p>
        </w:tc>
      </w:tr>
      <w:tr>
        <w:trPr>
          <w:trHeight w:val="234"/>
        </w:trPr>
        <w:tc>
          <w:tcPr>
            <w:tcW w:w="64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w w:val="93"/>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w w:val="93"/>
              </w:rPr>
              <w:t>3.12%</w:t>
            </w:r>
          </w:p>
        </w:tc>
        <w:tc>
          <w:tcPr>
            <w:tcW w:w="0" w:type="dxa"/>
            <w:vAlign w:val="bottom"/>
          </w:tcPr>
          <w:p>
            <w:pPr>
              <w:spacing w:after="0"/>
              <w:rPr>
                <w:sz w:val="1"/>
                <w:szCs w:val="1"/>
                <w:color w:val="auto"/>
              </w:rPr>
            </w:pPr>
          </w:p>
        </w:tc>
      </w:tr>
      <w:tr>
        <w:trPr>
          <w:trHeight w:val="250"/>
        </w:trPr>
        <w:tc>
          <w:tcPr>
            <w:tcW w:w="6420" w:type="dxa"/>
            <w:vAlign w:val="bottom"/>
          </w:tcPr>
          <w:p>
            <w:pPr>
              <w:ind w:left="40"/>
              <w:spacing w:after="0"/>
              <w:rPr>
                <w:sz w:val="20"/>
                <w:szCs w:val="20"/>
                <w:color w:val="auto"/>
              </w:rPr>
            </w:pPr>
            <w:r>
              <w:rPr>
                <w:rFonts w:ascii="Arial" w:cs="Arial" w:eastAsia="Arial" w:hAnsi="Arial"/>
                <w:sz w:val="12"/>
                <w:szCs w:val="12"/>
                <w:color w:val="auto"/>
              </w:rPr>
              <w:t>Noninterest-Bearing Demand Deposits</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4,462.3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4,567.3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Shareholders’ Equity</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1,313.8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 and Shareholders’ Equity</w:t>
            </w: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18,222.6</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17,236.1</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of $0.3 million and $1.0 million for the three months ended March 31, 2020.</w:t>
      </w:r>
    </w:p>
    <w:p>
      <w:pPr>
        <w:sectPr>
          <w:pgSz w:w="11900" w:h="16838" w:orient="portrait"/>
          <w:cols w:equalWidth="0" w:num="1">
            <w:col w:w="11240"/>
          </w:cols>
          <w:pgMar w:left="320" w:top="130" w:right="339" w:bottom="115"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130" w:right="339" w:bottom="115"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 2020</w:t>
            </w:r>
          </w:p>
        </w:tc>
        <w:tc>
          <w:tcPr>
            <w:tcW w:w="820" w:type="dxa"/>
            <w:vAlign w:val="bottom"/>
          </w:tcPr>
          <w:p>
            <w:pPr>
              <w:spacing w:after="0"/>
              <w:rPr>
                <w:sz w:val="20"/>
                <w:szCs w:val="20"/>
                <w:color w:val="auto"/>
              </w:rPr>
            </w:pPr>
          </w:p>
        </w:tc>
      </w:tr>
      <w:tr>
        <w:trPr>
          <w:trHeight w:val="270"/>
        </w:trPr>
        <w:tc>
          <w:tcPr>
            <w:tcW w:w="6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9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Compared to March 31, 2019</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33"/>
        </w:trPr>
        <w:tc>
          <w:tcPr>
            <w:tcW w:w="65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(0.4)</w:t>
            </w: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(0.5)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7.0</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65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(2.5)</w:t>
            </w:r>
          </w:p>
        </w:tc>
        <w:tc>
          <w:tcPr>
            <w:tcW w:w="62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(2.2)</w:t>
            </w:r>
          </w:p>
        </w:tc>
        <w:tc>
          <w:tcPr>
            <w:tcW w:w="620" w:type="dxa"/>
            <w:vAlign w:val="bottom"/>
          </w:tcPr>
          <w:p>
            <w:pPr>
              <w:spacing w:after="0"/>
              <w:rPr>
                <w:sz w:val="20"/>
                <w:szCs w:val="20"/>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0.6</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w:t>
            </w: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(0.2)</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1.1</w:t>
            </w:r>
          </w:p>
        </w:tc>
        <w:tc>
          <w:tcPr>
            <w:tcW w:w="6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(1.2)</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0.6</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(2.7)</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2.5</w:t>
            </w:r>
          </w:p>
        </w:tc>
        <w:tc>
          <w:tcPr>
            <w:tcW w:w="6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0.8</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6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2.1</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6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(0.8)</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0.5</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70"/>
        </w:trPr>
        <w:tc>
          <w:tcPr>
            <w:tcW w:w="6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0.6</w:t>
            </w:r>
          </w:p>
        </w:tc>
        <w:tc>
          <w:tcPr>
            <w:tcW w:w="6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6.7</w:t>
            </w:r>
          </w:p>
        </w:tc>
        <w:tc>
          <w:tcPr>
            <w:tcW w:w="6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(7.0)</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0"/>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(0.1)</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8"/>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7.5</w:t>
            </w:r>
          </w:p>
        </w:tc>
        <w:tc>
          <w:tcPr>
            <w:tcW w:w="6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(8.8)</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4"/>
        </w:trPr>
        <w:tc>
          <w:tcPr>
            <w:tcW w:w="65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(0.6)</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6560" w:type="dxa"/>
            <w:vAlign w:val="bottom"/>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0.9</w:t>
            </w:r>
          </w:p>
        </w:tc>
        <w:tc>
          <w:tcPr>
            <w:tcW w:w="6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0.2</w:t>
            </w: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0"/>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1.2</w:t>
            </w:r>
          </w:p>
        </w:tc>
        <w:tc>
          <w:tcPr>
            <w:tcW w:w="6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(2.2)</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(0.2)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0.8</w:t>
            </w:r>
          </w:p>
        </w:tc>
        <w:tc>
          <w:tcPr>
            <w:tcW w:w="62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0.3</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0"/>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1.7</w:t>
            </w:r>
          </w:p>
        </w:tc>
        <w:tc>
          <w:tcPr>
            <w:tcW w:w="6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(3.5)</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5.8</w:t>
            </w:r>
          </w:p>
        </w:tc>
        <w:tc>
          <w:tcPr>
            <w:tcW w:w="6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(5.3)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ectPr>
          <w:pgSz w:w="11900" w:h="16838" w:orient="portrait"/>
          <w:cols w:equalWidth="0" w:num="1">
            <w:col w:w="11240"/>
          </w:cols>
          <w:pgMar w:left="320" w:top="130"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30" w:right="33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interest income was $126.0 million for the first quarter of 2020, an increase of $1.1 million or 1% compared to the same period in 2019. On a taxable-equivalent basis, net interest income was $126.3 million for the first quarter of 2020 relatively unchanged compared to the same period in 2019. This increase was primarily due to a higher level of earning assets, including growth in our commercial lending portfolios. The higher level of earning assets was primarily funded by higher deposit balances. Net interest margin was 2.96% in the first quarter of 2020, a 16 basis point decrease from the same period in 2019. We experienced lower yields in both our investment securities portfolio and loan portfolios, which were offset by lower rates paid on our interest-bearing deposits, a reflection of the lower rate environment. In addition, yields decreased for our commercial loans due to lower variable rates. Our investments securities portfolio yields also decreased due to lower variable rates on our floating rate securities. These decreases were partially offset by lower funding costs.</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Yields on our earning assets decreased by 23 basis points in the first quarter of 2020 compared to the same period in 2019 primarily due to the lower rate environment. Yield decreases in our construction loans and commercial and industrial loans were primarily due to lower yields on floating rate loans. Yields on our construction loans decreases 43 basis points in the first quarter of 2020 compared to the same period in 2019 primarily due to new loans with lower rates than the loans that were paid off or transferred to commercial mortgage upon completion. Yields on our commercial and industrial loans decreased by 80 basis points in the first quarter of 2020 compared to the same period in 2019 primarily due to a decrease in interest recoveries in the current year and new loans with lower rates. Yields on our funds sold decrease 98 basis points in the first quarter of 2020 compared to the same period in 2019 primarily due to federal fund rate decreases. In addition, yields on our investment securities portfolio decreased by 17 basis points in the first quarter of 2020 compared to the same period in 2019.</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Interest rates paid on our interest-bearing liabilities decreased by 13 basis points in the first quarter of 2020 compared to the same period in 2019. Securities sold under agreements to repurchase decreased by 98 basis points primarily due to the restructuring of ten repurchase agreements with private institutions with an aggregate total repurchase price of $275.0 million in 2019. These repurchase agreements had a weighted-average interest rate of 4.36%. The restructuring of the agreements extended the maturity dates to 2024 and lowered the weighted-average interest rate to 2.94% effective in the third quarter of 2019. The decrease in our funding costs were partially offset by higher average balance in our interest bearing deposits. The average balance of savings deposits increased by $741.6 million or 13% in the first quarter of 2020 compared to the same period in 2019. Other debt increased by 96 basis points in the first quarter of 2020 compared to the same period in 2019. Other debt is comprised primarily of Federal Home Loan Bank (“FHLB”) advances. Our outstanding FHLB advances had a weighted-average interest rate of 3.00% and 2.12% as of March 31, 2020, and March 31, 2019, respectively. The FHLB advances weighted-average interest rate increased primarily due to lower cost FHLB advances that matured during the time period combined with the addition of higher cost FHLB advances.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Average balances of our earning assets increased by $855.8 million or 5% in the first quarter of 2020 compared to the same period in 2019 primarily due to loan growth as the average balances of our loan and lease portfolio increased by $593.4 million coupled with an increase in the average balance of investment securities of $343.2 million in the first quarter of 2020 compared to the same period in 2019. Partially offsetting these increases was an $88.8 million decrease in the average balance of funds sold in the first quarter of 2020 compared to the same period in 2019. The average balance of our commercial mortgage portfolio increased by $239.0 million in the first quarter of 2020 compared to the same period in 2019 as a result of continued demand from new and existing customers. The average balance in our residential mortgage portfolio increased by $215.2 million in the first quarter of 2020 compared to the same period in 2019 primarily due to higher loan originations partially offset by an increase in payoff activity. The average balance in our automobile portfolio increased by $52.8 million in the first quarter of 2020 compared to the same period in 2019 primarily due to competitive loan programs and pricing. The average balance of our home equity portfolio decreased by $9.8 million in the first quarter of 2020 compared to the same period in 2019 as a result of slightly lower but consistent loan demand. Additionally, utilization rates remained steady on existing home equity lines during the first three months of 2020.</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Average balances of our interest-bearing liabilities increased by $1,024.7 million or 9% in the first quarter of 2020 compared to the same period in 2019 primarily due to growth in our savings and demand products. Average balance in our core deposit products increased by $911.7 million in the first quarter of 2020 compared to the same period in 2019. Average balances securities sold under agreements to repurchase increased by $99.8 million or 20% primarily due to additional repurchase agreements during September 2019. Other debt decreased by $53.1 million in the first quarter of 2020 compared to the same period in 2019 primarily due to the maturity of FHLB advances.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provision for credit losses (the “Provision”) reflects our internal calculation and judgment of the appropriate amount of the Allowance. The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or “CECL” has significantly changed the methodology of how we measure credit losses (see Note 1 to the Consolidated Financial Statements for more information). We maintain the Allowance at levels we believe are appropriate to cover our estimate of expected credit losses over the life of loans in the portfolio as of the end of the reporting period. The Allowance is determined through detailed quarterly analyses of the loan and lease portfolio. The Allowance is based on our loss experience, changes in the economic environment, reasonable and supportable forecasts, as well as an ongoing assessment of credit quality and environmental factors not reflective in historical loss rates. Additional factors that are considered in determining the amount of the Allowance are the level of net charge-offs, non-performing assets, risk-rating migration, as well as changes in our portfolio size and composition. We recorded a Provision of $33.6 million in the first quarter of 2020 compared to a $3.0 million Provision during the same period in 2019, with the Provision and estimated Allowance for the first quarter of 2020 considering the impact of COVID-19. Our decision to record a Provision is reflective of our estimate of the appropriate amount of the Allowance. For further discussion on the Allowance, see “Corporate Risk Profile - Reserve for Credit Losses” in this Management’s Discussion and Analysis of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increased by $2.5 million or 6% in the first quarter of 2020 compared to the same period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8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Trust and Asset Management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10,915</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10,761</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Mortgage Banking</w:t>
            </w:r>
          </w:p>
        </w:tc>
        <w:tc>
          <w:tcPr>
            <w:tcW w:w="2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2,695</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2,287</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408</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Charges on Deposit Accounts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7,451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7,364</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2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13,200</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14,208</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(1,008)</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(970)</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(835)</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Annuity and Insurance</w:t>
            </w:r>
          </w:p>
        </w:tc>
        <w:tc>
          <w:tcPr>
            <w:tcW w:w="2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928</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2,578</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(1,650)</w:t>
            </w:r>
          </w:p>
        </w:tc>
      </w:tr>
      <w:tr>
        <w:trPr>
          <w:trHeight w:val="33"/>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1,580</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1,710</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10,350</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5,606</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4,744</w:t>
            </w:r>
          </w:p>
        </w:tc>
      </w:tr>
      <w:tr>
        <w:trPr>
          <w:trHeight w:val="33"/>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46,149</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43,679</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$9.6 billion and $10.1 billion as of March 31, 2020, and March 31, 2019, respectively. Trust and asset management income remained relatively unchanged in the first quarter of 2020 compared to the same period in 2019.</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increased by $0.4 million or 18% in the first quarter of 2020 compared to the same period in 2019. This increase was primarily due to increased sales of conforming saleable loans from current production. During the first quarter of 2020, we recognized a $2.5 million valuation impairment to our mortgage servicing rights accounted for using the amortization method which offset the increased gain on sale due to increased sales of conforming saleable loans from current production.</w:t>
      </w:r>
    </w:p>
    <w:p>
      <w:pPr>
        <w:spacing w:after="0" w:line="18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Service charges on deposit accounts increased by $0.1 million or 1% in the first quarter of 2020 compared to the same period in 2019. This increase was primarily due to a $0.4 million increase in overdraft fees which was offset by a $0.3 million decrease in account analysis fees.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Investment securities gains (losses), net totaled $(1.0) million in the first quarter of 2019 compared to $(0.8) million during the same period in 2019. The net losses in 2020 and 2019 were primarily due to fees paid to the counterparties of our prior Visa Class B share sale transactions.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80,214 Visa Class B shares (130,171 Class A equivalents) that we own are carried at a zero cost basis.</w:t>
      </w:r>
    </w:p>
    <w:p>
      <w:pPr>
        <w:spacing w:after="0" w:line="166"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Annuity and insurance income decreased by $1.7 million or 64% in the first quarter of 2020 compared to the same period in 2019. This decrease was primarily due to a one-time commission received related to insurance products offered through a third-party administrator in the first quarter of 2019.</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Other noninterest income increased by $4.7 million or 85% in the first quarter of 2020 compared to the same period in 2019 primarily due to a $5.5 million increase in fees related to our customer interest rate swap derivatives. This increase was partially offset by a decrease in net gain on sale of leased assets of $0.3 million and foreclosure gains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 increased by $3.3 million or 3% in the first quarter of 2020 compared to the same period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7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r>
      <w:tr>
        <w:trPr>
          <w:trHeight w:val="217"/>
        </w:trPr>
        <w:tc>
          <w:tcPr>
            <w:tcW w:w="7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8"/>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r>
      <w:tr>
        <w:trPr>
          <w:trHeight w:val="24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33,486</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32,480</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5,904</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(5,659)</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3,079</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1,374</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4,706</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5,107</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4,543</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4,247</w:t>
            </w: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4,465</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4,676</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4,302</w:t>
            </w:r>
          </w:p>
        </w:tc>
      </w:tr>
      <w:tr>
        <w:trPr>
          <w:trHeight w:val="33"/>
        </w:trPr>
        <w:tc>
          <w:tcPr>
            <w:tcW w:w="7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54,463</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56,586</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r>
      <w:tr>
        <w:trPr>
          <w:trHeight w:val="230"/>
        </w:trPr>
        <w:tc>
          <w:tcPr>
            <w:tcW w:w="7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8,955</w:t>
            </w: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7,594</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1,361</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8,456</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6,833</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4,788</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4,526</w:t>
            </w: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3,208</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2,453</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r>
      <w:tr>
        <w:trPr>
          <w:trHeight w:val="237"/>
        </w:trPr>
        <w:tc>
          <w:tcPr>
            <w:tcW w:w="788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1,456</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1,269</w:t>
            </w: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1,979</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2,078</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1,366</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1,275</w:t>
            </w: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1,959</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1,527</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r>
      <w:tr>
        <w:trPr>
          <w:trHeight w:val="237"/>
        </w:trPr>
        <w:tc>
          <w:tcPr>
            <w:tcW w:w="788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4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33"/>
        </w:trPr>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7,806</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6,796</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r>
      <w:tr>
        <w:trPr>
          <w:trHeight w:val="230"/>
        </w:trPr>
        <w:tc>
          <w:tcPr>
            <w:tcW w:w="7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14,986</w:t>
            </w: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13,796</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7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96,312</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93,057</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3,255</w:t>
            </w:r>
          </w:p>
        </w:tc>
      </w:tr>
      <w:tr>
        <w:trPr>
          <w:trHeight w:val="20"/>
        </w:trPr>
        <w:tc>
          <w:tcPr>
            <w:tcW w:w="7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salaries and benefits expense decreased by $2.1 million or 4% in the first quarter of 2020 compared to the same period in 2019 primarily due to a $5.7 million decrease in incentive compensation. Share-based compensation decreased by $1.8 million due to forfeiture of unvested restricted stock grants coupled with lower restricted stock units being amortized. These decreases were partially offset by a $4.3 million increase in separation expense coupled with a $1.0 million increase in salaries due to merit increases.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30" w:right="3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occupancy increased by $1.4 million or 18% in the first quarter of 2020 compared to the same period in 2019. This increase was primarily due to a $0.6 million gain on sale of real estate property on the island of Oahu during the first quarter of 2019 coupled with a $0.5 million increase in net rental expense. In addition, depreciation and amortization increased by $0.2 million.</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equipment increased by $1.6 million or 24% in the first quarter of 2020 compared to the same period in 2019. These increases were due to higher depreciation expense.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Data processing increased by $0.3 million or 6% in the first quarter of 2020 compared to the same period in 2019 due to ongoing information technology projects.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Professional fees increased by $0.8 million or 31% in the in the first quarter of 2020 compared to the same period in 2019 primarily due to an increase in in professional services and legal fees.</w:t>
      </w:r>
    </w:p>
    <w:p>
      <w:pPr>
        <w:spacing w:after="0" w:line="17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FDIC insurance increased by $0.2 million or 15% in the first quarter of 2020 compared to the same period in 2019 due to an increase in FDIC assessment rates and assessment base.</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Total other expense increased by $1.2 million or 9% in the first quarter of 2020 compared to the same period in 2019 primarily due to a $0.9 million increase in broker’s fees related to our customer interest rate swap derivatives coupled with a $0.4 million increase in advertising.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8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4"/>
              </w:rPr>
              <w:t>March 31,</w:t>
            </w:r>
          </w:p>
        </w:tc>
        <w:tc>
          <w:tcPr>
            <w:tcW w:w="780" w:type="dxa"/>
            <w:vAlign w:val="bottom"/>
          </w:tcPr>
          <w:p>
            <w:pPr>
              <w:spacing w:after="0"/>
              <w:rPr>
                <w:sz w:val="18"/>
                <w:szCs w:val="18"/>
                <w:color w:val="auto"/>
              </w:rPr>
            </w:pPr>
          </w:p>
        </w:tc>
      </w:tr>
      <w:tr>
        <w:trPr>
          <w:trHeight w:val="33"/>
        </w:trPr>
        <w:tc>
          <w:tcPr>
            <w:tcW w:w="8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7,461</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13,660</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17.68%</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18.85%</w:t>
            </w:r>
          </w:p>
        </w:tc>
      </w:tr>
    </w:tbl>
    <w:p>
      <w:pPr>
        <w:spacing w:after="0" w:line="235"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The provision for income taxes was $7.5 million in the first quarter of 2020, a decrease of $6.2 million or 45% compared to the same period in 2019. The effective tax rate for the first quarter of 2020 was 17.68%, down from 18.85% for the same period in 2019. The lower effective rate in the first quarter of 2020 compared to the same period in 2019 was primarily due to lower pretax book income compared to a fixed amount of tax credits. This was partially offset by a $1.9 million tax benefit from an early buyout of our equity interest in a leveraged lease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carrying value of our investment securities portfolio was $5.7 billion as of March 31, 2020, and December 31, 2019. As of March 31, 2020, our investment securities portfolio was comprised of securities with an average base duration of approximately 2.8 years.</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Ginnie Mae mortgage-backed securities continue to be the largest concentration in our portfolio. As of March 31, 2020, our portfolio of Ginnie Mae mortgage-backed securities was primarily comprised of securities issued in 2008 or later. As of March 31, 2020, these mortgage-backed securities were all AAA-rated, with a low probability of a change in their credit ratings in the near future. As of March 31, 2020, our available-for-sale investment securities portfolio was comprised of securities with an average base duration of approximately 2.7 years.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Gross unrealized gains in our investment securities portfolio were $176.9 million as of March 31, 2020, and $51.1 million as of December 31, 2019. Gross unrealized losses in our investment securities were $9.2 million as of March 31, 2020, and $19.2 million as of December 31, 2019. The lower unrealized losses were primarily caused by the decrease in interest rates during the first three months of 2020. The gross unrealized loss positions were primarily related to our corporate bond portfolio which were related to debt securities issued by large multinational banks. The unrealized losses primarily resulted from an increase in credit spreads due to the economic uncertainty related to COVID-19. However, such credit spreads have tightened significantly from their widest levels. In addition, such banks have built up substantial capital buffers since the financial crisis of 2008 which mitigates the likelihood of credit losses. As of March 31, 2020, there have been no payment defaults nor do we currently expect any future payment defaults. Furthermore, we do not intend to sell these securities, and it is not more likely than not that we will be required to sell the investment securities before recovery of their amortized cost basis, which may be at maturity.</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remainder of the AFS debt securities in an unrealized loss position as of March 31, 2020, consisted of debt securities issued by U.S. government agencies or U.S. government-sponsored enterprises. These securities carry the explicit and/or implicit guarantee of the U.S. government, are widely recognized as “risk free,” and have a long history of zero credit loss. Total gross unrealized losses were primarily attributable to changes in interest rates, relative to when the investment securities were purchased, and not due to the credit quality of the investment securities. We do not intend to sell the investment securities that were in an unrealized loss position and it is not more likely than not that we will be required to sell the investment securities before recovery of their amortized cost basis, which may be at maturity.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30" w:right="37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5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1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1,558,232</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1,379,152</w:t>
            </w:r>
          </w:p>
        </w:tc>
      </w:tr>
      <w:tr>
        <w:trPr>
          <w:trHeight w:val="33"/>
        </w:trPr>
        <w:tc>
          <w:tcPr>
            <w:tcW w:w="5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2,616,243</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2,518,051</w:t>
            </w: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245,390</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5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110,704</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122,454</w:t>
            </w:r>
          </w:p>
        </w:tc>
      </w:tr>
      <w:tr>
        <w:trPr>
          <w:trHeight w:val="231"/>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4,530,569</w:t>
            </w: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5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3,928,183</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3,891,100</w:t>
            </w:r>
          </w:p>
        </w:tc>
      </w:tr>
      <w:tr>
        <w:trPr>
          <w:trHeight w:val="33"/>
        </w:trPr>
        <w:tc>
          <w:tcPr>
            <w:tcW w:w="5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1,692,154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1,676,073</w:t>
            </w:r>
          </w:p>
        </w:tc>
      </w:tr>
      <w:tr>
        <w:trPr>
          <w:trHeight w:val="237"/>
        </w:trPr>
        <w:tc>
          <w:tcPr>
            <w:tcW w:w="522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716,214</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720,286</w:t>
            </w:r>
          </w:p>
        </w:tc>
      </w:tr>
      <w:tr>
        <w:trPr>
          <w:trHeight w:val="33"/>
        </w:trPr>
        <w:tc>
          <w:tcPr>
            <w:tcW w:w="5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485,660</w:t>
            </w:r>
          </w:p>
        </w:tc>
        <w:tc>
          <w:tcPr>
            <w:tcW w:w="4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489,606</w:t>
            </w:r>
          </w:p>
        </w:tc>
      </w:tr>
      <w:tr>
        <w:trPr>
          <w:trHeight w:val="231"/>
        </w:trPr>
        <w:tc>
          <w:tcPr>
            <w:tcW w:w="522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6,822,211</w:t>
            </w:r>
          </w:p>
        </w:tc>
        <w:tc>
          <w:tcPr>
            <w:tcW w:w="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6,777,065</w:t>
            </w:r>
          </w:p>
        </w:tc>
      </w:tr>
      <w:tr>
        <w:trPr>
          <w:trHeight w:val="33"/>
        </w:trPr>
        <w:tc>
          <w:tcPr>
            <w:tcW w:w="5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1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11,352,780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52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loans and leases as of March 31, 2020, increased by $361.9 million or 3% from December 31, 2019, due to growth in both our commercial and consumer lending portfolios.</w:t>
      </w:r>
    </w:p>
    <w:p>
      <w:pPr>
        <w:spacing w:after="0" w:line="17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Commercial loans and leases as of March 31, 2020, increased by $316.7 million or 8% from December 31, 2019. Commercial and industrial loans increased by $179.1 million or 13% from December 31, 2019, primarily due to increased demand for liquidity due to the COVID-19 event and the uncertainty surrounding it. Commercial mortgage loans increased by $98.2 million or 4% from December 31, 2019, primarily due to continued demand from new and existing customers. Construction loans increased by $51.2 million or 26% from December 31, 2019, primarily due to an increase in construction activity in our market. Lease financing decreased by $11.8 million or 10% from December 31, 2019, primarily due to a lessee exercising its early buy-out option on a leveraged lease in the first quarter of 2020.</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Consumer loans and leases as of March 31, 2020, increased by $45.1 million or 1% from December 31, 2019. Residential mortgage loans increased by $37.1 million or 1% from December 31, 2019, primarily due to higher loan originations, partially offset by an increase in payoff activity. Automobile loans decreased by $4.1 million or 1% from December 31, 2019. Automobile loans are expected to continue the downward trend during the second quarter of 2020 as a result of COVID-19 shelter-in-place order by the State of Hawaii.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3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24"/>
        </w:trPr>
        <w:tc>
          <w:tcPr>
            <w:tcW w:w="8360" w:type="dxa"/>
            <w:vAlign w:val="bottom"/>
            <w:gridSpan w:val="9"/>
          </w:tcPr>
          <w:p>
            <w:pPr>
              <w:spacing w:after="0"/>
              <w:rPr>
                <w:sz w:val="20"/>
                <w:szCs w:val="20"/>
                <w:color w:val="auto"/>
              </w:rPr>
            </w:pPr>
            <w:r>
              <w:rPr>
                <w:rFonts w:ascii="Arial" w:cs="Arial" w:eastAsia="Arial" w:hAnsi="Arial"/>
                <w:sz w:val="18"/>
                <w:szCs w:val="18"/>
                <w:color w:val="auto"/>
                <w:w w:val="96"/>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3"/>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Geographic Distribution of Loan and Lease Portfolio</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2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Hawaii</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Pacific Islands</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1,364,836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103,568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7,628</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1,558,232</w:t>
            </w: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2,238,565</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135,253</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242,425</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2,616,243</w:t>
            </w: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245,390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245,390</w:t>
            </w: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Lease Financing</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67,818</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40,438</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1,942</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110,704</w:t>
            </w:r>
          </w:p>
        </w:tc>
      </w:tr>
      <w:tr>
        <w:trPr>
          <w:trHeight w:val="33"/>
        </w:trPr>
        <w:tc>
          <w:tcPr>
            <w:tcW w:w="2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5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3,916,609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279,259</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325,131</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7,628</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1,942</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4,530,569</w:t>
            </w:r>
          </w:p>
        </w:tc>
      </w:tr>
      <w:tr>
        <w:trPr>
          <w:trHeight w:val="231"/>
        </w:trPr>
        <w:tc>
          <w:tcPr>
            <w:tcW w:w="2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5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3,857,536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3,928,183</w:t>
            </w: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1,652,375</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39,459</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1,692,154</w:t>
            </w: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549,924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146,077</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20,213</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716,214</w:t>
            </w:r>
          </w:p>
        </w:tc>
      </w:tr>
      <w:tr>
        <w:trPr>
          <w:trHeight w:val="270"/>
        </w:trPr>
        <w:tc>
          <w:tcPr>
            <w:tcW w:w="2380" w:type="dxa"/>
            <w:vAlign w:val="bottom"/>
            <w:tcBorders>
              <w:bottom w:val="single" w:sz="8" w:color="auto"/>
            </w:tcBorders>
          </w:tcPr>
          <w:p>
            <w:pPr>
              <w:ind w:left="3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3</w:t>
            </w:r>
          </w:p>
        </w:tc>
        <w:tc>
          <w:tcPr>
            <w:tcW w:w="5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401,517</w:t>
            </w: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59,052</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25,091</w:t>
            </w: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485,660</w:t>
            </w:r>
          </w:p>
        </w:tc>
      </w:tr>
      <w:tr>
        <w:trPr>
          <w:trHeight w:val="269"/>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5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6,461,352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314,202</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46,539</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6,822,211</w:t>
            </w:r>
          </w:p>
        </w:tc>
      </w:tr>
      <w:tr>
        <w:trPr>
          <w:trHeight w:val="231"/>
        </w:trPr>
        <w:tc>
          <w:tcPr>
            <w:tcW w:w="2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5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10,377,961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279,377</w:t>
            </w:r>
          </w:p>
        </w:tc>
        <w:tc>
          <w:tcPr>
            <w:tcW w:w="5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639,333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54,167</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1,942</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11,352,780</w:t>
            </w:r>
          </w:p>
        </w:tc>
      </w:tr>
      <w:tr>
        <w:trPr>
          <w:trHeight w:val="73"/>
        </w:trPr>
        <w:tc>
          <w:tcPr>
            <w:tcW w:w="23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0"/>
        </w:trPr>
        <w:tc>
          <w:tcPr>
            <w:tcW w:w="2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1,182,908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99,884</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87,101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9,244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1,379,152</w:t>
            </w: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2,144,627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131,425</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241,531</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2,518,051</w:t>
            </w: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Construction</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194,170</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194,170</w:t>
            </w: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69,542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50,225</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122,454</w:t>
            </w:r>
          </w:p>
        </w:tc>
      </w:tr>
      <w:tr>
        <w:trPr>
          <w:trHeight w:val="230"/>
        </w:trPr>
        <w:tc>
          <w:tcPr>
            <w:tcW w:w="2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5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3,591,247</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281,534</w:t>
            </w: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329,202</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9,712</w:t>
            </w: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2,132</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4,213,827</w:t>
            </w:r>
          </w:p>
        </w:tc>
      </w:tr>
      <w:tr>
        <w:trPr>
          <w:trHeight w:val="33"/>
        </w:trPr>
        <w:tc>
          <w:tcPr>
            <w:tcW w:w="2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3,818,529</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71,493</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1,078</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3,891,100</w:t>
            </w: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1,636,627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38,999</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1,676,073</w:t>
            </w:r>
          </w:p>
        </w:tc>
      </w:tr>
      <w:tr>
        <w:trPr>
          <w:trHeight w:val="237"/>
        </w:trPr>
        <w:tc>
          <w:tcPr>
            <w:tcW w:w="23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553,388</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147,790</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19,108</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720,286</w:t>
            </w:r>
          </w:p>
        </w:tc>
      </w:tr>
      <w:tr>
        <w:trPr>
          <w:trHeight w:val="33"/>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23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5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404,262</w:t>
            </w: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59,250</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26,094</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489,606</w:t>
            </w:r>
          </w:p>
        </w:tc>
      </w:tr>
      <w:tr>
        <w:trPr>
          <w:trHeight w:val="232"/>
        </w:trPr>
        <w:tc>
          <w:tcPr>
            <w:tcW w:w="23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54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6,412,806</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5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317,532</w:t>
            </w:r>
          </w:p>
        </w:tc>
        <w:tc>
          <w:tcPr>
            <w:tcW w:w="2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46,605</w:t>
            </w:r>
          </w:p>
        </w:tc>
        <w:tc>
          <w:tcPr>
            <w:tcW w:w="4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6,777,065</w:t>
            </w:r>
          </w:p>
        </w:tc>
      </w:tr>
      <w:tr>
        <w:trPr>
          <w:trHeight w:val="33"/>
        </w:trPr>
        <w:tc>
          <w:tcPr>
            <w:tcW w:w="2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10,004,053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281,656</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646,734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56,317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2,132</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10,990,892</w:t>
            </w:r>
          </w:p>
        </w:tc>
      </w:tr>
      <w:tr>
        <w:trPr>
          <w:trHeight w:val="20"/>
        </w:trPr>
        <w:tc>
          <w:tcPr>
            <w:tcW w:w="2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20" w:hanging="172"/>
        <w:spacing w:after="0" w:line="250" w:lineRule="auto"/>
        <w:tabs>
          <w:tab w:leader="none" w:pos="180" w:val="left"/>
        </w:tabs>
        <w:numPr>
          <w:ilvl w:val="0"/>
          <w:numId w:val="42"/>
        </w:numPr>
        <w:rPr>
          <w:rFonts w:ascii="Arial" w:cs="Arial" w:eastAsia="Arial" w:hAnsi="Arial"/>
          <w:sz w:val="9"/>
          <w:szCs w:val="9"/>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legacy lease financing and participation in shared national credits for customers whose operations and assets extend beyond Hawaii.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$373.9 million or 4% from December 31,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36,198</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34,093</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100,591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28,931</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100,457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84,618</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42,844</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41,464</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18,106</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15,140</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4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18,333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20,180</w:t>
            </w:r>
          </w:p>
        </w:tc>
      </w:tr>
      <w:tr>
        <w:trPr>
          <w:trHeight w:val="33"/>
        </w:trPr>
        <w:tc>
          <w:tcPr>
            <w:tcW w:w="6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60,373</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48,248</w:t>
            </w:r>
          </w:p>
        </w:tc>
      </w:tr>
      <w:tr>
        <w:trPr>
          <w:trHeight w:val="231"/>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4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376,902</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272,674</w:t>
            </w:r>
          </w:p>
        </w:tc>
      </w:tr>
      <w:tr>
        <w:trPr>
          <w:trHeight w:val="33"/>
        </w:trPr>
        <w:tc>
          <w:tcPr>
            <w:tcW w:w="60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Total other assets increased by $104.2 million or 38% from December 31, 2019. The increase was due to a $71.7 million increase in derivative financial instruments, which was primarily due to fair value increases of our interest rate swap agreement assets, which are impacted by prevailing interest rates. Low-income housing and other equity investments increased by $15.8 million due to additional funding of existing projects. In addition, other assets increased by $12.1 million primarily due to an increase in pledged collateral due to a lower rate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7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8,294,461</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8,118,494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7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6,358,583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6,324,214</w:t>
            </w:r>
          </w:p>
        </w:tc>
      </w:tr>
      <w:tr>
        <w:trPr>
          <w:trHeight w:val="33"/>
        </w:trPr>
        <w:tc>
          <w:tcPr>
            <w:tcW w:w="47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1,402,317</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1,341,774</w:t>
            </w:r>
          </w:p>
        </w:tc>
      </w:tr>
      <w:tr>
        <w:trPr>
          <w:trHeight w:val="230"/>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7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16,055,361</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15,784,482</w:t>
            </w:r>
          </w:p>
        </w:tc>
      </w:tr>
      <w:tr>
        <w:trPr>
          <w:trHeight w:val="33"/>
        </w:trPr>
        <w:tc>
          <w:tcPr>
            <w:tcW w:w="47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Total deposits were $16.1 billion as of March 31, 2020, an increase of $270.9 million or 2% from December 31, 2019. This increase was primarily due to an increase in consumer, public, and other deposits. Consumer deposits increased by $176.0 million due to an increase in core deposits of $181.7 million which was offset by a decrease in time deposits of $5.7 million. Public and other deposits increased by $60.5 million or 5% due to an increase in public demand deposits of $106.6 million and offset by a decrease in time deposits of $46.1 million. Also, commercial deposits increased by $34.4 million or 1% primarily due to a $40.2 million increase in core deposits offset by a $5.8 million decrease in time deposits.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8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8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6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2,720,960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2,519,414</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6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3,949,570</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3,845,907</w:t>
            </w:r>
          </w:p>
        </w:tc>
      </w:tr>
      <w:tr>
        <w:trPr>
          <w:trHeight w:val="33"/>
        </w:trPr>
        <w:tc>
          <w:tcPr>
            <w:tcW w:w="48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6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6,670,530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6,365,321</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5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600,000</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3,206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4,306</w:t>
            </w:r>
          </w:p>
        </w:tc>
      </w:tr>
      <w:tr>
        <w:trPr>
          <w:trHeight w:val="33"/>
        </w:trPr>
        <w:tc>
          <w:tcPr>
            <w:tcW w:w="5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603,206</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604,306</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Securities sold under agreements to repurchase was $603.2 million as of March 31, 2020, relatively unchanged from December 31, 2019. As of March 31, 2020, the weighted-average maturity was 419 days for our repurchase agreements with government entities and 3.7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3.2 years. As of March 31, 2020, the weighted-average interest rate for outstanding agreements with government entities and private institutions was 1.27% and 2.68%, respectively, with all rates being fixed. Each of our repurchase agreements is accounted for as a collateralized financing arrangement (i.e., a secured borrowing) and not as a sale and subsequent repurchase of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532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2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10,545</w:t>
            </w:r>
          </w:p>
        </w:tc>
        <w:tc>
          <w:tcPr>
            <w:tcW w:w="3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10,565</w:t>
            </w:r>
          </w:p>
        </w:tc>
      </w:tr>
      <w:tr>
        <w:trPr>
          <w:trHeight w:val="33"/>
        </w:trPr>
        <w:tc>
          <w:tcPr>
            <w:tcW w:w="53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60,545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85,565</w:t>
            </w:r>
          </w:p>
        </w:tc>
      </w:tr>
      <w:tr>
        <w:trPr>
          <w:trHeight w:val="20"/>
        </w:trPr>
        <w:tc>
          <w:tcPr>
            <w:tcW w:w="532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 debt was $60.5 million as of March 31, 2020, a decrease of $25.0 million or 29% from December 31, 2019. This decrease was primarily due to a $25.0 million FHLB advance which matured during the first quarter of 2020. As of March 31, 2020, our FHLB advances had a weighted-average interest rate of 3.00% with maturity dates during 2020. These advances were primarily for asset/liability management purposes. As of March 31, 2020, our remaining unused line of credit with the FHLB was $2.8 billion.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business segments are defined as Consumer Banking, Commercial Banking, and Treasury and Other. Effective January 1, 2020, we changed our segments based on management structure and strategic focus which is placing a greater emphasis on customer segment vs. product type.</w:t>
      </w:r>
    </w:p>
    <w:p>
      <w:pPr>
        <w:spacing w:after="0" w:line="12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7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7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8"/>
                <w:szCs w:val="18"/>
                <w:color w:val="auto"/>
              </w:rPr>
            </w:pPr>
          </w:p>
        </w:tc>
      </w:tr>
      <w:tr>
        <w:trPr>
          <w:trHeight w:val="210"/>
        </w:trPr>
        <w:tc>
          <w:tcPr>
            <w:tcW w:w="7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23,822</w:t>
            </w:r>
          </w:p>
        </w:tc>
        <w:tc>
          <w:tcPr>
            <w:tcW w:w="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54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30,373</w:t>
            </w:r>
          </w:p>
        </w:tc>
        <w:tc>
          <w:tcPr>
            <w:tcW w:w="9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25,948</w:t>
            </w:r>
          </w:p>
        </w:tc>
      </w:tr>
      <w:tr>
        <w:trPr>
          <w:trHeight w:val="33"/>
        </w:trPr>
        <w:tc>
          <w:tcPr>
            <w:tcW w:w="7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54,195</w:t>
            </w:r>
          </w:p>
        </w:tc>
        <w:tc>
          <w:tcPr>
            <w:tcW w:w="9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55,293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Treasury and Other</w:t>
            </w:r>
          </w:p>
        </w:tc>
        <w:tc>
          <w:tcPr>
            <w:tcW w:w="54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(19,453)</w:t>
            </w:r>
          </w:p>
        </w:tc>
        <w:tc>
          <w:tcPr>
            <w:tcW w:w="9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3,506</w:t>
            </w:r>
          </w:p>
        </w:tc>
      </w:tr>
      <w:tr>
        <w:trPr>
          <w:trHeight w:val="33"/>
        </w:trPr>
        <w:tc>
          <w:tcPr>
            <w:tcW w:w="7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34,742</w:t>
            </w:r>
          </w:p>
        </w:tc>
        <w:tc>
          <w:tcPr>
            <w:tcW w:w="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58,799</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Net income decreased by $5.5 million or 19% in the first quarter of 2020 primarily due to decreases in net interest income and noninterest income, as well as increases in noninterest expense and the Provision. The decrease in net interest income was primarily due to lower average rates in the segment’s deposit portfolio, partially offset by higher average balances in the deposit portfolio. The decrease in noninterest income was primarily due to a one-time commission received in the first quarter of 2019 related to insurance products offered through a third-party administrator. The increase in noninterest expense was primarily due to higher allocated expenses. The increase in the Provision was primarily due to higher net charge-offs in our installment loan and auto loan portfolio, partially offset by lower net charge-offs in our home equity loan portfolio.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Net income increased by $4.4 million or 17% in the first quarter of 2020 compared to the same period in 2019 primarily due to an increase in noninterest income and decreases in noninterest expense and the Provision. This was partially offset by a decrease in net interest income. The increase in noninterest income was due to higher fees related to our customer interest rate swap derivative program. The decrease in noninterest expense was primarily due to lower allocated expenses. The decrease in the provision for losses was primarily due to lower net charge-offs of loans in the segment. The decrease in net interest income was primarily due to lower earnings credits on the segment’s deposit portfolio, partially offset by growth in the segment’s loan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Net income decreased by $23.0 million in the first quarter of 2020 compared to the same period in 2019 primarily due to an increase in the Provision, offset by lower provision for income taxes. The increase in the Provision was due to the changes in economic conditions driven by the impact of the COVID-19 pandemic and considered the effect of significantly slower economic growth and higher unemployment in Hawaii, partially offset by the benefits of government stimulus programs. The provision for income taxes in this business segment represents the residual amount to arrive at the total tax expense for the Company. The overall effective tax rate decreased to 17.68% in the first quarter of 2020 compared to 18.85% in the first quarter of 2019.</w:t>
      </w:r>
    </w:p>
    <w:p>
      <w:pPr>
        <w:spacing w:after="0" w:line="16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March 31, 2020, our overall credit risk profile was affected by the economic downturn resulting from the COVID-19 pandemic. Despite the current state of the Hawaii economy, our levels of non-performing assets and credit losses remain well controlled. The underlying risk profile of our lending portfolio continued to remain strong during the first three months of 2020.</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320" w:top="130" w:right="39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7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2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1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634</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830</w:t>
            </w:r>
          </w:p>
        </w:tc>
      </w:tr>
      <w:tr>
        <w:trPr>
          <w:trHeight w:val="33"/>
        </w:trPr>
        <w:tc>
          <w:tcPr>
            <w:tcW w:w="7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9,048</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9,244</w:t>
            </w:r>
          </w:p>
        </w:tc>
      </w:tr>
      <w:tr>
        <w:trPr>
          <w:trHeight w:val="217"/>
        </w:trPr>
        <w:tc>
          <w:tcPr>
            <w:tcW w:w="72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9,682</w:t>
            </w: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10,074</w:t>
            </w:r>
          </w:p>
        </w:tc>
      </w:tr>
      <w:tr>
        <w:trPr>
          <w:trHeight w:val="47"/>
        </w:trPr>
        <w:tc>
          <w:tcPr>
            <w:tcW w:w="7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1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4,330</w:t>
            </w:r>
          </w:p>
        </w:tc>
        <w:tc>
          <w:tcPr>
            <w:tcW w:w="46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4,125</w:t>
            </w: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5"/>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4,086</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3,181</w:t>
            </w:r>
          </w:p>
        </w:tc>
      </w:tr>
      <w:tr>
        <w:trPr>
          <w:trHeight w:val="217"/>
        </w:trPr>
        <w:tc>
          <w:tcPr>
            <w:tcW w:w="72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8,416</w:t>
            </w: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7,306</w:t>
            </w:r>
          </w:p>
        </w:tc>
      </w:tr>
      <w:tr>
        <w:trPr>
          <w:trHeight w:val="46"/>
        </w:trPr>
        <w:tc>
          <w:tcPr>
            <w:tcW w:w="7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18,098</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17,380</w:t>
            </w:r>
          </w:p>
        </w:tc>
      </w:tr>
      <w:tr>
        <w:trPr>
          <w:trHeight w:val="217"/>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2,506</w:t>
            </w: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2,737</w:t>
            </w:r>
          </w:p>
        </w:tc>
      </w:tr>
      <w:tr>
        <w:trPr>
          <w:trHeight w:val="47"/>
        </w:trPr>
        <w:tc>
          <w:tcPr>
            <w:tcW w:w="7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20,604</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20,117</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Consumer</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3,024</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1,839</w:t>
            </w: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1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3,426</w:t>
            </w:r>
          </w:p>
        </w:tc>
        <w:tc>
          <w:tcPr>
            <w:tcW w:w="46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4,125</w:t>
            </w:r>
          </w:p>
        </w:tc>
      </w:tr>
      <w:tr>
        <w:trPr>
          <w:trHeight w:val="47"/>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866</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949</w:t>
            </w:r>
          </w:p>
        </w:tc>
      </w:tr>
      <w:tr>
        <w:trPr>
          <w:trHeight w:val="270"/>
        </w:trPr>
        <w:tc>
          <w:tcPr>
            <w:tcW w:w="7200" w:type="dxa"/>
            <w:vAlign w:val="bottom"/>
            <w:tcBorders>
              <w:bottom w:val="single" w:sz="8" w:color="auto"/>
            </w:tcBorders>
          </w:tcPr>
          <w:p>
            <w:pPr>
              <w:ind w:left="3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1,205</w:t>
            </w:r>
          </w:p>
        </w:tc>
        <w:tc>
          <w:tcPr>
            <w:tcW w:w="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1,493</w:t>
            </w: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8,521</w:t>
            </w:r>
          </w:p>
        </w:tc>
        <w:tc>
          <w:tcPr>
            <w:tcW w:w="4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8,406</w:t>
            </w:r>
          </w:p>
        </w:tc>
      </w:tr>
      <w:tr>
        <w:trPr>
          <w:trHeight w:val="230"/>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1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8,521</w:t>
            </w: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8,406</w:t>
            </w:r>
          </w:p>
        </w:tc>
      </w:tr>
      <w:tr>
        <w:trPr>
          <w:trHeight w:val="73"/>
        </w:trPr>
        <w:tc>
          <w:tcPr>
            <w:tcW w:w="7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61,425</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63,103</w:t>
            </w: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11,352,780</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10,990,892</w:t>
            </w:r>
          </w:p>
        </w:tc>
      </w:tr>
      <w:tr>
        <w:trPr>
          <w:trHeight w:val="73"/>
        </w:trPr>
        <w:tc>
          <w:tcPr>
            <w:tcW w:w="7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30"/>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4"/>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13"/>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6"/>
        </w:trPr>
        <w:tc>
          <w:tcPr>
            <w:tcW w:w="7200" w:type="dxa"/>
            <w:vAlign w:val="bottom"/>
          </w:tcPr>
          <w:p>
            <w:pPr>
              <w:ind w:left="160"/>
              <w:spacing w:after="0"/>
              <w:rPr>
                <w:sz w:val="20"/>
                <w:szCs w:val="20"/>
                <w:color w:val="auto"/>
              </w:rPr>
            </w:pPr>
            <w:r>
              <w:rPr>
                <w:rFonts w:ascii="Arial" w:cs="Arial" w:eastAsia="Arial" w:hAnsi="Arial"/>
                <w:sz w:val="16"/>
                <w:szCs w:val="16"/>
                <w:color w:val="auto"/>
              </w:rPr>
              <w:t>and Consumer Foreclosed Real Estate</w:t>
            </w:r>
          </w:p>
        </w:tc>
        <w:tc>
          <w:tcPr>
            <w:tcW w:w="1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0.16%</w:t>
            </w:r>
          </w:p>
        </w:tc>
        <w:tc>
          <w:tcPr>
            <w:tcW w:w="4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4"/>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r>
      <w:tr>
        <w:trPr>
          <w:trHeight w:val="230"/>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20,117</w:t>
            </w:r>
          </w:p>
        </w:tc>
        <w:tc>
          <w:tcPr>
            <w:tcW w:w="4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18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1,754</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380"/>
              <w:spacing w:after="0"/>
              <w:rPr>
                <w:sz w:val="20"/>
                <w:szCs w:val="20"/>
                <w:color w:val="auto"/>
              </w:rPr>
            </w:pPr>
            <w:r>
              <w:rPr>
                <w:rFonts w:ascii="Arial" w:cs="Arial" w:eastAsia="Arial" w:hAnsi="Arial"/>
                <w:sz w:val="16"/>
                <w:szCs w:val="16"/>
                <w:color w:val="auto"/>
              </w:rPr>
              <w:t>Payments</w:t>
            </w:r>
          </w:p>
        </w:tc>
        <w:tc>
          <w:tcPr>
            <w:tcW w:w="11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to Accrual Status</w:t>
            </w:r>
          </w:p>
        </w:tc>
        <w:tc>
          <w:tcPr>
            <w:tcW w:w="1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7200" w:type="dxa"/>
            <w:vAlign w:val="bottom"/>
          </w:tcPr>
          <w:p>
            <w:pPr>
              <w:ind w:left="380"/>
              <w:spacing w:after="0"/>
              <w:rPr>
                <w:sz w:val="20"/>
                <w:szCs w:val="20"/>
                <w:color w:val="auto"/>
              </w:rPr>
            </w:pPr>
            <w:r>
              <w:rPr>
                <w:rFonts w:ascii="Arial" w:cs="Arial" w:eastAsia="Arial" w:hAnsi="Arial"/>
                <w:sz w:val="16"/>
                <w:szCs w:val="16"/>
                <w:color w:val="auto"/>
              </w:rPr>
              <w:t>Sales of Foreclosed Real Estate</w:t>
            </w:r>
          </w:p>
        </w:tc>
        <w:tc>
          <w:tcPr>
            <w:tcW w:w="11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6"/>
        </w:trPr>
        <w:tc>
          <w:tcPr>
            <w:tcW w:w="7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Charge-offs/Write-downs</w:t>
            </w:r>
          </w:p>
        </w:tc>
        <w:tc>
          <w:tcPr>
            <w:tcW w:w="1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17"/>
        </w:trPr>
        <w:tc>
          <w:tcPr>
            <w:tcW w:w="7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Reductions</w:t>
            </w:r>
          </w:p>
        </w:tc>
        <w:tc>
          <w:tcPr>
            <w:tcW w:w="1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(1,267)</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7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2020</w:t>
            </w: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20,604</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7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ectPr>
          <w:pgSz w:w="11900" w:h="16838" w:orient="portrait"/>
          <w:cols w:equalWidth="0" w:num="1">
            <w:col w:w="11240"/>
          </w:cols>
          <w:pgMar w:left="320" w:top="130"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30" w:right="33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NPAs were $20.6 million as of March 31, 2020, an increase of $0.5 million or 2% from December 31, 2019. The ratio of our NPAs to total loans and leases and foreclosed real estate was 0.18% as of March 31, 2020, and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Commercial mortgage non-accrual loans were $9.0 million as of March 31, 2020, a decrease of $0.2 million or 2% from December 31, 2019.</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Residential mortgage non-accrual loans were $4.3 million as of March 31, 2020, an increase of $0.2 million or 5% from December 31, 2019, primarily due to the addition $0.6 million of loans partially offset by returns to accrual status and payoffs. As of March 31, 2020, our residential mortgage non-accrual loans were comprised of 13 loans with a weighted average current loan-to-value ratio of 60%.</w:t>
      </w:r>
    </w:p>
    <w:p>
      <w:pPr>
        <w:spacing w:after="0" w:line="184"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decreased by $0.2 million or 8% from December 31, 2019, due to the sale of one residential property.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$8.5 million as of March 31, 2020, a $0.1 million or 1% increase from December 31, 2019. The increase was primarily in residential mortgage loans, which was partially offset by a decrease in the home equity loans and other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6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21,265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21,278</w:t>
            </w:r>
          </w:p>
        </w:tc>
      </w:tr>
      <w:tr>
        <w:trPr>
          <w:trHeight w:val="33"/>
        </w:trPr>
        <w:tc>
          <w:tcPr>
            <w:tcW w:w="5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6,689</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6,830</w:t>
            </w: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6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1,161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58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6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29,115</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29,298</w:t>
            </w:r>
          </w:p>
        </w:tc>
      </w:tr>
      <w:tr>
        <w:trPr>
          <w:trHeight w:val="230"/>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17,293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17,939</w:t>
            </w: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6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3,039</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3,085</w:t>
            </w:r>
          </w:p>
        </w:tc>
      </w:tr>
      <w:tr>
        <w:trPr>
          <w:trHeight w:val="33"/>
        </w:trPr>
        <w:tc>
          <w:tcPr>
            <w:tcW w:w="5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15,993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17,086</w:t>
            </w:r>
          </w:p>
        </w:tc>
      </w:tr>
      <w:tr>
        <w:trPr>
          <w:trHeight w:val="270"/>
        </w:trPr>
        <w:tc>
          <w:tcPr>
            <w:tcW w:w="58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1,611</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1,650</w:t>
            </w:r>
          </w:p>
        </w:tc>
      </w:tr>
      <w:tr>
        <w:trPr>
          <w:trHeight w:val="268"/>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6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37,936</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39,760</w:t>
            </w:r>
          </w:p>
        </w:tc>
      </w:tr>
      <w:tr>
        <w:trPr>
          <w:trHeight w:val="230"/>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67,051</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69,058</w:t>
            </w:r>
          </w:p>
        </w:tc>
      </w:tr>
      <w:tr>
        <w:trPr>
          <w:trHeight w:val="33"/>
        </w:trPr>
        <w:tc>
          <w:tcPr>
            <w:tcW w:w="58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80" w:hanging="91"/>
        <w:spacing w:after="0"/>
        <w:tabs>
          <w:tab w:leader="none" w:pos="180" w:val="left"/>
        </w:tabs>
        <w:numPr>
          <w:ilvl w:val="0"/>
          <w:numId w:val="46"/>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Loans modified in a TDR decreased by $2.0 million or 3% from December 31, 2019. Commercial and industrial remains our largest TDR loan class.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18 presents the activity in our reserve for credit losses.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Reserve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Three Months Ended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r>
      <w:tr>
        <w:trPr>
          <w:trHeight w:val="296"/>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116,849</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115,758</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113,515</w:t>
            </w:r>
          </w:p>
        </w:tc>
      </w:tr>
      <w:tr>
        <w:trPr>
          <w:trHeight w:val="243"/>
        </w:trPr>
        <w:tc>
          <w:tcPr>
            <w:tcW w:w="6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CECL Adoption (Day 1) Impact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(5,072)</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6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(693)</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(307)</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r>
      <w:tr>
        <w:trPr>
          <w:trHeight w:val="237"/>
        </w:trPr>
        <w:tc>
          <w:tcPr>
            <w:tcW w:w="632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(1,616)</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32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4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(245)</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37"/>
        </w:trPr>
        <w:tc>
          <w:tcPr>
            <w:tcW w:w="632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(2,500)</w:t>
            </w:r>
          </w:p>
        </w:tc>
        <w:tc>
          <w:tcPr>
            <w:tcW w:w="2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(1,990)</w:t>
            </w:r>
          </w:p>
        </w:tc>
        <w:tc>
          <w:tcPr>
            <w:tcW w:w="4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(1,753)</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20" w:type="dxa"/>
            <w:vAlign w:val="bottom"/>
            <w:tcBorders>
              <w:bottom w:val="single" w:sz="8" w:color="auto"/>
            </w:tcBorders>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(3,964)</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(3,651)</w:t>
            </w:r>
          </w:p>
        </w:tc>
        <w:tc>
          <w:tcPr>
            <w:tcW w:w="4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(2,790)</w:t>
            </w:r>
          </w:p>
        </w:tc>
      </w:tr>
      <w:tr>
        <w:trPr>
          <w:trHeight w:val="231"/>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6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(7,177)</w:t>
            </w:r>
          </w:p>
        </w:tc>
        <w:tc>
          <w:tcPr>
            <w:tcW w:w="260" w:type="dxa"/>
            <w:vAlign w:val="bottom"/>
          </w:tcPr>
          <w:p>
            <w:pPr>
              <w:spacing w:after="0"/>
              <w:rPr>
                <w:sz w:val="20"/>
                <w:szCs w:val="20"/>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(6,243)</w:t>
            </w:r>
          </w:p>
        </w:tc>
        <w:tc>
          <w:tcPr>
            <w:tcW w:w="4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(6,828)</w:t>
            </w:r>
          </w:p>
        </w:tc>
      </w:tr>
      <w:tr>
        <w:trPr>
          <w:trHeight w:val="33"/>
        </w:trPr>
        <w:tc>
          <w:tcPr>
            <w:tcW w:w="6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32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289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293</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w:t>
            </w:r>
          </w:p>
        </w:tc>
      </w:tr>
      <w:tr>
        <w:trPr>
          <w:trHeight w:val="237"/>
        </w:trPr>
        <w:tc>
          <w:tcPr>
            <w:tcW w:w="632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632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699</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484</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976</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577</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588</w:t>
            </w:r>
          </w:p>
        </w:tc>
      </w:tr>
      <w:tr>
        <w:trPr>
          <w:trHeight w:val="237"/>
        </w:trPr>
        <w:tc>
          <w:tcPr>
            <w:tcW w:w="632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1,005</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512</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881</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20" w:type="dxa"/>
            <w:vAlign w:val="bottom"/>
            <w:tcBorders>
              <w:bottom w:val="single" w:sz="8" w:color="auto"/>
            </w:tcBorders>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864</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503</w:t>
            </w:r>
          </w:p>
        </w:tc>
        <w:tc>
          <w:tcPr>
            <w:tcW w:w="4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704</w:t>
            </w:r>
          </w:p>
        </w:tc>
      </w:tr>
      <w:tr>
        <w:trPr>
          <w:trHeight w:val="230"/>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3,437</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2,584</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3,158</w:t>
            </w:r>
          </w:p>
        </w:tc>
      </w:tr>
      <w:tr>
        <w:trPr>
          <w:trHeight w:val="33"/>
        </w:trPr>
        <w:tc>
          <w:tcPr>
            <w:tcW w:w="6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(3,740)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(3,659)</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w:t>
            </w: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33,600</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4,750</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3,000</w:t>
            </w: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Unfunded Commitments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(170)</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303"/>
        </w:trPr>
        <w:tc>
          <w:tcPr>
            <w:tcW w:w="632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8"/>
                <w:szCs w:val="18"/>
                <w:color w:val="auto"/>
              </w:rPr>
              <w:t xml:space="preserve">Balance at End of Period </w:t>
            </w:r>
            <w:r>
              <w:rPr>
                <w:rFonts w:ascii="Arial" w:cs="Arial" w:eastAsia="Arial" w:hAnsi="Arial"/>
                <w:sz w:val="25"/>
                <w:szCs w:val="25"/>
                <w:color w:val="auto"/>
                <w:vertAlign w:val="superscript"/>
              </w:rPr>
              <w:t>2</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141,467</w:t>
            </w: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116,849</w:t>
            </w:r>
          </w:p>
        </w:tc>
        <w:tc>
          <w:tcPr>
            <w:tcW w:w="4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112,845</w:t>
            </w:r>
          </w:p>
        </w:tc>
      </w:tr>
      <w:tr>
        <w:trPr>
          <w:trHeight w:val="115"/>
        </w:trPr>
        <w:tc>
          <w:tcPr>
            <w:tcW w:w="63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138,150</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110,027</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106,023</w:t>
            </w:r>
          </w:p>
        </w:tc>
      </w:tr>
      <w:tr>
        <w:trPr>
          <w:trHeight w:val="237"/>
        </w:trPr>
        <w:tc>
          <w:tcPr>
            <w:tcW w:w="632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36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3,317</w:t>
            </w:r>
          </w:p>
        </w:tc>
        <w:tc>
          <w:tcPr>
            <w:tcW w:w="26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6,822</w:t>
            </w:r>
          </w:p>
        </w:tc>
        <w:tc>
          <w:tcPr>
            <w:tcW w:w="4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6,822</w:t>
            </w:r>
          </w:p>
        </w:tc>
      </w:tr>
      <w:tr>
        <w:trPr>
          <w:trHeight w:val="33"/>
        </w:trPr>
        <w:tc>
          <w:tcPr>
            <w:tcW w:w="6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141,467</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116,849</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112,845</w:t>
            </w:r>
          </w:p>
        </w:tc>
      </w:tr>
      <w:tr>
        <w:trPr>
          <w:trHeight w:val="20"/>
        </w:trPr>
        <w:tc>
          <w:tcPr>
            <w:tcW w:w="6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6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11,060,707</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10,878,672</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10,467,321</w:t>
            </w:r>
          </w:p>
        </w:tc>
      </w:tr>
      <w:tr>
        <w:trPr>
          <w:trHeight w:val="20"/>
        </w:trPr>
        <w:tc>
          <w:tcPr>
            <w:tcW w:w="6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6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2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0.14%</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0.13%</w:t>
            </w:r>
          </w:p>
        </w:tc>
        <w:tc>
          <w:tcPr>
            <w:tcW w:w="4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20"/>
        </w:trPr>
        <w:tc>
          <w:tcPr>
            <w:tcW w:w="6320" w:type="dxa"/>
            <w:vAlign w:val="bottom"/>
          </w:tcPr>
          <w:p>
            <w:pPr>
              <w:ind w:left="40"/>
              <w:spacing w:after="0"/>
              <w:rPr>
                <w:sz w:val="20"/>
                <w:szCs w:val="20"/>
                <w:color w:val="auto"/>
              </w:rPr>
            </w:pPr>
            <w:r>
              <w:rPr>
                <w:rFonts w:ascii="Arial" w:cs="Arial" w:eastAsia="Arial" w:hAnsi="Arial"/>
                <w:sz w:val="16"/>
                <w:szCs w:val="16"/>
                <w:color w:val="auto"/>
              </w:rPr>
              <w:t>Ratio of Allowance for Credit Losses to</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6320" w:type="dxa"/>
            <w:vAlign w:val="bottom"/>
          </w:tcPr>
          <w:p>
            <w:pPr>
              <w:ind w:left="160"/>
              <w:spacing w:after="0"/>
              <w:rPr>
                <w:sz w:val="20"/>
                <w:szCs w:val="20"/>
                <w:color w:val="auto"/>
              </w:rPr>
            </w:pPr>
            <w:r>
              <w:rPr>
                <w:rFonts w:ascii="Arial" w:cs="Arial" w:eastAsia="Arial" w:hAnsi="Arial"/>
                <w:sz w:val="16"/>
                <w:szCs w:val="16"/>
                <w:color w:val="auto"/>
              </w:rPr>
              <w:t>Loans and Leases Outstanding</w:t>
            </w:r>
          </w:p>
        </w:tc>
        <w:tc>
          <w:tcPr>
            <w:tcW w:w="36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1.22%</w:t>
            </w:r>
          </w:p>
        </w:tc>
        <w:tc>
          <w:tcPr>
            <w:tcW w:w="260" w:type="dxa"/>
            <w:vAlign w:val="bottom"/>
          </w:tcPr>
          <w:p>
            <w:pPr>
              <w:spacing w:after="0"/>
              <w:rPr>
                <w:sz w:val="17"/>
                <w:szCs w:val="17"/>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w:t>
            </w:r>
          </w:p>
        </w:tc>
      </w:tr>
    </w:tbl>
    <w:p>
      <w:pPr>
        <w:spacing w:after="0" w:line="68" w:lineRule="exact"/>
        <w:rPr>
          <w:sz w:val="20"/>
          <w:szCs w:val="20"/>
          <w:color w:val="auto"/>
        </w:rPr>
      </w:pPr>
    </w:p>
    <w:p>
      <w:pPr>
        <w:ind w:left="260" w:hanging="171"/>
        <w:spacing w:after="0"/>
        <w:tabs>
          <w:tab w:leader="none" w:pos="260" w:val="left"/>
        </w:tabs>
        <w:numPr>
          <w:ilvl w:val="0"/>
          <w:numId w:val="47"/>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8"/>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ectPr>
          <w:pgSz w:w="11900" w:h="16838" w:orient="portrait"/>
          <w:cols w:equalWidth="0" w:num="1">
            <w:col w:w="11240"/>
          </w:cols>
          <w:pgMar w:left="320" w:top="130"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30" w:right="3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maintain a reserve for credit losses that consists of two components, the Allowance and a reserve for unfunded commitments (the “Unfunded Reserve”). The reserve for credit losses provides for the risk of credit losses expected in the loan and lease portfolio and is based on loss estimates derived from a comprehensive quarterly evaluation. The evaluation reflects analyses of individual borrowers for impairment coupled with analysis of historical loss experience in various loan pools that have been grouped based on similar risk characteristics, supplemented as necessary by credit judgment that considers observable trends, conditions, reasonable and supportable forecasts, and other relevant environmental and economic factors. The level of the Allowance is adjusted by recording an expense or recovery through the Provision. The level of the Unfunded Reserve is adjusted by recording an expense or recovery in other noninterest expense. See Note 1 to the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CECL Adoption</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Upon adoption of CECL, the Company recorded a $1.7 million decrease to the Allowance on January 1, 2020. This “Day 1” adjustment decreased the Allowance as of January 1, 2020, to $108.3 million or 0.99% of total loans and leases outstanding, compared with an Allowance of $110.0 million or</w:t>
      </w:r>
    </w:p>
    <w:p>
      <w:pPr>
        <w:spacing w:after="0" w:line="270" w:lineRule="auto"/>
        <w:rPr>
          <w:sz w:val="20"/>
          <w:szCs w:val="20"/>
          <w:color w:val="auto"/>
        </w:rPr>
      </w:pPr>
      <w:r>
        <w:rPr>
          <w:rFonts w:ascii="Arial" w:cs="Arial" w:eastAsia="Arial" w:hAnsi="Arial"/>
          <w:sz w:val="17"/>
          <w:szCs w:val="17"/>
          <w:color w:val="auto"/>
        </w:rPr>
        <w:t>1.00% of total loans and leases outstanding as of December 31, 2019. This decrease was primarily due to an $18.8 million decrease to the Allowance of the commercial portfolio. This decrease was largely the result of the Company’s use of updated historical loss rates with refined segmentation based on portfolio class (commercial &amp; industrial, commercial mortgage, construction and lease financing) in calculating the Allowance baseline, compared to the loss rate factors used in the incurred approach. The decrease to the Allowance of the commercial portfolio was largely offset by a $17.1 million increase to the Allowance of the consumer portfolio, which was primarily due to the impact of longer duration portfolio segments. Our one-year reasonable and supportable forecast reflected a generally stable asset quality and economic outlook.</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Upon adoption of CECL, the Company recorded a $3.3 million decrease to the Unfunded Reserve. This “Day 1” adjustment decreased the Unfunded Reserve as of January 1, 2020, to $3.5 million, compared to $6.8 million as of December 31, 2019. The decrease was primarily reflected in the commercial portfolio, due largely to the same reasons explained for the decrease in the Allowance for the commercial portfolio.</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Going forward, the impact of utilizing the CECL approach to calculate the reserve for credit losses will be significantly influenced by the composition, characteristics and credit risk in the loan portfolio, the prevailing economic conditions and forecasts utilized, and other external and internal factors. Material changes to these and other relevant factors may result in greater volatility to the reserve for credit losses, and therefore, greater volatility to our reported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March 31, 2020, the Allowance was $138.2 million or 1.22% of total loans and leases outstanding, compared with an Allowance of $108.3 million or 0.99% of total loans and leases outstanding as of January 1, 2020, (after the CECL Day 1 adjustment). The increase in the Allowance and the ratio of Allowance to loans and leases outstanding was primarily due to management’s best estimate of increased losses over the life of loans in our portfolio given the economic outlook and forecasts for our market changing with the COVID-19 pandemic, as well as the unprecedented intervention of fiscal, monetary and regulatory programs. The CECL approach requires an estimate of the credit losses expected over the life of an exposure (or pool of exposures). It removes the incurred loss approach’s threshold that delayed the recognition of a credit loss until it was probable a loss event was incurred.</w:t>
      </w:r>
    </w:p>
    <w:p>
      <w:pPr>
        <w:spacing w:after="0" w:line="16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Net charge-offs on loans and leases were $3.7 million or 0.14% of total average loans and leases, on an annualized basis, in the first quarter of 2020 compared to net charge-offs of $3.7 million or 0.14% of total average loans and leases, on an annualized basis, in the first quarter of 2019. Net charge-offs in our consumer portfolios were $3.4 million for the first three months of 2020 compared to $2.2 million for the same period in 2019. Net charge-offs in our commercial portfolios were $0.4 million for the first three months of 2020 compared to $1.5 million for the same period in 2019.</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March 31, 2020, based on our ongoing analysis of expected credit losses, credit risk profiles, economic conditions, coverage ratios, and other relevant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Unfunded Reserve was $3.3 million as of March 31, 2020, a decrease of $0.2 million or 6% from January 1, 2020, (after the CECL Day 1 adjustment) due to the updated historical loss rates and segmentation.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130" w:right="37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8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8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60"/>
          </w:cols>
          <w:pgMar w:left="320" w:top="130" w:right="4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March 31, 2020, and December 31, 2019,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March 31, 2020,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March 31, 2020, net interest income sensitivity to changes in interest rates for the twelve months subsequent to March 31, 2020, was slightly more sensitive in comparison to the sensitivity profile for the twelve months subsequent to December 31,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Table 19</w:t>
            </w:r>
          </w:p>
        </w:tc>
      </w:tr>
      <w:tr>
        <w:trPr>
          <w:trHeight w:val="33"/>
        </w:trPr>
        <w:tc>
          <w:tcPr>
            <w:tcW w:w="4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Impact on Future Annual Net Interest Income</w:t>
            </w:r>
          </w:p>
        </w:tc>
        <w:tc>
          <w:tcPr>
            <w:tcW w:w="80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2020</w:t>
            </w: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c>
          <w:tcPr>
            <w:tcW w:w="800" w:type="dxa"/>
            <w:vAlign w:val="bottom"/>
            <w:tcBorders>
              <w:bottom w:val="single" w:sz="8" w:color="auto"/>
            </w:tcBorders>
          </w:tcPr>
          <w:p>
            <w:pPr>
              <w:spacing w:after="0"/>
              <w:rPr>
                <w:sz w:val="22"/>
                <w:szCs w:val="22"/>
                <w:color w:val="auto"/>
              </w:rPr>
            </w:pPr>
          </w:p>
        </w:tc>
      </w:tr>
      <w:tr>
        <w:trPr>
          <w:trHeight w:val="24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939"/>
              <w:spacing w:after="0"/>
              <w:rPr>
                <w:sz w:val="20"/>
                <w:szCs w:val="20"/>
                <w:color w:val="auto"/>
              </w:rPr>
            </w:pPr>
            <w:r>
              <w:rPr>
                <w:rFonts w:ascii="Arial" w:cs="Arial" w:eastAsia="Arial" w:hAnsi="Arial"/>
                <w:sz w:val="16"/>
                <w:szCs w:val="16"/>
                <w:color w:val="auto"/>
              </w:rPr>
              <w:t>19,802</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4.1 %</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79"/>
              <w:spacing w:after="0"/>
              <w:rPr>
                <w:sz w:val="20"/>
                <w:szCs w:val="20"/>
                <w:color w:val="auto"/>
              </w:rPr>
            </w:pPr>
            <w:r>
              <w:rPr>
                <w:rFonts w:ascii="Arial" w:cs="Arial" w:eastAsia="Arial" w:hAnsi="Arial"/>
                <w:sz w:val="16"/>
                <w:szCs w:val="16"/>
                <w:color w:val="auto"/>
              </w:rPr>
              <w:t>17,560</w:t>
            </w:r>
          </w:p>
        </w:tc>
        <w:tc>
          <w:tcPr>
            <w:tcW w:w="80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9,937</w:t>
            </w:r>
          </w:p>
        </w:tc>
        <w:tc>
          <w:tcPr>
            <w:tcW w:w="8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2.1</w:t>
            </w:r>
          </w:p>
        </w:tc>
        <w:tc>
          <w:tcPr>
            <w:tcW w:w="5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8,869</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40" w:type="dxa"/>
            <w:vAlign w:val="bottom"/>
          </w:tcPr>
          <w:p>
            <w:pPr>
              <w:jc w:val="right"/>
              <w:ind w:right="899"/>
              <w:spacing w:after="0"/>
              <w:rPr>
                <w:sz w:val="20"/>
                <w:szCs w:val="20"/>
                <w:color w:val="auto"/>
              </w:rPr>
            </w:pPr>
            <w:r>
              <w:rPr>
                <w:rFonts w:ascii="Arial" w:cs="Arial" w:eastAsia="Arial" w:hAnsi="Arial"/>
                <w:sz w:val="16"/>
                <w:szCs w:val="16"/>
                <w:color w:val="auto"/>
              </w:rPr>
              <w:t>(7,187)</w:t>
            </w: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(9,311)</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(1.8)</w:t>
            </w:r>
          </w:p>
        </w:tc>
      </w:tr>
      <w:tr>
        <w:trPr>
          <w:trHeight w:val="46"/>
        </w:trPr>
        <w:tc>
          <w:tcPr>
            <w:tcW w:w="4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4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6"/>
        </w:trPr>
        <w:tc>
          <w:tcPr>
            <w:tcW w:w="4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53,129</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11.1 %</w:t>
            </w:r>
          </w:p>
        </w:tc>
        <w:tc>
          <w:tcPr>
            <w:tcW w:w="5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41,827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40" w:type="dxa"/>
            <w:vAlign w:val="bottom"/>
          </w:tcPr>
          <w:p>
            <w:pPr>
              <w:jc w:val="right"/>
              <w:ind w:right="939"/>
              <w:spacing w:after="0"/>
              <w:rPr>
                <w:sz w:val="20"/>
                <w:szCs w:val="20"/>
                <w:color w:val="auto"/>
              </w:rPr>
            </w:pPr>
            <w:r>
              <w:rPr>
                <w:rFonts w:ascii="Arial" w:cs="Arial" w:eastAsia="Arial" w:hAnsi="Arial"/>
                <w:sz w:val="16"/>
                <w:szCs w:val="16"/>
                <w:color w:val="auto"/>
              </w:rPr>
              <w:t>28,637</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19"/>
                <w:szCs w:val="19"/>
                <w:color w:val="auto"/>
              </w:rPr>
            </w:pPr>
          </w:p>
        </w:tc>
        <w:tc>
          <w:tcPr>
            <w:tcW w:w="1760" w:type="dxa"/>
            <w:vAlign w:val="bottom"/>
          </w:tcPr>
          <w:p>
            <w:pPr>
              <w:jc w:val="right"/>
              <w:ind w:right="879"/>
              <w:spacing w:after="0"/>
              <w:rPr>
                <w:sz w:val="20"/>
                <w:szCs w:val="20"/>
                <w:color w:val="auto"/>
              </w:rPr>
            </w:pPr>
            <w:r>
              <w:rPr>
                <w:rFonts w:ascii="Arial" w:cs="Arial" w:eastAsia="Arial" w:hAnsi="Arial"/>
                <w:sz w:val="16"/>
                <w:szCs w:val="16"/>
                <w:color w:val="auto"/>
              </w:rPr>
              <w:t>23,594</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4.6</w:t>
            </w:r>
          </w:p>
        </w:tc>
      </w:tr>
      <w:tr>
        <w:trPr>
          <w:trHeight w:val="46"/>
        </w:trPr>
        <w:tc>
          <w:tcPr>
            <w:tcW w:w="4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24"/>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(15,277)</w:t>
            </w:r>
          </w:p>
        </w:tc>
        <w:tc>
          <w:tcPr>
            <w:tcW w:w="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w:t>
            </w:r>
          </w:p>
        </w:tc>
        <w:tc>
          <w:tcPr>
            <w:tcW w:w="5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(30,034)</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r>
      <w:tr>
        <w:trPr>
          <w:trHeight w:val="46"/>
        </w:trPr>
        <w:tc>
          <w:tcPr>
            <w:tcW w:w="49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and our ability to sell loans in the secondary market.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March 31, 2020, we had additional borrowing capacity of $2.8 billion from the FHLB and $1.4 billion from the FRB based on the amount of collateral pledged.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continued our focus on maintaining a strong liquidity position throughout the first three months of 2020. As of March 31, 2020, cash and cash equivalents were $556.7 million, the carrying value of our available-for-sale investment securities was $2.7 billion, and total deposits were $16.1 billion. As of March 31, 2020, our available-for-sale investment securities portfolio was comprised of securities with an average base duration of approximately 2.7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March 31, 2020, the Company and the Bank were considered “well-capitalized” under this regulatory framework. The Company’s regulatory capital ratios are presented in Table 20 below. There have been no conditions or events since March 31, 2020, that management believes have changed either the Company’s or the Bank’s capital classifications.</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March 31, 2020, shareholders’ equity was $1.3 billion, relatively unchanged from December 31, 2019. For the first three months of 2020, net income of $34.7 million, common stock issuances of $3.8 million, share-based compensation of $1.5 million, and other comprehensive income of $41.9 million were partially offset by cash dividends paid of $26.8 million and common stock repurchased of $17.6 million. In the first three months of 2020, we repurchased 156,358 shares under our share repurchase program. These shares were repurchased at an average cost per share of $89.32 and a total cost of $14.0 million. From the beginning of our share repurchase program in July 2001 through March 31, 2020, we repurchased a total of 57.1 million shares of common stock and returned a total of $2.3 billion to our shareholders at an average cost of $40.51 per share.</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Remaining buyback authority under our share repurchase program was $113.1 million as of March 31, 2020. In March 2020, we suspended share repurchases in light of the COVID-19 pandemic. We believe the suspension, while conservative, is prudent given uncertainty regarding the length and severity of the COVID-19 pandemic. The actual amount and timing of future share repurchases, if any, will depend on market and economic conditions, regulatory rules, applicable SEC rules, and various other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April 2020, the Parent’s Board of Directors declared a quarterly cash dividend of $0.67 per share on the Parent’s outstanding shares. The dividend will be payable on June 12, 2020, to shareholders of record at the close of business on May 29,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March 31, 2020, and December 31,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Regulatory Capital and Ratios</w:t>
            </w:r>
          </w:p>
        </w:tc>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December 31,</w:t>
            </w:r>
          </w:p>
        </w:tc>
        <w:tc>
          <w:tcPr>
            <w:tcW w:w="220" w:type="dxa"/>
            <w:vAlign w:val="bottom"/>
          </w:tcPr>
          <w:p>
            <w:pPr>
              <w:spacing w:after="0"/>
              <w:rPr>
                <w:sz w:val="18"/>
                <w:szCs w:val="18"/>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(dollars in thousands)</w:t>
            </w:r>
          </w:p>
        </w:tc>
        <w:tc>
          <w:tcPr>
            <w:tcW w:w="20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0"/>
                <w:szCs w:val="20"/>
                <w:color w:val="auto"/>
              </w:rPr>
            </w:pPr>
          </w:p>
        </w:tc>
      </w:tr>
      <w:tr>
        <w:trPr>
          <w:trHeight w:val="202"/>
        </w:trPr>
        <w:tc>
          <w:tcPr>
            <w:tcW w:w="40" w:type="dxa"/>
            <w:vAlign w:val="bottom"/>
            <w:shd w:val="clear" w:color="auto" w:fill="CCEEFF"/>
          </w:tcPr>
          <w:p>
            <w:pPr>
              <w:spacing w:after="0"/>
              <w:rPr>
                <w:sz w:val="17"/>
                <w:szCs w:val="17"/>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Regulatory Capital</w:t>
            </w:r>
          </w:p>
        </w:tc>
        <w:tc>
          <w:tcPr>
            <w:tcW w:w="2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96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Shareholders’ Equity</w:t>
            </w:r>
          </w:p>
        </w:tc>
        <w:tc>
          <w:tcPr>
            <w:tcW w:w="2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1,327,929</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1,286,832</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w:t>
            </w: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CECL Transitional Amount</w:t>
            </w:r>
          </w:p>
        </w:tc>
        <w:tc>
          <w:tcPr>
            <w:tcW w:w="2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3,791</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Less:</w:t>
            </w:r>
          </w:p>
        </w:tc>
        <w:tc>
          <w:tcPr>
            <w:tcW w:w="5580" w:type="dxa"/>
            <w:vAlign w:val="bottom"/>
            <w:gridSpan w:val="3"/>
          </w:tcPr>
          <w:p>
            <w:pPr>
              <w:ind w:left="18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0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28,718</w:t>
            </w:r>
          </w:p>
        </w:tc>
        <w:tc>
          <w:tcPr>
            <w:tcW w:w="5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Benefit Liability Adjustments</w:t>
            </w:r>
          </w:p>
        </w:tc>
        <w:tc>
          <w:tcPr>
            <w:tcW w:w="2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(38,383)</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(38,757)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580" w:type="dxa"/>
            <w:vAlign w:val="bottom"/>
            <w:gridSpan w:val="3"/>
          </w:tcPr>
          <w:p>
            <w:pPr>
              <w:ind w:left="18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0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49,204</w:t>
            </w:r>
          </w:p>
        </w:tc>
        <w:tc>
          <w:tcPr>
            <w:tcW w:w="5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7,645</w:t>
            </w:r>
          </w:p>
        </w:tc>
        <w:tc>
          <w:tcPr>
            <w:tcW w:w="220" w:type="dxa"/>
            <w:vAlign w:val="bottom"/>
          </w:tcPr>
          <w:p>
            <w:pPr>
              <w:spacing w:after="0"/>
              <w:rPr>
                <w:sz w:val="23"/>
                <w:szCs w:val="23"/>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31"/>
        </w:trPr>
        <w:tc>
          <w:tcPr>
            <w:tcW w:w="40" w:type="dxa"/>
            <w:vAlign w:val="bottom"/>
            <w:tcBorders>
              <w:top w:val="single" w:sz="8" w:color="auto"/>
            </w:tcBorders>
          </w:tcPr>
          <w:p>
            <w:pPr>
              <w:spacing w:after="0"/>
              <w:rPr>
                <w:sz w:val="20"/>
                <w:szCs w:val="20"/>
                <w:color w:val="auto"/>
              </w:rPr>
            </w:pPr>
          </w:p>
        </w:tc>
        <w:tc>
          <w:tcPr>
            <w:tcW w:w="608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Common Equity Tier 1 Capital</w:t>
            </w:r>
          </w:p>
        </w:tc>
        <w:tc>
          <w:tcPr>
            <w:tcW w:w="20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1,292,379</w:t>
            </w: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1,289,424</w:t>
            </w:r>
          </w:p>
        </w:tc>
        <w:tc>
          <w:tcPr>
            <w:tcW w:w="220" w:type="dxa"/>
            <w:vAlign w:val="bottom"/>
            <w:tcBorders>
              <w:top w:val="single" w:sz="8" w:color="auto"/>
            </w:tcBorders>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69"/>
        </w:trPr>
        <w:tc>
          <w:tcPr>
            <w:tcW w:w="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396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r>
      <w:tr>
        <w:trPr>
          <w:trHeight w:val="231"/>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Tier 1 Capital</w:t>
            </w:r>
          </w:p>
        </w:tc>
        <w:tc>
          <w:tcPr>
            <w:tcW w:w="20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1,292,379</w:t>
            </w:r>
          </w:p>
        </w:tc>
        <w:tc>
          <w:tcPr>
            <w:tcW w:w="5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1,289,424</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Allowable Reserve for Credit Losses</w:t>
            </w:r>
          </w:p>
        </w:tc>
        <w:tc>
          <w:tcPr>
            <w:tcW w:w="20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136,832</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116,849</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31"/>
        </w:trPr>
        <w:tc>
          <w:tcPr>
            <w:tcW w:w="40" w:type="dxa"/>
            <w:vAlign w:val="bottom"/>
            <w:tcBorders>
              <w:top w:val="single" w:sz="8" w:color="auto"/>
            </w:tcBorders>
          </w:tcPr>
          <w:p>
            <w:pPr>
              <w:spacing w:after="0"/>
              <w:rPr>
                <w:sz w:val="20"/>
                <w:szCs w:val="20"/>
                <w:color w:val="auto"/>
              </w:rPr>
            </w:pPr>
          </w:p>
        </w:tc>
        <w:tc>
          <w:tcPr>
            <w:tcW w:w="608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Total Regulatory Capital</w:t>
            </w:r>
          </w:p>
        </w:tc>
        <w:tc>
          <w:tcPr>
            <w:tcW w:w="2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1,429,211</w:t>
            </w:r>
          </w:p>
        </w:tc>
        <w:tc>
          <w:tcPr>
            <w:tcW w:w="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1,406,273</w:t>
            </w:r>
          </w:p>
        </w:tc>
        <w:tc>
          <w:tcPr>
            <w:tcW w:w="220" w:type="dxa"/>
            <w:vAlign w:val="bottom"/>
            <w:tcBorders>
              <w:top w:val="single" w:sz="8" w:color="auto"/>
            </w:tcBorders>
          </w:tcPr>
          <w:p>
            <w:pPr>
              <w:spacing w:after="0"/>
              <w:rPr>
                <w:sz w:val="20"/>
                <w:szCs w:val="20"/>
                <w:color w:val="auto"/>
              </w:rPr>
            </w:pP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51"/>
        </w:trPr>
        <w:tc>
          <w:tcPr>
            <w:tcW w:w="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r>
      <w:tr>
        <w:trPr>
          <w:trHeight w:val="231"/>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Risk-Weighted Assets</w:t>
            </w:r>
          </w:p>
        </w:tc>
        <w:tc>
          <w:tcPr>
            <w:tcW w:w="20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10,944,260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10,589,061</w:t>
            </w:r>
          </w:p>
        </w:tc>
        <w:tc>
          <w:tcPr>
            <w:tcW w:w="220" w:type="dxa"/>
            <w:vAlign w:val="bottom"/>
          </w:tcPr>
          <w:p>
            <w:pPr>
              <w:spacing w:after="0"/>
              <w:rPr>
                <w:sz w:val="20"/>
                <w:szCs w:val="20"/>
                <w:color w:val="auto"/>
              </w:rPr>
            </w:pPr>
          </w:p>
        </w:tc>
      </w:tr>
      <w:tr>
        <w:trPr>
          <w:trHeight w:val="73"/>
        </w:trPr>
        <w:tc>
          <w:tcPr>
            <w:tcW w:w="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6080" w:type="dxa"/>
            <w:vAlign w:val="bottom"/>
            <w:gridSpan w:val="4"/>
          </w:tcPr>
          <w:p>
            <w:pPr>
              <w:spacing w:after="0"/>
              <w:rPr>
                <w:sz w:val="20"/>
                <w:szCs w:val="20"/>
                <w:color w:val="auto"/>
              </w:rPr>
            </w:pPr>
            <w:r>
              <w:rPr>
                <w:rFonts w:ascii="Arial" w:cs="Arial" w:eastAsia="Arial" w:hAnsi="Arial"/>
                <w:sz w:val="16"/>
                <w:szCs w:val="16"/>
                <w:b w:val="1"/>
                <w:bCs w:val="1"/>
                <w:color w:val="auto"/>
              </w:rPr>
              <w:t>Key Regulatory Capital Ratios</w:t>
            </w:r>
          </w:p>
        </w:tc>
        <w:tc>
          <w:tcPr>
            <w:tcW w:w="2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Common Equity Tier 1 Capital Ratio</w:t>
            </w:r>
          </w:p>
        </w:tc>
        <w:tc>
          <w:tcPr>
            <w:tcW w:w="20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5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Tier 1 Capital Ratio</w:t>
            </w:r>
          </w:p>
        </w:tc>
        <w:tc>
          <w:tcPr>
            <w:tcW w:w="20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11.81</w:t>
            </w:r>
          </w:p>
        </w:tc>
        <w:tc>
          <w:tcPr>
            <w:tcW w:w="5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12.18</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Capital Ratio</w:t>
            </w:r>
          </w:p>
        </w:tc>
        <w:tc>
          <w:tcPr>
            <w:tcW w:w="2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6080" w:type="dxa"/>
            <w:vAlign w:val="bottom"/>
            <w:gridSpan w:val="4"/>
          </w:tcPr>
          <w:p>
            <w:pPr>
              <w:spacing w:after="0"/>
              <w:rPr>
                <w:sz w:val="20"/>
                <w:szCs w:val="20"/>
                <w:color w:val="auto"/>
              </w:rPr>
            </w:pPr>
            <w:r>
              <w:rPr>
                <w:rFonts w:ascii="Arial" w:cs="Arial" w:eastAsia="Arial" w:hAnsi="Arial"/>
                <w:sz w:val="16"/>
                <w:szCs w:val="16"/>
                <w:color w:val="auto"/>
              </w:rPr>
              <w:t>Tier 1 Leverage Ratio</w:t>
            </w:r>
          </w:p>
        </w:tc>
        <w:tc>
          <w:tcPr>
            <w:tcW w:w="20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5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20"/>
                <w:szCs w:val="20"/>
                <w:color w:val="auto"/>
              </w:rPr>
            </w:pPr>
          </w:p>
        </w:tc>
      </w:tr>
    </w:tbl>
    <w:p>
      <w:pPr>
        <w:spacing w:after="0" w:line="122" w:lineRule="exact"/>
        <w:rPr>
          <w:sz w:val="20"/>
          <w:szCs w:val="20"/>
          <w:color w:val="auto"/>
        </w:rPr>
      </w:pPr>
    </w:p>
    <w:p>
      <w:pPr>
        <w:ind w:left="80" w:hanging="72"/>
        <w:spacing w:after="0"/>
        <w:tabs>
          <w:tab w:leader="none" w:pos="80" w:val="left"/>
        </w:tabs>
        <w:numPr>
          <w:ilvl w:val="0"/>
          <w:numId w:val="50"/>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15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elected to apply the modified transition provision related to the impact of the CECL accounting standard on regulatory capital, as provided by the US banking agencies’ March 2020 interim final rule. Under the modified CECL transition provision, the regulatory capital impact of the Day 1 adjustment to the allowance for credit losses (after-tax), upon the January 1, 2020, CECL adoption date, has been deferred, and will phase in to regulatory capital at 25% per year commencing January 1, 2022. For the ongoing impact of CECL, we are allowed to defer the regulatory capital impact of the allowance for credit losses in an amount equal to 25% of the change in the allowance for credit losses (pre-tax) recognized through earnings for each period between January 1, 2020, and December 31, 2021. The cumulative adjustment to the allowance for credit losses between January 1, 2020, and December 31, 2021, will also phase in to regulatory capital at 25% per year commencing January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was fully phased in on January 1, 2019. As of March 31, 2020, the Company’s capital levels remained characterized as “well-capitalized” under the new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27, 2020, President Trump signed the Coronavirus Aid, Relief, and Economic Security (“CARES”) Act into law. The CARES Act established several new temporary U.S. Small Business Administration (“SBA”) loan programs to assist U.S. small businesses through the COVID-19 pandemic. One of the new loan programs is the Paycheck Protection Program (PPP), an expansion of the SBA’s 7(a) loan program and the Economic Injury Disaster Loan Program.</w:t>
      </w:r>
    </w:p>
    <w:p>
      <w:pPr>
        <w:spacing w:after="0" w:line="18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Paycheck Protection Program provides loans to small businesses who were affected by economic conditions as a result of COVID-19 to provide cash-flow assistance to employers who maintain their payroll (including healthcare and certain related expenses), mortgage interest, rent, leases, utilities and interest on existing debt during this emergency. Eligible borrowers need to make a good faith certification that the uncertainty of current economic conditions make requesting assistance necessary to support ongoing operations. Pursuant to the provisions of Section 1106 of the CARES Act, borrowers may apply to the Bank for loan forgiveness of all or a portion of the loan, subject to certain eligibility requirements and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Bank of Hawaii is an SBA lender and began accepting applications under the CARES Act via its online application process on Friday, April 3,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Through April 28, 2020, the Bank processed over 3,300 PPP loans totaling over $575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30" w:right="3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Application of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This ASU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Finally, it clarifies that single-member limited liability companies and similar disregarded entities that are not subject to income tax are not required to recognize an allocation of consolidated income tax expense in their separate financial statements, but they could elect to do so. ASU 2019-12 is effective for interim and annual reporting periods beginning after December 15, 2020, early adoption is permitted. The Company is currently evaluating this ASU to determine any potential impact to the Company’s Consolidated Financial Statements.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This ASU provides temporary optional expedients and exceptions to GAAP guidance on contract modifications and hedge accounting to ease the financial reporting burdens of the expected market transition from LIBOR and other interbank offered rates to alternative reference rates, such as SOFR. For instance, entities can (1) elect not to apply certain modification accounting requirements to contracts affected by reference rate reform, if certain criteria are met. An entity that makes this election would not have to remeasure the contracts at the modification date or reassess a previous accounting determination. Entities can also (2) elect various optional expedients that would allow them to continue applying hedge accounting for hedging relationships affected by reference rate reform, if certain criteria are met. Finally, entities can (3) make a one-time election to sell and/or reclassify held-to-maturity debt securities that reference an interest rate affected by reference rate reform. ASU 2020-04 is effective March 12, 2020, through December 31, 2022. The Company will elect (1) above for all contract modifications that meet the stated criteria. As the Company currently does not utilize hedge accounting, (2) above is currently not applicable. The Company is currently evaluating whether to elect (3)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 for the accounting standards adopted in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2020.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March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March 31, 2020, that have materially affected or are reasonably likely to materially affect the Company’s internal control over financial reporting.</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40"/>
          </w:cols>
          <w:pgMar w:left="320" w:top="130" w:right="5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2019, except as described below.</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business and economic conditions, in particular those of Hawaii, Guam and other Pacific Islands, are expected to lead to lower revenue, lower asset quality, and lower earnings.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business and earnings are closely tied to the economies of Hawaii and the Pacific Islands. These local economies rely heavily on tourism, the U.S. military, real estate, construction, government, and other service-based industries. Lower visitor arrivals or spending, real or threatened acts of war or terrorism, increases in energy costs, the availability of affordable air transportation, climate change, natural disasters and adverse weather, public health issues including Asian air pollution and the spread of the COVID-19 virus, and Federal, State of Hawaii and local government budget issues may impact consumer and corporate spending.</w:t>
      </w:r>
    </w:p>
    <w:p>
      <w:pPr>
        <w:spacing w:after="0" w:line="18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impacts of various travel restrictions, stay-at-home orders and quarantine requirements for visitors to Hawaii has had a dramatic impact on tourism. These events have contributed to a significant deterioration in general economic conditions in our markets which will adversely impact us and our customers’ operations. It is uncertain how long these conditions will last or how significant the impacts will be in Hawaii and the Pacific Islands.</w:t>
      </w:r>
    </w:p>
    <w:p>
      <w:pPr>
        <w:spacing w:after="0" w:line="14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Recent deterioration of economic conditions, locally, nationally, or internationally could adversely affect the quality of our assets, credit losses, and the demand for our products and services, which could lead to lower revenues and lower earnings. The level of visitor arrivals and spending, housing prices, and unemployment rates are some of the metrics that we continually monitor. We also monitor the value of collateral, such as real estate, that secures the loans we have made. The borrowing power of our customers could also be negatively impacted by a decline in the value of collateral.</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The COVID-19 pandemic has impacted the Hawaii economy and our business, and the extent and severity of the impact on our business and our financial results will depend on future developments, which are highly uncertain and cannot be predicted.</w:t>
      </w:r>
    </w:p>
    <w:p>
      <w:pPr>
        <w:spacing w:after="0" w:line="2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COVID-19 pandemic has negatively impacted the global economy, including in Hawaii and the Pacific Islands, disrupted global supply chains, lowered equity market valuations, created significant volatility and disruption in financial markets, and increased unemployment levels. The duration of the COVID-19 pandemic and its effects cannot be determined with certainty, but the effects could be present for an extended period of time.</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state and local jurisdictions have imposed, and others in the future may impose, “shelter-in-place” orders, quarantines, executive orders and similar government orders and restrictions for their residents to control the spread of COVID-19. On March 23, 2020, the governor of Hawaii, where our headquarters and our branch offices and operating facilities are located, signed a stay-at-home order with only certain exceptions for essential activities and prohibited gatherings of more than 10 people. Furthermore, the order also mandated all individuals arriving or returning to the State of Hawaii by air to be subject to a mandatory 14-day self-quarantine. The order has had a dramatic impact on tourism in Hawaii and as such, has directly impacted, and is expected to continue to negatively impact the Hawaii economy and our financial results. The State of Hawaii’s stay-at-home order was set to expire on April 30, 2020. The governor of Hawaii extended the stay-at-home order through May 31, 2020.</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Novel viruses, such as COVID-19, increased concerns related to illness when traveling, travel restrictions and mandatory quarantines related to the COVID-19 pandemic have caused and will continue to cause a drop in tourism in Hawaii. Because many of our customers, both commercial and consumer, derive some or all of their income from tourism, this dramatic drop in tourism affects them as well as the Hawaii economy as a whole. A downturn in the Hawaii economy or widespread impact to our customers’ income are expected to have a negative impact on our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30" w:right="3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the COVID-19 pandemic and the institution of social distancing and sheltering in place requirements resulted in temporary closures of many businesses. As a result, the demand for our products and services may be significantly impacted. Furthermore, the COVID-19 pandemic could influence the recognition of credit losses in our loan portfolios and increase our allowance for credit losses, particularly as businesses remain closed and as more customers are expected to draw on their lines of credit or seek additional loans to help finance their businesses. Our operations may also be disrupted if significant portions of our workforce are unable to work effectively, including due to illness, quarantines, government actions, or other restrictions in connection with the COVID-19 pandemic, and we have already temporarily closed certain of our branches and offices and many employees are now working remotely.</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response to the COVID-19 pandemic, we have suspended residential property foreclosure sales, evictions, and involuntary automobile repossessions, and are offering fee waivers, payment deferrals or forbearances, and other expanded assistance for automobile loans and leases, mortgages and home equity loans and lines, commercial, small business and personal lending customers. The extent to which the COVID-19 pandemic impacts our business, results of operations, and financial condition, as well as our regulatory capital and liquidity ratios, will depend on future developments, which are highly uncertain and cannot be predicted, including the scope and duration of the COVID-19 pandemic and actions taken by governmental authorities and other third parties in response to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first quarter of 2020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7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as Part of Publicly</w:t>
            </w:r>
          </w:p>
        </w:tc>
        <w:tc>
          <w:tcPr>
            <w:tcW w:w="27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160" w:type="dxa"/>
            <w:vAlign w:val="bottom"/>
          </w:tcPr>
          <w:p>
            <w:pPr>
              <w:spacing w:after="0"/>
              <w:rPr>
                <w:sz w:val="17"/>
                <w:szCs w:val="17"/>
                <w:color w:val="auto"/>
              </w:rPr>
            </w:pPr>
          </w:p>
        </w:tc>
        <w:tc>
          <w:tcPr>
            <w:tcW w:w="238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 Number of</w:t>
            </w:r>
          </w:p>
        </w:tc>
        <w:tc>
          <w:tcPr>
            <w:tcW w:w="16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w w:val="92"/>
              </w:rPr>
              <w:t>Average Price Paid</w:t>
            </w: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Announced Plans or</w:t>
            </w:r>
          </w:p>
        </w:tc>
        <w:tc>
          <w:tcPr>
            <w:tcW w:w="116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Purchased Under the</w:t>
            </w:r>
          </w:p>
        </w:tc>
      </w:tr>
      <w:tr>
        <w:trPr>
          <w:trHeight w:val="250"/>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Per Share</w:t>
            </w: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Programs</w:t>
            </w:r>
          </w:p>
        </w:tc>
        <w:tc>
          <w:tcPr>
            <w:tcW w:w="1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7"/>
              </w:rPr>
              <w:t xml:space="preserve">Plans or Programs </w:t>
            </w:r>
            <w:r>
              <w:rPr>
                <w:rFonts w:ascii="Arial" w:cs="Arial" w:eastAsia="Arial" w:hAnsi="Arial"/>
                <w:sz w:val="17"/>
                <w:szCs w:val="17"/>
                <w:b w:val="1"/>
                <w:bCs w:val="1"/>
                <w:color w:val="auto"/>
                <w:w w:val="97"/>
                <w:vertAlign w:val="superscript"/>
              </w:rPr>
              <w:t>2</w:t>
            </w:r>
          </w:p>
        </w:tc>
      </w:tr>
      <w:tr>
        <w:trPr>
          <w:trHeight w:val="250"/>
        </w:trPr>
        <w:tc>
          <w:tcPr>
            <w:tcW w:w="2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January 1 - 31, 2020</w:t>
            </w:r>
          </w:p>
        </w:tc>
        <w:tc>
          <w:tcPr>
            <w:tcW w:w="238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90,885</w:t>
            </w:r>
          </w:p>
        </w:tc>
        <w:tc>
          <w:tcPr>
            <w:tcW w:w="38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93.12</w:t>
            </w:r>
          </w:p>
        </w:tc>
        <w:tc>
          <w:tcPr>
            <w:tcW w:w="22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89,358</w:t>
            </w:r>
          </w:p>
        </w:tc>
        <w:tc>
          <w:tcPr>
            <w:tcW w:w="1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118,719,066</w:t>
            </w: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February 1 - 29, 2020</w:t>
            </w:r>
          </w:p>
        </w:tc>
        <w:tc>
          <w:tcPr>
            <w:tcW w:w="2380" w:type="dxa"/>
            <w:vAlign w:val="bottom"/>
          </w:tcPr>
          <w:p>
            <w:pPr>
              <w:jc w:val="right"/>
              <w:ind w:right="279"/>
              <w:spacing w:after="0"/>
              <w:rPr>
                <w:sz w:val="20"/>
                <w:szCs w:val="20"/>
                <w:color w:val="auto"/>
              </w:rPr>
            </w:pPr>
            <w:r>
              <w:rPr>
                <w:rFonts w:ascii="Arial" w:cs="Arial" w:eastAsia="Arial" w:hAnsi="Arial"/>
                <w:sz w:val="16"/>
                <w:szCs w:val="16"/>
                <w:color w:val="auto"/>
              </w:rPr>
              <w:t>95,391</w:t>
            </w:r>
          </w:p>
        </w:tc>
        <w:tc>
          <w:tcPr>
            <w:tcW w:w="380" w:type="dxa"/>
            <w:vAlign w:val="bottom"/>
          </w:tcPr>
          <w:p>
            <w:pPr>
              <w:spacing w:after="0"/>
              <w:rPr>
                <w:sz w:val="20"/>
                <w:szCs w:val="20"/>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88.37</w:t>
            </w: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56,000</w:t>
            </w:r>
          </w:p>
        </w:tc>
        <w:tc>
          <w:tcPr>
            <w:tcW w:w="1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113,813,700</w:t>
            </w:r>
          </w:p>
        </w:tc>
      </w:tr>
      <w:tr>
        <w:trPr>
          <w:trHeight w:val="33"/>
        </w:trPr>
        <w:tc>
          <w:tcPr>
            <w:tcW w:w="2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2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shd w:val="clear" w:color="auto" w:fill="BFE4FF"/>
              </w:rPr>
              <w:t>March 1 - 31, 2020</w:t>
            </w:r>
          </w:p>
        </w:tc>
        <w:tc>
          <w:tcPr>
            <w:tcW w:w="238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11,000</w:t>
            </w:r>
          </w:p>
        </w:tc>
        <w:tc>
          <w:tcPr>
            <w:tcW w:w="38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67.29</w:t>
            </w:r>
          </w:p>
        </w:tc>
        <w:tc>
          <w:tcPr>
            <w:tcW w:w="22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11,000</w:t>
            </w:r>
          </w:p>
        </w:tc>
        <w:tc>
          <w:tcPr>
            <w:tcW w:w="1160" w:type="dxa"/>
            <w:vAlign w:val="bottom"/>
            <w:tcBorders>
              <w:bottom w:val="single" w:sz="8" w:color="BFE4FF"/>
            </w:tcBorders>
            <w:shd w:val="clear" w:color="auto" w:fill="BFE4FF"/>
          </w:tcPr>
          <w:p>
            <w:pPr>
              <w:spacing w:after="0"/>
              <w:rPr>
                <w:sz w:val="23"/>
                <w:szCs w:val="23"/>
                <w:color w:val="auto"/>
              </w:rPr>
            </w:pPr>
          </w:p>
        </w:tc>
        <w:tc>
          <w:tcPr>
            <w:tcW w:w="16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113,073,521</w:t>
            </w:r>
          </w:p>
        </w:tc>
      </w:tr>
      <w:tr>
        <w:trPr>
          <w:trHeight w:val="230"/>
        </w:trPr>
        <w:tc>
          <w:tcPr>
            <w:tcW w:w="2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3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197,276</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89.38</w:t>
            </w:r>
          </w:p>
        </w:tc>
        <w:tc>
          <w:tcPr>
            <w:tcW w:w="2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156,358</w:t>
            </w: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21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120" w:hanging="172"/>
        <w:spacing w:after="0" w:line="264" w:lineRule="auto"/>
        <w:tabs>
          <w:tab w:leader="none" w:pos="180" w:val="left"/>
        </w:tabs>
        <w:numPr>
          <w:ilvl w:val="0"/>
          <w:numId w:val="52"/>
        </w:numPr>
        <w:rPr>
          <w:rFonts w:ascii="Arial" w:cs="Arial" w:eastAsia="Arial" w:hAnsi="Arial"/>
          <w:sz w:val="8"/>
          <w:szCs w:val="8"/>
          <w:color w:val="auto"/>
        </w:rPr>
      </w:pPr>
      <w:r>
        <w:rPr>
          <w:rFonts w:ascii="Arial" w:cs="Arial" w:eastAsia="Arial" w:hAnsi="Arial"/>
          <w:sz w:val="13"/>
          <w:szCs w:val="13"/>
          <w:color w:val="auto"/>
        </w:rPr>
        <w:t>During the first quarter of 2020, 40,918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 Act”) by Section 4(a)(2) thereof. The trustee under the trust and the participants under the DDCP are “Accredited Investors”, as defined in Rule 501(a) under the Securities Act.</w:t>
      </w:r>
    </w:p>
    <w:p>
      <w:pPr>
        <w:spacing w:after="0" w:line="2" w:lineRule="exact"/>
        <w:rPr>
          <w:sz w:val="20"/>
          <w:szCs w:val="20"/>
          <w:color w:val="auto"/>
        </w:rPr>
      </w:pPr>
    </w:p>
    <w:p>
      <w:pPr>
        <w:ind w:left="180" w:right="200"/>
        <w:spacing w:after="0" w:line="241" w:lineRule="auto"/>
        <w:rPr>
          <w:sz w:val="20"/>
          <w:szCs w:val="20"/>
          <w:color w:val="auto"/>
        </w:rPr>
      </w:pPr>
      <w:r>
        <w:rPr>
          <w:rFonts w:ascii="Arial" w:cs="Arial" w:eastAsia="Arial" w:hAnsi="Arial"/>
          <w:sz w:val="14"/>
          <w:szCs w:val="14"/>
          <w:color w:val="auto"/>
        </w:rPr>
        <w:t>These transactions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180" w:right="100" w:hanging="172"/>
        <w:spacing w:after="0" w:line="248" w:lineRule="auto"/>
        <w:tabs>
          <w:tab w:leader="none" w:pos="180" w:val="left"/>
        </w:tabs>
        <w:numPr>
          <w:ilvl w:val="0"/>
          <w:numId w:val="53"/>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 On March 17, 2020, we suspended share repurchases in light of the COVID-19 pandemic.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440" w:type="dxa"/>
            <w:vAlign w:val="bottom"/>
          </w:tcPr>
          <w:p>
            <w:pPr>
              <w:ind w:left="160"/>
              <w:spacing w:after="0"/>
              <w:rPr>
                <w:sz w:val="20"/>
                <w:szCs w:val="20"/>
                <w:color w:val="auto"/>
              </w:rPr>
            </w:pPr>
            <w:r>
              <w:rPr>
                <w:rFonts w:ascii="Arial" w:cs="Arial" w:eastAsia="Arial" w:hAnsi="Arial"/>
                <w:sz w:val="18"/>
                <w:szCs w:val="18"/>
                <w:color w:val="auto"/>
              </w:rPr>
              <w:t>April 30, 2020</w:t>
            </w:r>
          </w:p>
        </w:tc>
        <w:tc>
          <w:tcPr>
            <w:tcW w:w="510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20" w:type="dxa"/>
            <w:vAlign w:val="bottom"/>
          </w:tcPr>
          <w:p>
            <w:pPr>
              <w:spacing w:after="0"/>
              <w:rPr>
                <w:sz w:val="24"/>
                <w:szCs w:val="24"/>
                <w:color w:val="auto"/>
              </w:rPr>
            </w:pPr>
          </w:p>
        </w:tc>
        <w:tc>
          <w:tcPr>
            <w:tcW w:w="5440" w:type="dxa"/>
            <w:vAlign w:val="bottom"/>
          </w:tcPr>
          <w:p>
            <w:pPr>
              <w:ind w:left="4800"/>
              <w:spacing w:after="0"/>
              <w:rPr>
                <w:sz w:val="20"/>
                <w:szCs w:val="20"/>
                <w:color w:val="auto"/>
              </w:rPr>
            </w:pPr>
            <w:r>
              <w:rPr>
                <w:rFonts w:ascii="Arial" w:cs="Arial" w:eastAsia="Arial" w:hAnsi="Arial"/>
                <w:sz w:val="18"/>
                <w:szCs w:val="18"/>
                <w:color w:val="auto"/>
              </w:rPr>
              <w:t>By:</w:t>
            </w:r>
          </w:p>
        </w:tc>
        <w:tc>
          <w:tcPr>
            <w:tcW w:w="510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20" w:type="dxa"/>
            <w:vAlign w:val="bottom"/>
          </w:tcPr>
          <w:p>
            <w:pPr>
              <w:spacing w:after="0"/>
              <w:rPr>
                <w:sz w:val="24"/>
                <w:szCs w:val="24"/>
                <w:color w:val="auto"/>
              </w:rPr>
            </w:pPr>
          </w:p>
        </w:tc>
        <w:tc>
          <w:tcPr>
            <w:tcW w:w="5440" w:type="dxa"/>
            <w:vAlign w:val="bottom"/>
          </w:tcPr>
          <w:p>
            <w:pPr>
              <w:ind w:left="4800"/>
              <w:spacing w:after="0"/>
              <w:rPr>
                <w:sz w:val="20"/>
                <w:szCs w:val="20"/>
                <w:color w:val="auto"/>
              </w:rPr>
            </w:pPr>
            <w:r>
              <w:rPr>
                <w:rFonts w:ascii="Arial" w:cs="Arial" w:eastAsia="Arial" w:hAnsi="Arial"/>
                <w:sz w:val="18"/>
                <w:szCs w:val="18"/>
                <w:color w:val="auto"/>
              </w:rPr>
              <w:t>By:</w:t>
            </w:r>
          </w:p>
        </w:tc>
        <w:tc>
          <w:tcPr>
            <w:tcW w:w="510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510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r>
        <w:trPr>
          <w:trHeight w:val="945"/>
        </w:trPr>
        <w:tc>
          <w:tcPr>
            <w:tcW w:w="520" w:type="dxa"/>
            <w:vAlign w:val="bottom"/>
          </w:tcPr>
          <w:p>
            <w:pPr>
              <w:spacing w:after="0"/>
              <w:rPr>
                <w:sz w:val="24"/>
                <w:szCs w:val="24"/>
                <w:color w:val="auto"/>
              </w:rPr>
            </w:pPr>
          </w:p>
        </w:tc>
        <w:tc>
          <w:tcPr>
            <w:tcW w:w="544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5100" w:type="dxa"/>
            <w:vAlign w:val="bottom"/>
          </w:tcPr>
          <w:p>
            <w:pPr>
              <w:spacing w:after="0"/>
              <w:rPr>
                <w:sz w:val="24"/>
                <w:szCs w:val="24"/>
                <w:color w:val="auto"/>
              </w:rPr>
            </w:pPr>
          </w:p>
        </w:tc>
      </w:tr>
    </w:tbl>
    <w:p>
      <w:pPr>
        <w:sectPr>
          <w:pgSz w:w="11900" w:h="16838" w:orient="portrait"/>
          <w:cols w:equalWidth="0" w:num="1">
            <w:col w:w="11100"/>
          </w:cols>
          <w:pgMar w:left="320" w:top="130" w:right="47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03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jc w:val="right"/>
              <w:ind w:right="270"/>
              <w:spacing w:after="0"/>
              <w:rPr>
                <w:rFonts w:ascii="Arial" w:cs="Arial" w:eastAsia="Arial" w:hAnsi="Arial"/>
                <w:sz w:val="18"/>
                <w:szCs w:val="18"/>
                <w:u w:val="single" w:color="auto"/>
                <w:color w:val="0000FF"/>
                <w:w w:val="79"/>
              </w:rPr>
            </w:pPr>
            <w:hyperlink w:anchor="page86">
              <w:r>
                <w:rPr>
                  <w:rFonts w:ascii="Arial" w:cs="Arial" w:eastAsia="Arial" w:hAnsi="Arial"/>
                  <w:sz w:val="18"/>
                  <w:szCs w:val="18"/>
                  <w:u w:val="single" w:color="auto"/>
                  <w:color w:val="0000FF"/>
                  <w:w w:val="79"/>
                </w:rPr>
                <w:t>31.1</w:t>
              </w:r>
            </w:hyperlink>
          </w:p>
        </w:tc>
        <w:tc>
          <w:tcPr>
            <w:tcW w:w="976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Amended, Adopted</w:t>
            </w:r>
          </w:p>
        </w:tc>
      </w:tr>
      <w:tr>
        <w:trPr>
          <w:trHeight w:val="230"/>
        </w:trPr>
        <w:tc>
          <w:tcPr>
            <w:tcW w:w="66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Pursuant to Section 302 of the Sarbanes Oxley Act of 2002</w:t>
            </w:r>
          </w:p>
        </w:tc>
      </w:tr>
      <w:tr>
        <w:trPr>
          <w:trHeight w:val="526"/>
        </w:trPr>
        <w:tc>
          <w:tcPr>
            <w:tcW w:w="660" w:type="dxa"/>
            <w:vAlign w:val="bottom"/>
          </w:tcPr>
          <w:p>
            <w:pPr>
              <w:jc w:val="right"/>
              <w:ind w:right="270"/>
              <w:spacing w:after="0"/>
              <w:rPr>
                <w:rFonts w:ascii="Arial" w:cs="Arial" w:eastAsia="Arial" w:hAnsi="Arial"/>
                <w:sz w:val="18"/>
                <w:szCs w:val="18"/>
                <w:u w:val="single" w:color="auto"/>
                <w:color w:val="0000FF"/>
                <w:w w:val="79"/>
              </w:rPr>
            </w:pPr>
            <w:hyperlink w:anchor="page87">
              <w:r>
                <w:rPr>
                  <w:rFonts w:ascii="Arial" w:cs="Arial" w:eastAsia="Arial" w:hAnsi="Arial"/>
                  <w:sz w:val="18"/>
                  <w:szCs w:val="18"/>
                  <w:u w:val="single" w:color="auto"/>
                  <w:color w:val="0000FF"/>
                  <w:w w:val="79"/>
                </w:rPr>
                <w:t>31.2</w:t>
              </w:r>
            </w:hyperlink>
          </w:p>
        </w:tc>
        <w:tc>
          <w:tcPr>
            <w:tcW w:w="9760" w:type="dxa"/>
            <w:vAlign w:val="bottom"/>
          </w:tcPr>
          <w:p>
            <w:pPr>
              <w:ind w:left="3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w:t>
            </w:r>
          </w:p>
        </w:tc>
      </w:tr>
      <w:tr>
        <w:trPr>
          <w:trHeight w:val="230"/>
        </w:trPr>
        <w:tc>
          <w:tcPr>
            <w:tcW w:w="66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Pursuant to Section 302 of the Sarbanes Oxley Act of 2002</w:t>
            </w:r>
          </w:p>
        </w:tc>
      </w:tr>
    </w:tbl>
    <w:p>
      <w:pPr>
        <w:spacing w:after="0" w:line="310" w:lineRule="exact"/>
        <w:rPr>
          <w:sz w:val="20"/>
          <w:szCs w:val="20"/>
          <w:color w:val="auto"/>
        </w:rPr>
      </w:pPr>
    </w:p>
    <w:p>
      <w:pPr>
        <w:ind w:left="1040" w:right="300" w:hanging="1005"/>
        <w:spacing w:after="0" w:line="277" w:lineRule="auto"/>
        <w:tabs>
          <w:tab w:leader="none" w:pos="1040"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tcPr>
          <w:p>
            <w:pPr>
              <w:ind w:left="16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840" w:type="dxa"/>
            <w:vAlign w:val="bottom"/>
          </w:tcPr>
          <w:p>
            <w:pPr>
              <w:spacing w:after="0"/>
              <w:rPr>
                <w:sz w:val="20"/>
                <w:szCs w:val="20"/>
                <w:color w:val="auto"/>
              </w:rPr>
            </w:pPr>
          </w:p>
        </w:tc>
        <w:tc>
          <w:tcPr>
            <w:tcW w:w="972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75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45"/>
        </w:trPr>
        <w:tc>
          <w:tcPr>
            <w:tcW w:w="840" w:type="dxa"/>
            <w:vAlign w:val="bottom"/>
          </w:tcPr>
          <w:p>
            <w:pPr>
              <w:spacing w:after="0"/>
              <w:rPr>
                <w:sz w:val="24"/>
                <w:szCs w:val="24"/>
                <w:color w:val="auto"/>
              </w:rPr>
            </w:pPr>
          </w:p>
        </w:tc>
        <w:tc>
          <w:tcPr>
            <w:tcW w:w="9720" w:type="dxa"/>
            <w:vAlign w:val="bottom"/>
          </w:tcPr>
          <w:p>
            <w:pPr>
              <w:ind w:left="466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0600"/>
          </w:cols>
          <w:pgMar w:left="320" w:top="130" w:right="97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240"/>
          </w:cols>
          <w:pgMar w:left="320" w:top="55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5"/>
          <w:szCs w:val="15"/>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March 31, 2020 (the “Report”):</w:t>
      </w:r>
    </w:p>
    <w:p>
      <w:pPr>
        <w:spacing w:after="0" w:line="13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as applicable, of the Securities Exchange Act of 1934, as amended; and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bullet"/>
      <w:start w:val="1"/>
    </w:lvl>
  </w:abstractNum>
  <w:abstractNum w:abstractNumId="7">
    <w:nsid w:val="22221A70"/>
    <w:multiLevelType w:val="hybridMultilevel"/>
    <w:lvl w:ilvl="0">
      <w:lvlJc w:val="left"/>
      <w:lvlText w:val="1"/>
      <w:numFmt w:val="bullet"/>
      <w:start w:val="1"/>
    </w:lvl>
  </w:abstractNum>
  <w:abstractNum w:abstractNumId="8">
    <w:nsid w:val="4516DDE9"/>
    <w:multiLevelType w:val="hybridMultilevel"/>
    <w:lvl w:ilvl="0">
      <w:lvlJc w:val="left"/>
      <w:lvlText w:val="1"/>
      <w:numFmt w:val="bullet"/>
      <w:start w:val="1"/>
    </w:lvl>
  </w:abstractNum>
  <w:abstractNum w:abstractNumId="9">
    <w:nsid w:val="3006C83E"/>
    <w:multiLevelType w:val="hybridMultilevel"/>
    <w:lvl w:ilvl="0">
      <w:lvlJc w:val="left"/>
      <w:lvlText w:val="1"/>
      <w:numFmt w:val="bullet"/>
      <w:start w:val="1"/>
    </w:lvl>
  </w:abstractNum>
  <w:abstractNum w:abstractNumId="10">
    <w:nsid w:val="614FD4A1"/>
    <w:multiLevelType w:val="hybridMultilevel"/>
    <w:lvl w:ilvl="0">
      <w:lvlJc w:val="left"/>
      <w:lvlText w:val="2"/>
      <w:numFmt w:val="bullet"/>
      <w:start w:val="1"/>
    </w:lvl>
  </w:abstractNum>
  <w:abstractNum w:abstractNumId="11">
    <w:nsid w:val="419AC241"/>
    <w:multiLevelType w:val="hybridMultilevel"/>
    <w:lvl w:ilvl="0">
      <w:lvlJc w:val="left"/>
      <w:lvlText w:val="1"/>
      <w:numFmt w:val="bullet"/>
      <w:start w:val="1"/>
    </w:lvl>
  </w:abstractNum>
  <w:abstractNum w:abstractNumId="12">
    <w:nsid w:val="5577F8E1"/>
    <w:multiLevelType w:val="hybridMultilevel"/>
    <w:lvl w:ilvl="0">
      <w:lvlJc w:val="left"/>
      <w:lvlText w:val="1"/>
      <w:numFmt w:val="bullet"/>
      <w:start w:val="1"/>
    </w:lvl>
  </w:abstractNum>
  <w:abstractNum w:abstractNumId="13">
    <w:nsid w:val="440BADFC"/>
    <w:multiLevelType w:val="hybridMultilevel"/>
    <w:lvl w:ilvl="0">
      <w:lvlJc w:val="left"/>
      <w:lvlText w:val="1"/>
      <w:numFmt w:val="bullet"/>
      <w:start w:val="1"/>
    </w:lvl>
  </w:abstractNum>
  <w:abstractNum w:abstractNumId="14">
    <w:nsid w:val="5072367"/>
    <w:multiLevelType w:val="hybridMultilevel"/>
    <w:lvl w:ilvl="0">
      <w:lvlJc w:val="left"/>
      <w:lvlText w:val="2"/>
      <w:numFmt w:val="bullet"/>
      <w:start w:val="1"/>
    </w:lvl>
  </w:abstractNum>
  <w:abstractNum w:abstractNumId="15">
    <w:nsid w:val="3804823E"/>
    <w:multiLevelType w:val="hybridMultilevel"/>
    <w:lvl w:ilvl="0">
      <w:lvlJc w:val="left"/>
      <w:lvlText w:val="1"/>
      <w:numFmt w:val="bullet"/>
      <w:start w:val="1"/>
    </w:lvl>
  </w:abstractNum>
  <w:abstractNum w:abstractNumId="16">
    <w:nsid w:val="77465F01"/>
    <w:multiLevelType w:val="hybridMultilevel"/>
    <w:lvl w:ilvl="0">
      <w:lvlJc w:val="left"/>
      <w:lvlText w:val="1"/>
      <w:numFmt w:val="bullet"/>
      <w:start w:val="1"/>
    </w:lvl>
  </w:abstractNum>
  <w:abstractNum w:abstractNumId="17">
    <w:nsid w:val="7724C67E"/>
    <w:multiLevelType w:val="hybridMultilevel"/>
    <w:lvl w:ilvl="0">
      <w:lvlJc w:val="left"/>
      <w:lvlText w:val="1"/>
      <w:numFmt w:val="bullet"/>
      <w:start w:val="1"/>
    </w:lvl>
  </w:abstractNum>
  <w:abstractNum w:abstractNumId="18">
    <w:nsid w:val="5C482A97"/>
    <w:multiLevelType w:val="hybridMultilevel"/>
    <w:lvl w:ilvl="0">
      <w:lvlJc w:val="left"/>
      <w:lvlText w:val="2"/>
      <w:numFmt w:val="bullet"/>
      <w:start w:val="1"/>
    </w:lvl>
  </w:abstractNum>
  <w:abstractNum w:abstractNumId="19">
    <w:nsid w:val="2463B9EA"/>
    <w:multiLevelType w:val="hybridMultilevel"/>
    <w:lvl w:ilvl="0">
      <w:lvlJc w:val="left"/>
      <w:lvlText w:val="1"/>
      <w:numFmt w:val="bullet"/>
      <w:start w:val="1"/>
    </w:lvl>
  </w:abstractNum>
  <w:abstractNum w:abstractNumId="20">
    <w:nsid w:val="5E884ADC"/>
    <w:multiLevelType w:val="hybridMultilevel"/>
    <w:lvl w:ilvl="0">
      <w:lvlJc w:val="left"/>
      <w:lvlText w:val="1"/>
      <w:numFmt w:val="bullet"/>
      <w:start w:val="1"/>
    </w:lvl>
  </w:abstractNum>
  <w:abstractNum w:abstractNumId="21">
    <w:nsid w:val="51EAD36B"/>
    <w:multiLevelType w:val="hybridMultilevel"/>
    <w:lvl w:ilvl="0">
      <w:lvlJc w:val="left"/>
      <w:lvlText w:val="1"/>
      <w:numFmt w:val="bullet"/>
      <w:start w:val="1"/>
    </w:lvl>
  </w:abstractNum>
  <w:abstractNum w:abstractNumId="22">
    <w:nsid w:val="2D517796"/>
    <w:multiLevelType w:val="hybridMultilevel"/>
    <w:lvl w:ilvl="0">
      <w:lvlJc w:val="left"/>
      <w:lvlText w:val="1"/>
      <w:numFmt w:val="bullet"/>
      <w:start w:val="1"/>
    </w:lvl>
  </w:abstractNum>
  <w:abstractNum w:abstractNumId="23">
    <w:nsid w:val="580BD78F"/>
    <w:multiLevelType w:val="hybridMultilevel"/>
    <w:lvl w:ilvl="0">
      <w:lvlJc w:val="left"/>
      <w:lvlText w:val="1"/>
      <w:numFmt w:val="bullet"/>
      <w:start w:val="1"/>
    </w:lvl>
  </w:abstractNum>
  <w:abstractNum w:abstractNumId="24">
    <w:nsid w:val="153EA438"/>
    <w:multiLevelType w:val="hybridMultilevel"/>
    <w:lvl w:ilvl="0">
      <w:lvlJc w:val="left"/>
      <w:lvlText w:val="1"/>
      <w:numFmt w:val="bullet"/>
      <w:start w:val="1"/>
    </w:lvl>
  </w:abstractNum>
  <w:abstractNum w:abstractNumId="25">
    <w:nsid w:val="3855585C"/>
    <w:multiLevelType w:val="hybridMultilevel"/>
    <w:lvl w:ilvl="0">
      <w:lvlJc w:val="left"/>
      <w:lvlText w:val="2"/>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bullet"/>
      <w:start w:val="1"/>
    </w:lvl>
  </w:abstractNum>
  <w:abstractNum w:abstractNumId="32">
    <w:nsid w:val="57E4CCAF"/>
    <w:multiLevelType w:val="hybridMultilevel"/>
    <w:lvl w:ilvl="0">
      <w:lvlJc w:val="left"/>
      <w:lvlText w:val="2"/>
      <w:numFmt w:val="bullet"/>
      <w:start w:val="1"/>
    </w:lvl>
  </w:abstractNum>
  <w:abstractNum w:abstractNumId="33">
    <w:nsid w:val="7A6D8D3C"/>
    <w:multiLevelType w:val="hybridMultilevel"/>
    <w:lvl w:ilvl="0">
      <w:lvlJc w:val="left"/>
      <w:lvlText w:val="3"/>
      <w:numFmt w:val="bullet"/>
      <w:start w:val="1"/>
    </w:lvl>
  </w:abstractNum>
  <w:abstractNum w:abstractNumId="34">
    <w:nsid w:val="4B588F54"/>
    <w:multiLevelType w:val="hybridMultilevel"/>
    <w:lvl w:ilvl="0">
      <w:lvlJc w:val="left"/>
      <w:lvlText w:val="4"/>
      <w:numFmt w:val="bullet"/>
      <w:start w:val="1"/>
    </w:lvl>
  </w:abstractNum>
  <w:abstractNum w:abstractNumId="35">
    <w:nsid w:val="542289EC"/>
    <w:multiLevelType w:val="hybridMultilevel"/>
    <w:lvl w:ilvl="0">
      <w:lvlJc w:val="left"/>
      <w:lvlText w:val="5"/>
      <w:numFmt w:val="bullet"/>
      <w:start w:val="1"/>
    </w:lvl>
  </w:abstractNum>
  <w:abstractNum w:abstractNumId="36">
    <w:nsid w:val="6DE91B18"/>
    <w:multiLevelType w:val="hybridMultilevel"/>
    <w:lvl w:ilvl="0">
      <w:lvlJc w:val="left"/>
      <w:lvlText w:val="1"/>
      <w:numFmt w:val="bullet"/>
      <w:start w:val="1"/>
    </w:lvl>
  </w:abstractNum>
  <w:abstractNum w:abstractNumId="37">
    <w:nsid w:val="38437FDB"/>
    <w:multiLevelType w:val="hybridMultilevel"/>
    <w:lvl w:ilvl="0">
      <w:lvlJc w:val="left"/>
      <w:lvlText w:val="2"/>
      <w:numFmt w:val="bullet"/>
      <w:start w:val="1"/>
    </w:lvl>
  </w:abstractNum>
  <w:abstractNum w:abstractNumId="38">
    <w:nsid w:val="7644A45C"/>
    <w:multiLevelType w:val="hybridMultilevel"/>
    <w:lvl w:ilvl="0">
      <w:lvlJc w:val="left"/>
      <w:lvlText w:val="3"/>
      <w:numFmt w:val="bullet"/>
      <w:start w:val="1"/>
    </w:lvl>
  </w:abstractNum>
  <w:abstractNum w:abstractNumId="39">
    <w:nsid w:val="32FFF902"/>
    <w:multiLevelType w:val="hybridMultilevel"/>
    <w:lvl w:ilvl="0">
      <w:lvlJc w:val="left"/>
      <w:lvlText w:val="1"/>
      <w:numFmt w:val="bullet"/>
      <w:start w:val="1"/>
    </w:lvl>
  </w:abstractNum>
  <w:abstractNum w:abstractNumId="40">
    <w:nsid w:val="684A481A"/>
    <w:multiLevelType w:val="hybridMultilevel"/>
    <w:lvl w:ilvl="0">
      <w:lvlJc w:val="left"/>
      <w:lvlText w:val="2"/>
      <w:numFmt w:val="bullet"/>
      <w:start w:val="1"/>
    </w:lvl>
  </w:abstractNum>
  <w:abstractNum w:abstractNumId="41">
    <w:nsid w:val="579478FE"/>
    <w:multiLevelType w:val="hybridMultilevel"/>
    <w:lvl w:ilvl="0">
      <w:lvlJc w:val="left"/>
      <w:lvlText w:val="1"/>
      <w:numFmt w:val="bullet"/>
      <w:start w:val="1"/>
    </w:lvl>
  </w:abstractNum>
  <w:abstractNum w:abstractNumId="42">
    <w:nsid w:val="749ABB43"/>
    <w:multiLevelType w:val="hybridMultilevel"/>
    <w:lvl w:ilvl="0">
      <w:lvlJc w:val="left"/>
      <w:lvlText w:val="2"/>
      <w:numFmt w:val="bullet"/>
      <w:start w:val="1"/>
    </w:lvl>
  </w:abstractNum>
  <w:abstractNum w:abstractNumId="43">
    <w:nsid w:val="3DC240FB"/>
    <w:multiLevelType w:val="hybridMultilevel"/>
    <w:lvl w:ilvl="0">
      <w:lvlJc w:val="left"/>
      <w:lvlText w:val="3"/>
      <w:numFmt w:val="bullet"/>
      <w:start w:val="1"/>
    </w:lvl>
  </w:abstractNum>
  <w:abstractNum w:abstractNumId="44">
    <w:nsid w:val="1BA026FA"/>
    <w:multiLevelType w:val="hybridMultilevel"/>
    <w:lvl w:ilvl="0">
      <w:lvlJc w:val="left"/>
      <w:lvlText w:val="1"/>
      <w:numFmt w:val="bullet"/>
      <w:start w:val="1"/>
    </w:lvl>
  </w:abstractNum>
  <w:abstractNum w:abstractNumId="45">
    <w:nsid w:val="79A1DEAA"/>
    <w:multiLevelType w:val="hybridMultilevel"/>
    <w:lvl w:ilvl="0">
      <w:lvlJc w:val="left"/>
      <w:lvlText w:val="1"/>
      <w:numFmt w:val="bullet"/>
      <w:start w:val="1"/>
    </w:lvl>
  </w:abstractNum>
  <w:abstractNum w:abstractNumId="46">
    <w:nsid w:val="75C6C33A"/>
    <w:multiLevelType w:val="hybridMultilevel"/>
    <w:lvl w:ilvl="0">
      <w:lvlJc w:val="left"/>
      <w:lvlText w:val="1"/>
      <w:numFmt w:val="bullet"/>
      <w:start w:val="1"/>
    </w:lvl>
  </w:abstractNum>
  <w:abstractNum w:abstractNumId="47">
    <w:nsid w:val="12E685FB"/>
    <w:multiLevelType w:val="hybridMultilevel"/>
    <w:lvl w:ilvl="0">
      <w:lvlJc w:val="left"/>
      <w:lvlText w:val="2"/>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bullet"/>
      <w:start w:val="1"/>
    </w:lvl>
  </w:abstractNum>
  <w:abstractNum w:abstractNumId="50">
    <w:nsid w:val="374A3FE6"/>
    <w:multiLevelType w:val="hybridMultilevel"/>
    <w:lvl w:ilvl="0">
      <w:lvlJc w:val="left"/>
      <w:lvlText w:val="2"/>
      <w:numFmt w:val="bullet"/>
      <w:start w:val="1"/>
    </w:lvl>
  </w:abstractNum>
  <w:abstractNum w:abstractNumId="51">
    <w:nsid w:val="4F4EF005"/>
    <w:multiLevelType w:val="hybridMultilevel"/>
    <w:lvl w:ilvl="0">
      <w:lvlJc w:val="left"/>
      <w:lvlText w:val="1"/>
      <w:numFmt w:val="bullet"/>
      <w:start w:val="1"/>
    </w:lvl>
  </w:abstractNum>
  <w:abstractNum w:abstractNumId="52">
    <w:nsid w:val="23F9C13C"/>
    <w:multiLevelType w:val="hybridMultilevel"/>
    <w:lvl w:ilvl="0">
      <w:lvlJc w:val="left"/>
      <w:lvlText w:val="2"/>
      <w:numFmt w:val="bullet"/>
      <w:start w:val="1"/>
    </w:lvl>
  </w:abstractNum>
  <w:abstractNum w:abstractNumId="53">
    <w:nsid w:val="649BB77C"/>
    <w:multiLevelType w:val="hybridMultilevel"/>
    <w:lvl w:ilvl="0">
      <w:lvlJc w:val="left"/>
      <w:lvlText w:val="%1"/>
      <w:numFmt w:val="decimal"/>
      <w:start w:val="32"/>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2020-04-30T16:24:14Z</dcterms:created>
  <dcterms:modified xsi:type="dcterms:W3CDTF">2020-04-30T16:24:14Z</dcterms:modified>
</cp:coreProperties>
</file>