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60" w:right="2320" w:hanging="176"/>
        <w:spacing w:after="0" w:line="305"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316"/>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w:t>
      </w:r>
    </w:p>
    <w:p>
      <w:pPr>
        <w:spacing w:after="0" w:line="37"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Pr>
          <w:p>
            <w:pPr>
              <w:spacing w:after="0"/>
              <w:rPr>
                <w:sz w:val="17"/>
                <w:szCs w:val="17"/>
                <w:color w:val="auto"/>
              </w:rPr>
            </w:pPr>
          </w:p>
        </w:tc>
        <w:tc>
          <w:tcPr>
            <w:tcW w:w="4960" w:type="dxa"/>
            <w:vAlign w:val="bottom"/>
            <w:gridSpan w:val="3"/>
          </w:tcPr>
          <w:p>
            <w:pPr>
              <w:ind w:left="80"/>
              <w:spacing w:after="0"/>
              <w:rPr>
                <w:sz w:val="20"/>
                <w:szCs w:val="20"/>
                <w:color w:val="auto"/>
              </w:rPr>
            </w:pPr>
            <w:r>
              <w:rPr>
                <w:rFonts w:ascii="Arial" w:cs="Arial" w:eastAsia="Arial" w:hAnsi="Arial"/>
                <w:sz w:val="18"/>
                <w:szCs w:val="18"/>
                <w:b w:val="1"/>
                <w:bCs w:val="1"/>
                <w:color w:val="auto"/>
              </w:rPr>
              <w:t>to</w:t>
            </w:r>
          </w:p>
        </w:tc>
      </w:tr>
      <w:tr>
        <w:trPr>
          <w:trHeight w:val="453"/>
        </w:trPr>
        <w:tc>
          <w:tcPr>
            <w:tcW w:w="9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180" w:type="dxa"/>
            <w:vAlign w:val="bottom"/>
          </w:tcPr>
          <w:p>
            <w:pPr>
              <w:ind w:left="1600"/>
              <w:spacing w:after="0"/>
              <w:rPr>
                <w:sz w:val="20"/>
                <w:szCs w:val="20"/>
                <w:color w:val="auto"/>
              </w:rPr>
            </w:pPr>
            <w:r>
              <w:rPr>
                <w:rFonts w:ascii="Arial" w:cs="Arial" w:eastAsia="Arial" w:hAnsi="Arial"/>
                <w:sz w:val="18"/>
                <w:szCs w:val="18"/>
                <w:b w:val="1"/>
                <w:bCs w:val="1"/>
                <w:color w:val="auto"/>
                <w:w w:val="90"/>
              </w:rPr>
              <w:t>Commission File Number: 1-6887</w:t>
            </w:r>
          </w:p>
        </w:tc>
      </w:tr>
    </w:tbl>
    <w:p>
      <w:pPr>
        <w:spacing w:after="0" w:line="1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BANK OF HAWAII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Delaware</w:t>
            </w:r>
          </w:p>
        </w:tc>
        <w:tc>
          <w:tcPr>
            <w:tcW w:w="5300" w:type="dxa"/>
            <w:vAlign w:val="bottom"/>
          </w:tcPr>
          <w:p>
            <w:pPr>
              <w:jc w:val="right"/>
              <w:ind w:right="790"/>
              <w:spacing w:after="0"/>
              <w:rPr>
                <w:sz w:val="20"/>
                <w:szCs w:val="20"/>
                <w:color w:val="auto"/>
              </w:rPr>
            </w:pPr>
            <w:r>
              <w:rPr>
                <w:rFonts w:ascii="Arial" w:cs="Arial" w:eastAsia="Arial" w:hAnsi="Arial"/>
                <w:sz w:val="18"/>
                <w:szCs w:val="18"/>
                <w:b w:val="1"/>
                <w:bCs w:val="1"/>
                <w:color w:val="auto"/>
              </w:rPr>
              <w:t>99-0148992</w:t>
            </w:r>
          </w:p>
        </w:tc>
      </w:tr>
      <w:tr>
        <w:trPr>
          <w:trHeight w:val="270"/>
        </w:trPr>
        <w:tc>
          <w:tcPr>
            <w:tcW w:w="3460" w:type="dxa"/>
            <w:vAlign w:val="bottom"/>
          </w:tcPr>
          <w:p>
            <w:pPr>
              <w:jc w:val="center"/>
              <w:ind w:right="350"/>
              <w:spacing w:after="0"/>
              <w:rPr>
                <w:sz w:val="20"/>
                <w:szCs w:val="20"/>
                <w:color w:val="auto"/>
              </w:rPr>
            </w:pPr>
            <w:r>
              <w:rPr>
                <w:rFonts w:ascii="Arial" w:cs="Arial" w:eastAsia="Arial" w:hAnsi="Arial"/>
                <w:sz w:val="18"/>
                <w:szCs w:val="18"/>
                <w:color w:val="auto"/>
                <w:w w:val="92"/>
              </w:rPr>
              <w:t>(State of incorporation)</w:t>
            </w:r>
          </w:p>
        </w:tc>
        <w:tc>
          <w:tcPr>
            <w:tcW w:w="5300" w:type="dxa"/>
            <w:vAlign w:val="bottom"/>
          </w:tcPr>
          <w:p>
            <w:pPr>
              <w:jc w:val="center"/>
              <w:ind w:left="2590"/>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130 Merchant Street, Honolulu, Hawaii</w:t>
            </w:r>
          </w:p>
        </w:tc>
        <w:tc>
          <w:tcPr>
            <w:tcW w:w="5300" w:type="dxa"/>
            <w:vAlign w:val="bottom"/>
          </w:tcPr>
          <w:p>
            <w:pPr>
              <w:jc w:val="right"/>
              <w:ind w:right="990"/>
              <w:spacing w:after="0"/>
              <w:rPr>
                <w:sz w:val="20"/>
                <w:szCs w:val="20"/>
                <w:color w:val="auto"/>
              </w:rPr>
            </w:pPr>
            <w:r>
              <w:rPr>
                <w:rFonts w:ascii="Arial" w:cs="Arial" w:eastAsia="Arial" w:hAnsi="Arial"/>
                <w:sz w:val="18"/>
                <w:szCs w:val="18"/>
                <w:b w:val="1"/>
                <w:bCs w:val="1"/>
                <w:color w:val="auto"/>
              </w:rPr>
              <w:t>96813</w:t>
            </w:r>
          </w:p>
        </w:tc>
      </w:tr>
      <w:tr>
        <w:trPr>
          <w:trHeight w:val="270"/>
        </w:trPr>
        <w:tc>
          <w:tcPr>
            <w:tcW w:w="346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5300" w:type="dxa"/>
            <w:vAlign w:val="bottom"/>
          </w:tcPr>
          <w:p>
            <w:pPr>
              <w:jc w:val="center"/>
              <w:ind w:left="2570"/>
              <w:spacing w:after="0"/>
              <w:rPr>
                <w:sz w:val="20"/>
                <w:szCs w:val="20"/>
                <w:color w:val="auto"/>
              </w:rPr>
            </w:pPr>
            <w:r>
              <w:rPr>
                <w:rFonts w:ascii="Arial" w:cs="Arial" w:eastAsia="Arial" w:hAnsi="Arial"/>
                <w:sz w:val="18"/>
                <w:szCs w:val="18"/>
                <w:color w:val="auto"/>
                <w:w w:val="94"/>
              </w:rPr>
              <w:t>(Zip Code)</w:t>
            </w:r>
          </w:p>
        </w:tc>
      </w:tr>
      <w:tr>
        <w:trPr>
          <w:trHeight w:val="243"/>
        </w:trPr>
        <w:tc>
          <w:tcPr>
            <w:tcW w:w="3460" w:type="dxa"/>
            <w:vAlign w:val="bottom"/>
          </w:tcPr>
          <w:p>
            <w:pPr>
              <w:spacing w:after="0"/>
              <w:rPr>
                <w:sz w:val="21"/>
                <w:szCs w:val="21"/>
                <w:color w:val="auto"/>
              </w:rPr>
            </w:pPr>
          </w:p>
        </w:tc>
        <w:tc>
          <w:tcPr>
            <w:tcW w:w="5300" w:type="dxa"/>
            <w:vAlign w:val="bottom"/>
          </w:tcPr>
          <w:p>
            <w:pPr>
              <w:jc w:val="right"/>
              <w:ind w:right="3590"/>
              <w:spacing w:after="0"/>
              <w:rPr>
                <w:sz w:val="20"/>
                <w:szCs w:val="20"/>
                <w:color w:val="auto"/>
              </w:rPr>
            </w:pPr>
            <w:r>
              <w:rPr>
                <w:rFonts w:ascii="Arial" w:cs="Arial" w:eastAsia="Arial" w:hAnsi="Arial"/>
                <w:sz w:val="18"/>
                <w:szCs w:val="18"/>
                <w:b w:val="1"/>
                <w:bCs w:val="1"/>
                <w:color w:val="auto"/>
              </w:rPr>
              <w:t>1-888-643-3888</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jc w:val="both"/>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jc w:val="cente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8" w:right="239" w:bottom="1440" w:gutter="0" w:footer="0" w:header="0"/>
        </w:sectPr>
      </w:pPr>
    </w:p>
    <w:p>
      <w:pPr>
        <w:spacing w:after="0" w:line="181"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6860" w:space="720"/>
            <w:col w:w="3840"/>
          </w:cols>
          <w:pgMar w:left="240" w:top="238"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60" w:space="720"/>
            <w:col w:w="3840"/>
          </w:cols>
          <w:pgMar w:left="240" w:top="238" w:right="239" w:bottom="1440" w:gutter="0" w:footer="0" w:header="0"/>
          <w:type w:val="continuous"/>
        </w:sectPr>
      </w:pPr>
    </w:p>
    <w:p>
      <w:pPr>
        <w:ind w:left="758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38" w:right="239" w:bottom="1440" w:gutter="0" w:footer="0" w:header="0"/>
          <w:type w:val="continuous"/>
        </w:sectPr>
      </w:pPr>
    </w:p>
    <w:p>
      <w:pPr>
        <w:spacing w:after="0" w:line="16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As of October 16, 2018, there were 41,752,644 shares of common stock outstanding.</w:t>
      </w:r>
    </w:p>
    <w:p>
      <w:pPr>
        <w:sectPr>
          <w:pgSz w:w="11900" w:h="16838" w:orient="portrait"/>
          <w:cols w:equalWidth="0" w:num="1">
            <w:col w:w="11420"/>
          </w:cols>
          <w:pgMar w:left="240" w:top="238"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34290</wp:posOffset>
            </wp:positionV>
            <wp:extent cx="4889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94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0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w:t>
              </w:r>
            </w:hyperlink>
          </w:p>
        </w:tc>
        <w:tc>
          <w:tcPr>
            <w:tcW w:w="16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and nine months ended September 30, 2018 and 2017</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w:t>
              </w:r>
            </w:hyperlink>
          </w:p>
        </w:tc>
        <w:tc>
          <w:tcPr>
            <w:tcW w:w="16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nine months ended September 30, 2018 and 2017</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Condition –</w:t>
              </w:r>
            </w:hyperlink>
          </w:p>
        </w:tc>
        <w:tc>
          <w:tcPr>
            <w:tcW w:w="16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2018 and December 31, 2017</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w:t>
              </w:r>
            </w:hyperlink>
          </w:p>
        </w:tc>
        <w:tc>
          <w:tcPr>
            <w:tcW w:w="16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Three and nine months ended September 30, 2018 and 2017</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w:t>
              </w:r>
            </w:hyperlink>
          </w:p>
        </w:tc>
        <w:tc>
          <w:tcPr>
            <w:tcW w:w="168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Nine months ended September 30, 2018 and 2017</w:t>
              </w:r>
            </w:hyperlink>
          </w:p>
        </w:tc>
        <w:tc>
          <w:tcPr>
            <w:tcW w:w="418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1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3880" w:type="dxa"/>
            <w:vAlign w:val="bottom"/>
            <w:gridSpan w:val="4"/>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00" w:type="dxa"/>
            <w:vAlign w:val="bottom"/>
            <w:gridSpan w:val="8"/>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2.</w:t>
              </w:r>
            </w:hyperlink>
          </w:p>
        </w:tc>
        <w:tc>
          <w:tcPr>
            <w:tcW w:w="794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Management’s Discussion and Analysis of Financial Condition and Results of Operations</w:t>
              </w:r>
            </w:hyperlink>
          </w:p>
        </w:tc>
        <w:tc>
          <w:tcPr>
            <w:tcW w:w="168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3.</w:t>
              </w:r>
            </w:hyperlink>
          </w:p>
        </w:tc>
        <w:tc>
          <w:tcPr>
            <w:tcW w:w="7940" w:type="dxa"/>
            <w:vAlign w:val="bottom"/>
            <w:gridSpan w:val="1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Quantitative and Qualitative Disclosures About Market Risk</w:t>
              </w:r>
            </w:hyperlink>
          </w:p>
        </w:tc>
        <w:tc>
          <w:tcPr>
            <w:tcW w:w="168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3600" w:type="dxa"/>
            <w:vAlign w:val="bottom"/>
            <w:tcBorders>
              <w:left w:val="single" w:sz="8" w:color="0000EE"/>
            </w:tcBorders>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4.</w:t>
              </w:r>
            </w:hyperlink>
          </w:p>
        </w:tc>
        <w:tc>
          <w:tcPr>
            <w:tcW w:w="7940" w:type="dxa"/>
            <w:vAlign w:val="bottom"/>
            <w:gridSpan w:val="1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Controls and Procedures</w:t>
              </w:r>
            </w:hyperlink>
          </w:p>
        </w:tc>
        <w:tc>
          <w:tcPr>
            <w:tcW w:w="168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2120" w:type="dxa"/>
            <w:vAlign w:val="bottom"/>
            <w:tcBorders>
              <w:bottom w:val="single" w:sz="8" w:color="0000EE"/>
            </w:tcBorders>
            <w:gridSpan w:val="8"/>
          </w:tcPr>
          <w:p>
            <w:pPr>
              <w:spacing w:after="0"/>
              <w:rPr>
                <w:rFonts w:ascii="Arial" w:cs="Arial" w:eastAsia="Arial" w:hAnsi="Arial"/>
                <w:sz w:val="18"/>
                <w:szCs w:val="18"/>
                <w:b w:val="1"/>
                <w:bCs w:val="1"/>
                <w:color w:val="0000EE"/>
                <w:w w:val="96"/>
              </w:rPr>
            </w:pPr>
            <w:hyperlink w:anchor="page92">
              <w:r>
                <w:rPr>
                  <w:rFonts w:ascii="Arial" w:cs="Arial" w:eastAsia="Arial" w:hAnsi="Arial"/>
                  <w:sz w:val="18"/>
                  <w:szCs w:val="18"/>
                  <w:b w:val="1"/>
                  <w:bCs w:val="1"/>
                  <w:color w:val="0000EE"/>
                  <w:w w:val="96"/>
                </w:rPr>
                <w:t>Part II - Other Information</w:t>
              </w:r>
            </w:hyperlink>
          </w:p>
        </w:tc>
        <w:tc>
          <w:tcPr>
            <w:tcW w:w="7280" w:type="dxa"/>
            <w:vAlign w:val="bottom"/>
            <w:gridSpan w:val="14"/>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Item 1A.</w:t>
              </w:r>
            </w:hyperlink>
          </w:p>
        </w:tc>
        <w:tc>
          <w:tcPr>
            <w:tcW w:w="820" w:type="dxa"/>
            <w:vAlign w:val="bottom"/>
            <w:gridSpan w:val="2"/>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Risk Factors</w:t>
              </w:r>
            </w:hyperlink>
          </w:p>
        </w:tc>
        <w:tc>
          <w:tcPr>
            <w:tcW w:w="168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86</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2.</w:t>
              </w:r>
            </w:hyperlink>
          </w:p>
        </w:tc>
        <w:tc>
          <w:tcPr>
            <w:tcW w:w="820" w:type="dxa"/>
            <w:vAlign w:val="bottom"/>
            <w:gridSpan w:val="2"/>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Unregistered Sales of Equity Securities and Use of Proceeds</w:t>
              </w:r>
            </w:hyperlink>
          </w:p>
        </w:tc>
        <w:tc>
          <w:tcPr>
            <w:tcW w:w="168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740" w:type="dxa"/>
            <w:vAlign w:val="bottom"/>
            <w:gridSpan w:val="12"/>
            <w:shd w:val="clear" w:color="auto" w:fill="0000EE"/>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6.</w:t>
              </w:r>
            </w:hyperlink>
          </w:p>
        </w:tc>
        <w:tc>
          <w:tcPr>
            <w:tcW w:w="7940" w:type="dxa"/>
            <w:vAlign w:val="bottom"/>
            <w:gridSpan w:val="1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Exhibits</w:t>
              </w:r>
            </w:hyperlink>
          </w:p>
        </w:tc>
        <w:tc>
          <w:tcPr>
            <w:tcW w:w="168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87</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5"/>
          </w:tcPr>
          <w:p>
            <w:pPr>
              <w:ind w:left="4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60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5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23"/>
                <w:szCs w:val="23"/>
                <w:color w:val="auto"/>
              </w:rPr>
            </w:pPr>
          </w:p>
        </w:tc>
      </w:tr>
      <w:tr>
        <w:trPr>
          <w:trHeight w:val="33"/>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Interest and Fees on Loans and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104,248</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94,621</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303,193</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273,467</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Available-for-Sale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12,588</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11,987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37,109</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34,906</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Held-to-Maturity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20,821</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20,334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62,828</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59,958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Sold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1,393</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2,996</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3,165</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364</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1,005</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673</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139,424</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128,761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407,155</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372,181</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10,931</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27,971</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15,352</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4,667</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4,664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13,848</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14,928</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Purchased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169</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28</w:t>
            </w:r>
          </w:p>
        </w:tc>
        <w:tc>
          <w:tcPr>
            <w:tcW w:w="6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57</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Debt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838</w:t>
            </w: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1,117</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2,731</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3,327</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16,497</w:t>
            </w: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12,444</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44,776</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33,713</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122,927</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116,317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362,379</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338,468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3,800</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11,425</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12,650</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119,127</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112,317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350,954</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325,818</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Income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Trust and Asset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10,782</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11,050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33,319</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34,325</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Mortgage Banking</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1,965</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3,237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6,289</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10,356</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on Deposit Accounts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7,255</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21,249</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24,522</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Fees, Exchange, and Other Service Charges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14,173</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13,764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42,906</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41,061</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(729)</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(3,097)</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11,047</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Annuity and Insurance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1,360</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1,429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4,413</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5,585</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1,620</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5,258</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5,056</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3,447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16,478</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11,758</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41,482</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42,410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126,815</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143,562</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51,782</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51,190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158,352</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152,031</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Net Occupancy</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8,702</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7,727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25,824</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24,026</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6,116</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17,488</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16,624</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Data Processing</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4,241</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3,882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12,695</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11,173</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2,206</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7,525</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8,415</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FDIC Insurance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2,057</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2,107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6,396</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6,413</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15,434</w:t>
            </w: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15,231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47,433</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46,673</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90,538</w:t>
            </w: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88,598</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275,713</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265,355</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70,071</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66,129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202,056</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204,025</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13,138</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20,248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36,365</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62,306</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56,933</w:t>
            </w:r>
          </w:p>
        </w:tc>
        <w:tc>
          <w:tcPr>
            <w:tcW w:w="6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45,881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165,691</w:t>
            </w:r>
          </w:p>
        </w:tc>
        <w:tc>
          <w:tcPr>
            <w:tcW w:w="5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141,719</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26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1.37</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3.96</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1.36</w:t>
            </w:r>
          </w:p>
        </w:tc>
        <w:tc>
          <w:tcPr>
            <w:tcW w:w="6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3.93</w:t>
            </w:r>
          </w:p>
        </w:tc>
        <w:tc>
          <w:tcPr>
            <w:tcW w:w="5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0.60</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0.52</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1.72</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1.52</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41,620,776</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42,251,541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41,846,080</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42,336,441</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Diluted Weighted Average Shares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41,899,401</w:t>
            </w:r>
          </w:p>
        </w:tc>
        <w:tc>
          <w:tcPr>
            <w:tcW w:w="6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42,565,364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42,133,776</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w w:val="97"/>
              </w:rPr>
              <w:t>42,662,163</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420"/>
          </w:cols>
          <w:pgMar w:left="240" w:top="130" w:right="239" w:bottom="678"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30" w:right="239" w:bottom="678"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r>
      <w:tr>
        <w:trPr>
          <w:trHeight w:val="270"/>
        </w:trPr>
        <w:tc>
          <w:tcPr>
            <w:tcW w:w="5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Pr>
          <w:p>
            <w:pPr>
              <w:spacing w:after="0"/>
              <w:rPr>
                <w:sz w:val="23"/>
                <w:szCs w:val="23"/>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7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56,933</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45,881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165,691</w:t>
            </w:r>
          </w:p>
        </w:tc>
        <w:tc>
          <w:tcPr>
            <w:tcW w:w="7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141,719</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(5,599)</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(17,694)</w:t>
            </w: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8,444</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Defined Benefit Plans</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216</w:t>
            </w:r>
          </w:p>
        </w:tc>
        <w:tc>
          <w:tcPr>
            <w:tcW w:w="8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648</w:t>
            </w:r>
          </w:p>
        </w:tc>
        <w:tc>
          <w:tcPr>
            <w:tcW w:w="7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439</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(5,383)</w:t>
            </w:r>
          </w:p>
        </w:tc>
        <w:tc>
          <w:tcPr>
            <w:tcW w:w="8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(17,046)</w:t>
            </w:r>
          </w:p>
        </w:tc>
        <w:tc>
          <w:tcPr>
            <w:tcW w:w="7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8,883</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51,550</w:t>
            </w:r>
          </w:p>
        </w:tc>
        <w:tc>
          <w:tcPr>
            <w:tcW w:w="88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46,471</w:t>
            </w: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148,645</w:t>
            </w:r>
          </w:p>
        </w:tc>
        <w:tc>
          <w:tcPr>
            <w:tcW w:w="7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150,602</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Condition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9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1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3,725</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3,421</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Funds Sold</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104,199</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181,413</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1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Available-for-Sale</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2,049,687</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2,232,979</w:t>
            </w:r>
          </w:p>
        </w:tc>
      </w:tr>
      <w:tr>
        <w:trPr>
          <w:trHeight w:val="237"/>
        </w:trPr>
        <w:tc>
          <w:tcPr>
            <w:tcW w:w="6000" w:type="dxa"/>
            <w:vAlign w:val="bottom"/>
          </w:tcPr>
          <w:p>
            <w:pPr>
              <w:ind w:left="280"/>
              <w:spacing w:after="0"/>
              <w:rPr>
                <w:sz w:val="20"/>
                <w:szCs w:val="20"/>
                <w:color w:val="auto"/>
              </w:rPr>
            </w:pPr>
            <w:r>
              <w:rPr>
                <w:rFonts w:ascii="Arial" w:cs="Arial" w:eastAsia="Arial" w:hAnsi="Arial"/>
                <w:sz w:val="16"/>
                <w:szCs w:val="16"/>
                <w:color w:val="auto"/>
              </w:rPr>
              <w:t>Held-to-Maturity (Fair Value of $3,549,235 and $3,894,121)</w:t>
            </w:r>
          </w:p>
        </w:tc>
        <w:tc>
          <w:tcPr>
            <w:tcW w:w="19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3,664,487</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3,928,170</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18,063</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19,231</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19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10,231,062</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9,796,947</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Loan and Lease Losses</w:t>
            </w:r>
          </w:p>
        </w:tc>
        <w:tc>
          <w:tcPr>
            <w:tcW w:w="19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(108,690)</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(107,346)</w:t>
            </w:r>
          </w:p>
        </w:tc>
      </w:tr>
      <w:tr>
        <w:trPr>
          <w:trHeight w:val="231"/>
        </w:trPr>
        <w:tc>
          <w:tcPr>
            <w:tcW w:w="60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Loans and Leases</w:t>
            </w:r>
          </w:p>
        </w:tc>
        <w:tc>
          <w:tcPr>
            <w:tcW w:w="19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10,122,372</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9,689,601</w:t>
            </w:r>
          </w:p>
        </w:tc>
      </w:tr>
      <w:tr>
        <w:trPr>
          <w:trHeight w:val="33"/>
        </w:trPr>
        <w:tc>
          <w:tcPr>
            <w:tcW w:w="6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Earning Assets</w:t>
            </w:r>
          </w:p>
        </w:tc>
        <w:tc>
          <w:tcPr>
            <w:tcW w:w="19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15,962,533</w:t>
            </w: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16,054,815</w:t>
            </w:r>
          </w:p>
        </w:tc>
      </w:tr>
      <w:tr>
        <w:trPr>
          <w:trHeight w:val="231"/>
        </w:trPr>
        <w:tc>
          <w:tcPr>
            <w:tcW w:w="6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Cash and Due From Banks</w:t>
            </w:r>
          </w:p>
        </w:tc>
        <w:tc>
          <w:tcPr>
            <w:tcW w:w="19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227,049</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263,017</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Premises and Equipment, Net</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142,928</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130,926</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Accrued Interest Receivable</w:t>
            </w:r>
          </w:p>
        </w:tc>
        <w:tc>
          <w:tcPr>
            <w:tcW w:w="19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54,839</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50,485</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Foreclosed Real Estate</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1,909</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1,040</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19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24,463</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24,622</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31,517</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31,517</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Bank-Owned Life Insurance</w:t>
            </w:r>
          </w:p>
        </w:tc>
        <w:tc>
          <w:tcPr>
            <w:tcW w:w="19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282,637</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280,034</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9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263,859</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252,596</w:t>
            </w:r>
          </w:p>
        </w:tc>
      </w:tr>
      <w:tr>
        <w:trPr>
          <w:trHeight w:val="231"/>
        </w:trPr>
        <w:tc>
          <w:tcPr>
            <w:tcW w:w="60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1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16,991,734</w:t>
            </w:r>
          </w:p>
        </w:tc>
        <w:tc>
          <w:tcPr>
            <w:tcW w:w="5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17,089,052</w:t>
            </w:r>
          </w:p>
        </w:tc>
      </w:tr>
      <w:tr>
        <w:trPr>
          <w:trHeight w:val="73"/>
        </w:trPr>
        <w:tc>
          <w:tcPr>
            <w:tcW w:w="600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264"/>
        </w:trPr>
        <w:tc>
          <w:tcPr>
            <w:tcW w:w="60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Deposits</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ind w:left="280"/>
              <w:spacing w:after="0"/>
              <w:rPr>
                <w:sz w:val="20"/>
                <w:szCs w:val="20"/>
                <w:color w:val="auto"/>
              </w:rPr>
            </w:pPr>
            <w:r>
              <w:rPr>
                <w:rFonts w:ascii="Arial" w:cs="Arial" w:eastAsia="Arial" w:hAnsi="Arial"/>
                <w:sz w:val="16"/>
                <w:szCs w:val="16"/>
                <w:color w:val="auto"/>
              </w:rPr>
              <w:t>Noninterest-Bearing Demand</w:t>
            </w:r>
          </w:p>
        </w:tc>
        <w:tc>
          <w:tcPr>
            <w:tcW w:w="1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4,678,981</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4,724,300</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Interest-Bearing Demand</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2,975,069</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3,082,563</w:t>
            </w:r>
          </w:p>
        </w:tc>
      </w:tr>
      <w:tr>
        <w:trPr>
          <w:trHeight w:val="237"/>
        </w:trPr>
        <w:tc>
          <w:tcPr>
            <w:tcW w:w="6000" w:type="dxa"/>
            <w:vAlign w:val="bottom"/>
          </w:tcPr>
          <w:p>
            <w:pPr>
              <w:ind w:left="280"/>
              <w:spacing w:after="0"/>
              <w:rPr>
                <w:sz w:val="20"/>
                <w:szCs w:val="20"/>
                <w:color w:val="auto"/>
              </w:rPr>
            </w:pPr>
            <w:r>
              <w:rPr>
                <w:rFonts w:ascii="Arial" w:cs="Arial" w:eastAsia="Arial" w:hAnsi="Arial"/>
                <w:sz w:val="16"/>
                <w:szCs w:val="16"/>
                <w:color w:val="auto"/>
              </w:rPr>
              <w:t>Savings</w:t>
            </w:r>
          </w:p>
        </w:tc>
        <w:tc>
          <w:tcPr>
            <w:tcW w:w="19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5,444,053</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5,389,013</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w:t>
            </w:r>
          </w:p>
        </w:tc>
        <w:tc>
          <w:tcPr>
            <w:tcW w:w="19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1,745,232</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1,688,092</w:t>
            </w:r>
          </w:p>
        </w:tc>
      </w:tr>
      <w:tr>
        <w:trPr>
          <w:trHeight w:val="231"/>
        </w:trPr>
        <w:tc>
          <w:tcPr>
            <w:tcW w:w="6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Deposits</w:t>
            </w:r>
          </w:p>
        </w:tc>
        <w:tc>
          <w:tcPr>
            <w:tcW w:w="19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14,843,335</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14,883,968</w:t>
            </w:r>
          </w:p>
        </w:tc>
      </w:tr>
      <w:tr>
        <w:trPr>
          <w:trHeight w:val="33"/>
        </w:trPr>
        <w:tc>
          <w:tcPr>
            <w:tcW w:w="6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629</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19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504,293</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505,293</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185,662</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260,716</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Retirement Benefits Payable</w:t>
            </w:r>
          </w:p>
        </w:tc>
        <w:tc>
          <w:tcPr>
            <w:tcW w:w="19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36,288</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37,312</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Payable</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7,689</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6,946</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Taxes Payable and Deferred Taxes</w:t>
            </w:r>
          </w:p>
        </w:tc>
        <w:tc>
          <w:tcPr>
            <w:tcW w:w="19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15,549</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24,009</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9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144,962</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138,940</w:t>
            </w:r>
          </w:p>
        </w:tc>
      </w:tr>
      <w:tr>
        <w:trPr>
          <w:trHeight w:val="231"/>
        </w:trPr>
        <w:tc>
          <w:tcPr>
            <w:tcW w:w="60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w:t>
            </w:r>
          </w:p>
        </w:tc>
        <w:tc>
          <w:tcPr>
            <w:tcW w:w="19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15,738,407</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15,857,184</w:t>
            </w:r>
          </w:p>
        </w:tc>
      </w:tr>
      <w:tr>
        <w:trPr>
          <w:trHeight w:val="33"/>
        </w:trPr>
        <w:tc>
          <w:tcPr>
            <w:tcW w:w="6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20"/>
        </w:trPr>
        <w:tc>
          <w:tcPr>
            <w:tcW w:w="6000" w:type="dxa"/>
            <w:vAlign w:val="bottom"/>
          </w:tcPr>
          <w:p>
            <w:pPr>
              <w:ind w:left="40"/>
              <w:spacing w:after="0"/>
              <w:rPr>
                <w:sz w:val="20"/>
                <w:szCs w:val="20"/>
                <w:color w:val="auto"/>
              </w:rPr>
            </w:pPr>
            <w:r>
              <w:rPr>
                <w:rFonts w:ascii="Arial" w:cs="Arial" w:eastAsia="Arial" w:hAnsi="Arial"/>
                <w:sz w:val="16"/>
                <w:szCs w:val="16"/>
                <w:color w:val="auto"/>
              </w:rPr>
              <w:t>Common Stock ($.01 par value; authorized 500,000,000 shares;</w:t>
            </w:r>
          </w:p>
        </w:tc>
        <w:tc>
          <w:tcPr>
            <w:tcW w:w="1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6000" w:type="dxa"/>
            <w:vAlign w:val="bottom"/>
          </w:tcPr>
          <w:p>
            <w:pPr>
              <w:ind w:left="40"/>
              <w:spacing w:after="0"/>
              <w:rPr>
                <w:sz w:val="20"/>
                <w:szCs w:val="20"/>
                <w:color w:val="auto"/>
              </w:rPr>
            </w:pPr>
            <w:r>
              <w:rPr>
                <w:rFonts w:ascii="Arial" w:cs="Arial" w:eastAsia="Arial" w:hAnsi="Arial"/>
                <w:sz w:val="16"/>
                <w:szCs w:val="16"/>
                <w:color w:val="auto"/>
              </w:rPr>
              <w:t>issued / outstanding: September 30, 2018 - 58,070,578 / 41,809,551</w:t>
            </w:r>
          </w:p>
        </w:tc>
        <w:tc>
          <w:tcPr>
            <w:tcW w:w="1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6"/>
                <w:szCs w:val="16"/>
                <w:color w:val="auto"/>
              </w:rPr>
              <w:t>and December 31, 2017 - 57,959,074 / 42,401,443)</w:t>
            </w:r>
          </w:p>
        </w:tc>
        <w:tc>
          <w:tcPr>
            <w:tcW w:w="194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577</w:t>
            </w:r>
          </w:p>
        </w:tc>
        <w:tc>
          <w:tcPr>
            <w:tcW w:w="54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576</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Surplus</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569,223</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561,161</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194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(59,238)</w:t>
            </w:r>
          </w:p>
        </w:tc>
        <w:tc>
          <w:tcPr>
            <w:tcW w:w="5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(34,715)</w:t>
            </w:r>
          </w:p>
        </w:tc>
      </w:tr>
      <w:tr>
        <w:trPr>
          <w:trHeight w:val="33"/>
        </w:trPr>
        <w:tc>
          <w:tcPr>
            <w:tcW w:w="6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19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1,612,998</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1,512,218</w:t>
            </w:r>
          </w:p>
        </w:tc>
      </w:tr>
      <w:tr>
        <w:trPr>
          <w:trHeight w:val="220"/>
        </w:trPr>
        <w:tc>
          <w:tcPr>
            <w:tcW w:w="6000" w:type="dxa"/>
            <w:vAlign w:val="bottom"/>
          </w:tcPr>
          <w:p>
            <w:pPr>
              <w:ind w:left="40"/>
              <w:spacing w:after="0"/>
              <w:rPr>
                <w:sz w:val="20"/>
                <w:szCs w:val="20"/>
                <w:color w:val="auto"/>
              </w:rPr>
            </w:pPr>
            <w:r>
              <w:rPr>
                <w:rFonts w:ascii="Arial" w:cs="Arial" w:eastAsia="Arial" w:hAnsi="Arial"/>
                <w:sz w:val="16"/>
                <w:szCs w:val="16"/>
                <w:color w:val="auto"/>
              </w:rPr>
              <w:t>Treasury Stock, at Cost (Shares: September 30, 2018 - 16,261,027</w:t>
            </w:r>
          </w:p>
        </w:tc>
        <w:tc>
          <w:tcPr>
            <w:tcW w:w="1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6"/>
        </w:trPr>
        <w:tc>
          <w:tcPr>
            <w:tcW w:w="6000" w:type="dxa"/>
            <w:vAlign w:val="bottom"/>
          </w:tcPr>
          <w:p>
            <w:pPr>
              <w:ind w:left="40"/>
              <w:spacing w:after="0"/>
              <w:rPr>
                <w:sz w:val="20"/>
                <w:szCs w:val="20"/>
                <w:color w:val="auto"/>
              </w:rPr>
            </w:pPr>
            <w:r>
              <w:rPr>
                <w:rFonts w:ascii="Arial" w:cs="Arial" w:eastAsia="Arial" w:hAnsi="Arial"/>
                <w:sz w:val="16"/>
                <w:szCs w:val="16"/>
                <w:color w:val="auto"/>
              </w:rPr>
              <w:t>and December 31, 2017 - 15,557,631)</w:t>
            </w:r>
          </w:p>
        </w:tc>
        <w:tc>
          <w:tcPr>
            <w:tcW w:w="1940" w:type="dxa"/>
            <w:vAlign w:val="bottom"/>
          </w:tcPr>
          <w:p>
            <w:pPr>
              <w:spacing w:after="0"/>
              <w:rPr>
                <w:sz w:val="17"/>
                <w:szCs w:val="17"/>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(870,233)</w:t>
            </w:r>
          </w:p>
        </w:tc>
        <w:tc>
          <w:tcPr>
            <w:tcW w:w="5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(807,372)</w:t>
            </w:r>
          </w:p>
        </w:tc>
      </w:tr>
      <w:tr>
        <w:trPr>
          <w:trHeight w:val="33"/>
        </w:trPr>
        <w:tc>
          <w:tcPr>
            <w:tcW w:w="6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19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1,253,327</w:t>
            </w: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1,231,868</w:t>
            </w:r>
          </w:p>
        </w:tc>
      </w:tr>
      <w:tr>
        <w:trPr>
          <w:trHeight w:val="231"/>
        </w:trPr>
        <w:tc>
          <w:tcPr>
            <w:tcW w:w="60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1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16,991,734</w:t>
            </w:r>
          </w:p>
        </w:tc>
        <w:tc>
          <w:tcPr>
            <w:tcW w:w="5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17,089,052</w:t>
            </w:r>
          </w:p>
        </w:tc>
      </w:tr>
      <w:tr>
        <w:trPr>
          <w:trHeight w:val="33"/>
        </w:trPr>
        <w:tc>
          <w:tcPr>
            <w:tcW w:w="6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11420"/>
          </w:cols>
          <w:pgMar w:left="240" w:top="130" w:right="239" w:bottom="1440" w:gutter="0" w:footer="0" w:header="0"/>
        </w:sectPr>
      </w:pPr>
    </w:p>
    <w:p>
      <w:pPr>
        <w:jc w:val="center"/>
        <w:ind w:right="-59"/>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420"/>
          </w:cols>
          <w:pgMar w:left="240" w:top="13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679"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Accum.</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Compre-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Common</w:t>
            </w:r>
          </w:p>
        </w:tc>
        <w:tc>
          <w:tcPr>
            <w:tcW w:w="40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hensive</w:t>
            </w:r>
          </w:p>
        </w:tc>
        <w:tc>
          <w:tcPr>
            <w:tcW w:w="28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Retained</w:t>
            </w:r>
          </w:p>
        </w:tc>
        <w:tc>
          <w:tcPr>
            <w:tcW w:w="30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Treasury</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Surplus</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(Loss)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42,401,443</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561,161</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(34,715)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1,512,218</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(807,372)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1,231,868</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165,691</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165,691</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(17,046)</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(17,046)</w:t>
            </w:r>
          </w:p>
        </w:tc>
        <w:tc>
          <w:tcPr>
            <w:tcW w:w="0" w:type="dxa"/>
            <w:vAlign w:val="bottom"/>
          </w:tcPr>
          <w:p>
            <w:pPr>
              <w:spacing w:after="0"/>
              <w:rPr>
                <w:sz w:val="1"/>
                <w:szCs w:val="1"/>
                <w:color w:val="auto"/>
              </w:rPr>
            </w:pPr>
          </w:p>
        </w:tc>
      </w:tr>
      <w:tr>
        <w:trPr>
          <w:trHeight w:val="157"/>
        </w:trPr>
        <w:tc>
          <w:tcPr>
            <w:tcW w:w="3320" w:type="dxa"/>
            <w:vAlign w:val="bottom"/>
          </w:tcPr>
          <w:p>
            <w:pPr>
              <w:ind w:left="40"/>
              <w:spacing w:after="0" w:line="157" w:lineRule="exact"/>
              <w:rPr>
                <w:sz w:val="20"/>
                <w:szCs w:val="20"/>
                <w:color w:val="auto"/>
              </w:rPr>
            </w:pPr>
            <w:r>
              <w:rPr>
                <w:rFonts w:ascii="Arial" w:cs="Arial" w:eastAsia="Arial" w:hAnsi="Arial"/>
                <w:sz w:val="14"/>
                <w:szCs w:val="14"/>
                <w:color w:val="auto"/>
              </w:rPr>
              <w:t>Reclassification of the Income Tax Effects of the</w:t>
            </w: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40"/>
              <w:spacing w:after="0"/>
              <w:rPr>
                <w:sz w:val="20"/>
                <w:szCs w:val="20"/>
                <w:color w:val="auto"/>
              </w:rPr>
            </w:pPr>
            <w:r>
              <w:rPr>
                <w:rFonts w:ascii="Arial" w:cs="Arial" w:eastAsia="Arial" w:hAnsi="Arial"/>
                <w:sz w:val="14"/>
                <w:szCs w:val="14"/>
                <w:color w:val="auto"/>
              </w:rPr>
              <w:t>Tax Cuts and Jobs Act from AOCI</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(7,477)</w:t>
            </w:r>
          </w:p>
        </w:tc>
        <w:tc>
          <w:tcPr>
            <w:tcW w:w="2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7,477</w:t>
            </w:r>
          </w:p>
        </w:tc>
        <w:tc>
          <w:tcPr>
            <w:tcW w:w="3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6,208</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6,208</w:t>
            </w:r>
          </w:p>
        </w:tc>
        <w:tc>
          <w:tcPr>
            <w:tcW w:w="0" w:type="dxa"/>
            <w:vAlign w:val="bottom"/>
          </w:tcPr>
          <w:p>
            <w:pPr>
              <w:spacing w:after="0"/>
              <w:rPr>
                <w:sz w:val="1"/>
                <w:szCs w:val="1"/>
                <w:color w:val="auto"/>
              </w:rPr>
            </w:pPr>
          </w:p>
        </w:tc>
      </w:tr>
      <w:tr>
        <w:trPr>
          <w:trHeight w:val="157"/>
        </w:trPr>
        <w:tc>
          <w:tcPr>
            <w:tcW w:w="3320" w:type="dxa"/>
            <w:vAlign w:val="bottom"/>
          </w:tcPr>
          <w:p>
            <w:pPr>
              <w:ind w:left="40"/>
              <w:spacing w:after="0" w:line="157" w:lineRule="exact"/>
              <w:rPr>
                <w:sz w:val="20"/>
                <w:szCs w:val="20"/>
                <w:color w:val="auto"/>
              </w:rPr>
            </w:pPr>
            <w:r>
              <w:rPr>
                <w:rFonts w:ascii="Arial" w:cs="Arial" w:eastAsia="Arial" w:hAnsi="Arial"/>
                <w:sz w:val="14"/>
                <w:szCs w:val="14"/>
                <w:color w:val="auto"/>
              </w:rPr>
              <w:t>Common Stock Issued under Purchase and Equity</w:t>
            </w: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40"/>
              <w:spacing w:after="0"/>
              <w:rPr>
                <w:sz w:val="20"/>
                <w:szCs w:val="20"/>
                <w:color w:val="auto"/>
              </w:rPr>
            </w:pPr>
            <w:r>
              <w:rPr>
                <w:rFonts w:ascii="Arial" w:cs="Arial" w:eastAsia="Arial" w:hAnsi="Arial"/>
                <w:sz w:val="14"/>
                <w:szCs w:val="14"/>
                <w:color w:val="auto"/>
              </w:rPr>
              <w:t>Compensation Plans</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203,289</w:t>
            </w:r>
          </w:p>
        </w:tc>
        <w:tc>
          <w:tcPr>
            <w:tcW w:w="3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1,854</w:t>
            </w:r>
          </w:p>
        </w:tc>
        <w:tc>
          <w:tcPr>
            <w:tcW w:w="3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251</w:t>
            </w:r>
          </w:p>
        </w:tc>
        <w:tc>
          <w:tcPr>
            <w:tcW w:w="3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4,127</w:t>
            </w:r>
          </w:p>
        </w:tc>
        <w:tc>
          <w:tcPr>
            <w:tcW w:w="2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6,233</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(795,181)</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(66,988)</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(66,988)</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Dividends Declared ($1.72 per share)</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(72,639)</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(72,639)</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September 30, 2018</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41,809,551</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577</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569,223</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(59,238)</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1,612,998</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(870,233)</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1,253,327</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2016</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42,635,978</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551,628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(33,906)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1,415,440</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(772,201)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1,161,537</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141,719</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141,719</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8,883</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8,883</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5,332</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 Equity</w:t>
            </w: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319,377</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1,570</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10,552</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11,739</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(442,007)</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(36,371)</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(36,371)</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($1.52 per share)</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(64,946)</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(64,946)</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September 30, 2017</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42,513,348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558,530</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(25,023)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1,491,830</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(798,020)</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1,227,893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24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Nine Months Ended</w:t>
            </w: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9"/>
                <w:szCs w:val="19"/>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1"/>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165,691</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141,719</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Credit Losses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11,425</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12,650</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10,512</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9,832</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Loan and Lease Fees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(330)</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25,633</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29,685</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6,208</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5,332</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Benefit Plan Contributions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(1,352)</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(11,098)</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(6,557)</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3,871</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Gains on Sales of Loans and Leases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(2,642)</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(5,615)</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Losses (Gains) on Sales of Investment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3,097</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(11,047)</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Proceeds from Sales of Loans Held for Sale</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215,897</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238,137</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Originations of Loans Held for Sale</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(214,047)</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(231,464)</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Tax Benefits from Share-Based Compensation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985</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2,515</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Other Assets and Other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(5,148)</w:t>
            </w:r>
          </w:p>
        </w:tc>
        <w:tc>
          <w:tcPr>
            <w:tcW w:w="8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(37,405)</w:t>
            </w:r>
          </w:p>
        </w:tc>
      </w:tr>
      <w:tr>
        <w:trPr>
          <w:trHeight w:val="231"/>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Provided by Operating Activities</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209,372</w:t>
            </w: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146,368</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Proceeds from Sales, Prepayments and Maturities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287,744</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289,771</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(147,694)</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(417,899)</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Investment Securities Held-to-Maturity:</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Prepayments and Maturities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653,488</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654,484</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Purchases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(399,346)</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(795,272)</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Loans and Leases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(444,529)</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(722,352)</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Proceeds from Sales of Loans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137,717</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Premises and Equipment, Net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(22,514)</w:t>
            </w:r>
          </w:p>
        </w:tc>
        <w:tc>
          <w:tcPr>
            <w:tcW w:w="8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(21,489)</w:t>
            </w:r>
          </w:p>
        </w:tc>
      </w:tr>
      <w:tr>
        <w:trPr>
          <w:trHeight w:val="231"/>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Used in Investing Activities</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(72,851)</w:t>
            </w: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(875,040)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Deposits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(40,634)</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727,920</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Change in Short-Term Borrowings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(371)</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(27,701)</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Long-Term Debt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(75,000)</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6,233</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11,679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(66,988)</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(36,371)</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Dividends Paid</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(72,639)</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(64,946)</w:t>
            </w:r>
          </w:p>
        </w:tc>
      </w:tr>
      <w:tr>
        <w:trPr>
          <w:trHeight w:val="33"/>
        </w:trPr>
        <w:tc>
          <w:tcPr>
            <w:tcW w:w="8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(249,399)</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610,581</w:t>
            </w:r>
          </w:p>
        </w:tc>
      </w:tr>
      <w:tr>
        <w:trPr>
          <w:trHeight w:val="216"/>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(112,878)</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(118,091)</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447,851</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879,607</w:t>
            </w:r>
          </w:p>
        </w:tc>
      </w:tr>
      <w:tr>
        <w:trPr>
          <w:trHeight w:val="33"/>
        </w:trPr>
        <w:tc>
          <w:tcPr>
            <w:tcW w:w="8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334,973</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761,516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Interest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44,033</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32,331</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Paid for Income Taxes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32,403</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49,957</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Transfer from Loans to Foreclosed Real Estate</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2,592</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2,559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Transfers from Loans to Loans Held for Sale</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86,625</w:t>
            </w:r>
          </w:p>
        </w:tc>
      </w:tr>
      <w:tr>
        <w:trPr>
          <w:trHeight w:val="33"/>
        </w:trPr>
        <w:tc>
          <w:tcPr>
            <w:tcW w:w="8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420"/>
          </w:cols>
          <w:pgMar w:left="240" w:top="130" w:right="239" w:bottom="449"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30" w:right="239" w:bottom="449"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accompanying consolidated financial statements include the accounts of the Parent and its subsidiaries. The Parent’s principal operating subsidiary is Bank of Hawaii (the “Bank”).</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8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the power to direct the activities of the VIE that most significantly impact the entity’s economic performance and the obligation to absorb losses or the right to receive benefits that could be significant to the VIE.</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limited partnership interests in several low-income housing partnerships. These partnerships provide funds for the construction and operation of apartment complexes that provide affordable housing to lower-income households. If these developments successfully attract a specified percentage of residents falling in that lower-income range, state and/or federal income tax credits are made available to the partners. The tax credits are generally recognized over 10 years. In order to continue receiving the tax credits each year over the life of the partnership, the low-income residency targets must be maintained.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ASU No. 2014-01, </w:t>
      </w:r>
      <w:r>
        <w:rPr>
          <w:rFonts w:ascii="Arial" w:cs="Arial" w:eastAsia="Arial" w:hAnsi="Arial"/>
          <w:sz w:val="18"/>
          <w:szCs w:val="18"/>
          <w:i w:val="1"/>
          <w:iCs w:val="1"/>
          <w:color w:val="auto"/>
        </w:rPr>
        <w:t>“Accounting for Investments in Qualified Affordable Housing Projects”</w:t>
      </w:r>
      <w:r>
        <w:rPr>
          <w:rFonts w:ascii="Arial" w:cs="Arial" w:eastAsia="Arial" w:hAnsi="Arial"/>
          <w:sz w:val="18"/>
          <w:szCs w:val="18"/>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Unfunded commitments to fund these low-income housing partnerships were $15.4 million and $17.5 million as of September 30, 2018 and December 31, 2017, respectively. These unfunded commitments are unconditional and legally binding and are recorded in other liabilities in the consolidated statements of condition. See Note 6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six years.</w:t>
      </w:r>
    </w:p>
    <w:p>
      <w:pPr>
        <w:spacing w:after="0" w:line="11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entities meet the definition of a VIE; however,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investments in these entities are initially recorded at cost, which approximates the maximum exposure to loss as a result of the Company’s involvement with these unconsolidated entities. The balance of the Company’s investments in these entities was $81.2 million and $87.6 million as of September 30, 2018 and December 31, 2017, respectively, and is included in other assets in the consolidated statements of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239"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Public law No. 115-97, known as the Tax Cuts and Jobs Act (the "Tax Act"), which was enacted on December 22, 2017, reduced the U.S. federal corporate tax rate from 35% to 21% effective January 1, 2018. Also on December 22, 2017, the Securities and Exchange Commission issued Staff Accounting Bulletin No. 118 (“SAB 118”), which provides guidance on accounting for tax effects of the Tax Act. SAB 118 provides a measurement period of up to one year from the enactment date to complete the accounting. Any adjustments during this measurement period will be included in net earnings from continuing operations as an adjustment to income tax expense in the reporting period when such adjustments are determined. Based on the information available and current interpretation of the rules, the Company estimated the impact of the reduction in the corporate tax rate and remeasurement of certain deferred tax assets and liabilities. The provisional amount recorded in the fourth quarter of 2017 related to the remeasurement of the Company's deferred tax balance resulted in additional income tax expense of $3.6 million. An additional $0.1 million was expensed in the first quarter of 2018 due to the remeasurement of the Company’s deferred tax balance. In addition, during the first quarter of 2018, the Company recorded a $2.0 million basis adjustment on its low income housing partnership investments, which consequently reduced income tax expense by the same amount. The remeasurement of the Company’s deferred tax balance in the third quarter of 2018 resulted in an income tax expense reduction of $0.3 million. The Company finalized the impact of the Tax Act in the third quarter of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2018</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generally will be required to use more judgment and make more estimates than under prior guidance. These may include identifying performance obligations in the contract, estimating the amount of variable consideration to include in the transaction price and allocating the transaction price to each separate performance obligation. Subsequent to the issuance of ASU 2014-09, the FASB issued targeted updates to clarify specific implementation issues including ASU No. 2016-08, </w:t>
      </w:r>
      <w:r>
        <w:rPr>
          <w:rFonts w:ascii="Arial" w:cs="Arial" w:eastAsia="Arial" w:hAnsi="Arial"/>
          <w:sz w:val="17"/>
          <w:szCs w:val="17"/>
          <w:i w:val="1"/>
          <w:iCs w:val="1"/>
          <w:color w:val="auto"/>
        </w:rPr>
        <w:t>“Principal versus Agent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Considerations (Reporting Revenue Gross versus Net),” </w:t>
      </w:r>
      <w:r>
        <w:rPr>
          <w:rFonts w:ascii="Arial" w:cs="Arial" w:eastAsia="Arial" w:hAnsi="Arial"/>
          <w:sz w:val="17"/>
          <w:szCs w:val="17"/>
          <w:color w:val="auto"/>
        </w:rPr>
        <w:t>ASU No. 2016-10,</w:t>
      </w:r>
      <w:r>
        <w:rPr>
          <w:rFonts w:ascii="Arial" w:cs="Arial" w:eastAsia="Arial" w:hAnsi="Arial"/>
          <w:sz w:val="17"/>
          <w:szCs w:val="17"/>
          <w:i w:val="1"/>
          <w:iCs w:val="1"/>
          <w:color w:val="auto"/>
        </w:rPr>
        <w:t xml:space="preserve"> “Identifying Performance Obligations and Licensing,” </w:t>
      </w:r>
      <w:r>
        <w:rPr>
          <w:rFonts w:ascii="Arial" w:cs="Arial" w:eastAsia="Arial" w:hAnsi="Arial"/>
          <w:sz w:val="17"/>
          <w:szCs w:val="17"/>
          <w:color w:val="auto"/>
        </w:rPr>
        <w:t>ASU No. 2016-12,</w:t>
      </w:r>
      <w:r>
        <w:rPr>
          <w:rFonts w:ascii="Arial" w:cs="Arial" w:eastAsia="Arial" w:hAnsi="Arial"/>
          <w:sz w:val="17"/>
          <w:szCs w:val="17"/>
          <w:i w:val="1"/>
          <w:iCs w:val="1"/>
          <w:color w:val="auto"/>
        </w:rPr>
        <w:t xml:space="preserve"> “Narrow-Scope Improvements and Practical Expedients,” </w:t>
      </w:r>
      <w:r>
        <w:rPr>
          <w:rFonts w:ascii="Arial" w:cs="Arial" w:eastAsia="Arial" w:hAnsi="Arial"/>
          <w:sz w:val="17"/>
          <w:szCs w:val="17"/>
          <w:color w:val="auto"/>
        </w:rPr>
        <w:t>and ASU No. 2016-20</w:t>
      </w:r>
      <w:r>
        <w:rPr>
          <w:rFonts w:ascii="Arial" w:cs="Arial" w:eastAsia="Arial" w:hAnsi="Arial"/>
          <w:sz w:val="17"/>
          <w:szCs w:val="17"/>
          <w:i w:val="1"/>
          <w:iCs w:val="1"/>
          <w:color w:val="auto"/>
        </w:rPr>
        <w:t xml:space="preserve"> “Technical Corrections and Improvements to Topic 606, Revenue from Contracts with Customers.” </w:t>
      </w:r>
      <w:r>
        <w:rPr>
          <w:rFonts w:ascii="Arial" w:cs="Arial" w:eastAsia="Arial" w:hAnsi="Arial"/>
          <w:sz w:val="17"/>
          <w:szCs w:val="17"/>
          <w:color w:val="auto"/>
        </w:rPr>
        <w:t>For financial reporting purposes, the standard allows for either full retrospective adoption, meaning the standard is applied to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periods presented, or modified retrospective adoption, meaning the standard is applied only to the most current period presented in the financial statements with the cumulative effect of initially applying the standard recognized at the date of initial application. Since the standard does not apply to revenue associated with financial instruments, including loans and securities that are accounted for under other GAAP, the new standard did not have a material impact on revenue most closely associated with financial instruments, including interest income and expense. The Company completed its overall assessment of revenue streams and review of related contracts potentially affected by the ASUs, including trust and asset management fees, deposit related fees, interchange fees, merchant income, and annuity and insurance commissions.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0"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Based on this assessment, the Company concluded that ASU 2014-09 did not materially change the method in which the Company currently recognizes revenue for these revenue streams. The Company also completed its evaluation of certain costs related to these revenue streams to determine whether such costs should be presented as expenses or contra-revenue (i.e., gross vs. net). Based on its evaluation, the Company determined that the classification of certain debit and credit card related costs should change (i.e., costs previously recorded as expense is now recorded as contra-revenue, and vice versa). These classification changes resulted in immaterial changes to both revenue and expense. The Company also determined that certain costs related to ATMs should be recorded as an expense rather than a reduction of revenue. This change did not have a material effect to noninterest income or expense. The Company adopted ASU 2014-09 and its related amendments on its required effective date of January 1, 2018 utilizing the modified retrospective approach. Since there was no net income impact upon adoption of the new guidance, a cumulative effect adjustment to opening retained earnings was not deemed necessary. Consistent with the modified retrospective approach, the Company did not adjust prior period amounts for the debit and credit card costs and the ATM costs reclassifications noted above. See Note 15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for more information.</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ASU addresses certain aspects of recognition, measurement, presentation, and disclosure of financial instruments by making targeted improvements to GAAP as follows: (1) require equity investments (except those accounted for under the equity method of accounting or those that result in consolidation of the investee) to be measured at fair value with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(2)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(3) eliminate the requirement to disclose the fair value of financial instruments measured at amortized cost for entities that are not public business entities; (4) eliminate the requirement for public business entities to disclose the method(s) and significant assumptions used to estimate the fair value that is required to be disclosed for financial instruments measured at amortized cost on the balance sheet; (5) require public business entities to use the exit price notion when measuring the fair value of financial instruments for disclosure purposes; (6)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(7) require separate presentation of financial assets and financial liabilities by measurement category and form of financial asset (that is, securities or loans and receivables) on the balance sheet or the accompanying notes to the financial statements; and (8) clarify that an entity should evaluate the need for a valuation allowance on a deferred tax asset related to available-for-sale securities in combination with the entity’s other deferred tax assets. The Company adopted ASU No. 2016-01 on January 1, 2018 did not have a material impact on the Company’s Consolidated Financial Statements. In accordance with (5) above, the Company measured the fair value of its loan portfolio as of September 30, 2018 using an exit price notion (see Note 14 </w:t>
      </w:r>
      <w:r>
        <w:rPr>
          <w:rFonts w:ascii="Arial" w:cs="Arial" w:eastAsia="Arial" w:hAnsi="Arial"/>
          <w:sz w:val="16"/>
          <w:szCs w:val="16"/>
          <w:i w:val="1"/>
          <w:iCs w:val="1"/>
          <w:color w:val="auto"/>
        </w:rPr>
        <w:t>Fair Value of Assets and Liabilities</w:t>
      </w:r>
      <w:r>
        <w:rPr>
          <w:rFonts w:ascii="Arial" w:cs="Arial" w:eastAsia="Arial" w:hAnsi="Arial"/>
          <w:sz w:val="16"/>
          <w:szCs w:val="16"/>
          <w:color w:val="auto"/>
        </w:rPr>
        <w:t>).</w:t>
      </w:r>
    </w:p>
    <w:p>
      <w:pPr>
        <w:spacing w:after="0" w:line="17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At the time, GAAP was unclear or did not include specific guidance on how to classify certain transactions in the statement of cash flows. This ASU is intended to reduce diversity in practice in how eight particular transactions are classified in the statement of cash flows. ASU No. 2016-15 was effective for interim and annual reporting periods beginning after December 15, 2017. Entities were required to apply the guidance retrospectively. If it is impracticable to apply the guidance retrospectively for an issue, the amendments related to that issue would be applied prospectively. The Company adopted ASU No. 2016-15 on January 1, 2018. ASU No. 2016-15 did not have a material impact on the Company’s Consolidated Financial Statements.</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w:t>
      </w:r>
      <w:r>
        <w:rPr>
          <w:rFonts w:ascii="Arial" w:cs="Arial" w:eastAsia="Arial" w:hAnsi="Arial"/>
          <w:sz w:val="17"/>
          <w:szCs w:val="17"/>
          <w:color w:val="auto"/>
        </w:rPr>
        <w:t>Under the new guidance, employers are required to present the service cost component of the net periodic benefit cost in the same income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line item (e.g., Salaries and Benefits) as other employee compensation costs arising from services rendered during the period. In addition, only the service cost component will be eligible for capitalization in assets. Employers will present the other components of net periodic benefit cost separately (e.g., Other Noninterest Expense) from the line item that includes the service cost. ASU No. 2017-07 became effective for interim and annual reporting periods beginning after December 15, 2017. Employers will apply the guidance on the presentation of the components of net periodic benefit cost in the income statement retrospectively. The guidance limiting the capitalization of net periodic benefit cost in assets to the service cost component will be applied prospectively. The Company adopted ASU No. 2017-07 on January 1, 2018 and utilized the ASU’s practical expedient allowing entities to estimate amounts for comparative periods using the information previously disclosed in their pension and other postretirement benefit plan footnote. ASU No. 2017-07 did not have a material impact on the Company’s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February 2018, the FASB issued ASU No.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This ASU allows a reclassification from accumulated other comprehensive income (“AOCI”) to retained earnings for certain income tax effects stranded in AOCI as a result of the Tax Act. Consequently, the reclassification eliminates the stranded tax effects resulting from the Tax Act and is intended to improve the usefulness of information reported to financial statement users. However, because the ASU only relates to the reclassification of the income tax effects of the Tax Act, the underlying guidance that requires the effect of a change in tax laws or rates to be included in income from continuing operations is not affected. ASU No. 2018-02 is effective for the Company's reporting period beginning on January 1, 2019; early adoption is permitted. The Company elected to adopt ASU No. 2018-02 during the first quarter of 2018, and elected to reclassify the income tax effects of the Tax Act from AOCI to retained earnings. The reclassification decreased AOCI and increased retained earnings by $7.5 million, with zero net effect on total shareholders’ equity. The Company utilizes the individual securities approach when releasing income tax effects from AOCI for its investment securities.</w:t>
      </w:r>
    </w:p>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In September 2018, the FASB issued ASU No.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Is a Service Contract.” </w:t>
      </w:r>
      <w:r>
        <w:rPr>
          <w:rFonts w:ascii="Arial" w:cs="Arial" w:eastAsia="Arial" w:hAnsi="Arial"/>
          <w:sz w:val="16"/>
          <w:szCs w:val="16"/>
          <w:color w:val="auto"/>
        </w:rPr>
        <w:t>This ASU requires an entity in a cloud computing arrangement (i.e., hosting arrangement) that is a service contract to follow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internal-use software guidance in ASC 350-40 to determine which implementation costs to capitalize as assets or expense as incurred. Capitalized implementation costs should be presented in the same line item on the balance sheet as amounts prepaid for the hosted service, if any (generally as an “other asset”). The capitalized costs will be amortized over the term of the hosting arrangement, with the amortization expense being presented in the same income statement line item as the fees paid for the hosted service. ASU 2018-15 is effective for interim and annual reporting periods beginning after December 15, 2019; early adoption is permitted. The Company elected to adopt ASU 2018-15 during the quarter ended September 30, 2018 on a prospective basis. ASU 2018-15 did not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Under the new guidance, lessees will be required to recognize the following for all leases (with the exception of short-term leases): 1) a lease liability, which is the present value of a lessee’s obligation to make lease payments, and 2) a right-of-use asset, which is an asset that represents the lessee’s right to use, or control the use of, a specified asset for the lease term. Lessor accounting under the new guidance remains largely unchanged as it is substantially equivalent to existing guidance for sales-type leases, direct financing leases, and operating leases. Leveraged leases have been eliminated, although lessors can continue to account for existing leveraged leases using the current accounting guidance. Other limited changes were made to align lessor accounting with the lessee accounting model and the new revenue recognition standard</w:t>
      </w:r>
      <w:r>
        <w:rPr>
          <w:rFonts w:ascii="Arial" w:cs="Arial" w:eastAsia="Arial" w:hAnsi="Arial"/>
          <w:sz w:val="16"/>
          <w:szCs w:val="16"/>
          <w:i w:val="1"/>
          <w:iCs w:val="1"/>
          <w:color w:val="auto"/>
        </w:rPr>
        <w:t>.</w:t>
      </w:r>
      <w:r>
        <w:rPr>
          <w:rFonts w:ascii="Arial" w:cs="Arial" w:eastAsia="Arial" w:hAnsi="Arial"/>
          <w:sz w:val="16"/>
          <w:szCs w:val="16"/>
          <w:color w:val="auto"/>
        </w:rPr>
        <w:t xml:space="preserve"> All entities will classify leases to determine how to recognize lease-related revenue and expense. Quantitative and qualitative disclosures will be required by lessees and lessors to meet the objective of enabling users of financial statements to assess the amount, timing, and uncertainty of cash flows arising from leases. The intention is to require enough information to supplement the amounts recorded in the financial statements so that users can understand more about the nature of an entity’s leasing activities. ASU No. 2016-02 is effective for interim and annual reporting periods beginning after December 15, 2018. All entities are required to use a modified retrospective approach for leases that exist or are entered into after the beginning of the earliest comparative period in the financial statements. As the Company expects to elect the transition option provided in ASU No. 2018-11 (see below), the modified retrospective approach will be applied on January 1, 2019 (as opposed to January 1, 2017). The Company also expects to elect certain relief options offered in ASU 2016-02 including the package of practical expedients, the option not to separate lease and non-lease components and instead to account for them as a single lease component, and the option not to recognize right-of-use assets and lease liabilities that arise from short-term leases (i.e., leases with terms of twelve months or less). The Company will likely not elect the hindsight practical expedient, which allows entities to use hindsight when determining lease term and impairment of right-of-use assets. The Company has several lease agreements, such as branch locations, which are currently considered operating leases, and therefore, not recognized on the Company’s consolidated statements of condition. The Company expects the new guidance will require these lease agreements to be recognized on the consolidated statements of condition as a right-of-use asset and a corresponding lease liability. Therefore, the Company’s preliminary evaluation indicates the provisions of ASU No. 2016-02 are expected to impact the Company’s consolidated statements of condition, along with the Company’s regulatory capital ratios. However, the Company does not expect the new guidance to have a material impact on the Company’s consolidated statements of income. The Company is nearing completion of its effort to compile a complete inventory of arrangements containing a lease and accumulating the lease data necessary to apply the amended guidance. In addition, the Company is implementing new software to aid in the transition, and the majority of the Company’s leases have been entered into this new leasing software program.</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30" w:right="2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This ASU significantly changes how entities will measure credit losses for most financial assets and certain other instruments that are not measured at fair value through net income. In issuing the standard, the FASB is responding to criticism that today’s guidance delays recognition of credit losses. The standard will replace today’s “incurred loss” approach with an “expected loss” model. The new model, referred to as the current expected credit loss (“CECL”) model, will apply to: (1) financial assets subject to credit losses and measured at amortized cost, and (2) certain off-balance sheet credit exposures. This includes, but is not limited to, loans, leases, held-to-maturity securities, loan commitments, and financial guarantees. The CECL model does not apply to available-for-sale (“AFS”) debt securities. For AFS debt securities with unrealized losses, entities will measure credit losses in a manner similar to what they do today, except that the credit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entities will need to disclose the amortized cost balance for each class of financial asset by credit quality indicator, disaggregated by the year of origination. ASU No. 2016-13 is effective for interim and annual reporting periods beginning after December 15, 2019; early adoption is permitted for interim and annual reporting periods beginning after December 15, 2018. Entities will apply the standard’s provisions as a cumulative-effect adjustment to retained earnings as of the beginning of the first reporting period in which the guidance is effective (i.e., modified retrospective approach). The Company is continuing its implementation efforts through its Company-wide implementation team. This team has assigned roles and responsibilities, key tasks to complete, and a general timeline to be followed. The team meets periodically to discuss the latest developments and ensure progress is being made. The team also keeps current on evolving interpretations and industry practices related to ASU 2016-13 via webcasts, publications, conferences, and peer bank meetings. The team has been working with an advisory consultant and is in the process of finalizing the methodologies that will be utilized. The Company’s preliminary evaluation indicates the provisions of ASU No. 2016-13 are expected to impact the Company’s Consolidated Financial Statements, in particular the level of the reserve for credit losses. The Company is continuing to evaluate the extent of the potential impact.</w:t>
      </w:r>
    </w:p>
    <w:p>
      <w:pPr>
        <w:spacing w:after="0" w:line="18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This ASU’s objectives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ASU No. 2017-12 is effective for interim and annual reporting periods beginning after December 15, 2018; early adoption is permitted. The Company currently does not designate any derivative financial instruments as formal hedging relationships, and therefore, does not utilize hedge accounting. However, the Company is currently evaluating this ASU to determine whether its provisions will enhance the Company’s ability to employ risk management strategies, while improving the transparency and understanding of those strategies for financial statement users.</w:t>
      </w:r>
    </w:p>
    <w:p>
      <w:pPr>
        <w:spacing w:after="0" w:line="16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July 2018, the FASB issued ASU No. 2018-11, </w:t>
      </w:r>
      <w:r>
        <w:rPr>
          <w:rFonts w:ascii="Arial" w:cs="Arial" w:eastAsia="Arial" w:hAnsi="Arial"/>
          <w:sz w:val="16"/>
          <w:szCs w:val="16"/>
          <w:i w:val="1"/>
          <w:iCs w:val="1"/>
          <w:color w:val="auto"/>
        </w:rPr>
        <w:t>“Leases - Targeted Improvements”</w:t>
      </w:r>
      <w:r>
        <w:rPr>
          <w:rFonts w:ascii="Arial" w:cs="Arial" w:eastAsia="Arial" w:hAnsi="Arial"/>
          <w:sz w:val="16"/>
          <w:szCs w:val="16"/>
          <w:color w:val="auto"/>
        </w:rPr>
        <w:t xml:space="preserve"> to provide entities with relief from the costs of implementing certain aspects of the new leasing standard, ASU No. 2016-02. Specifically, under the amendments in ASU 2018-11: (1) entities may elect not to recast the comparative periods presented when transitioning to the new leasing standard, and (2) lessors may elect not to separate lease and non-lease components when certain conditions are met. The amendments have the same effective date as ASU 2016-02 (January 1, 2019 for the Company). The Company expects to elect both transition options. ASU 2018-11 is not expected to have a material impact on the Company’s Consolidated Financial Statements.</w:t>
      </w:r>
    </w:p>
    <w:p>
      <w:pPr>
        <w:spacing w:after="0" w:line="15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“Disclosure Framework - Changes to the Disclosure Requirements for Fair Value Measurement.”</w:t>
      </w:r>
      <w:r>
        <w:rPr>
          <w:rFonts w:ascii="Arial" w:cs="Arial" w:eastAsia="Arial" w:hAnsi="Arial"/>
          <w:sz w:val="17"/>
          <w:szCs w:val="17"/>
          <w:color w:val="auto"/>
        </w:rPr>
        <w:t xml:space="preserve"> This ASU eliminates, adds and modifies certain disclosure requirements for fair value measurements.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No. 2018-13 is effective for interim and annual reporting periods beginning after December 15, 2019; early adoption is permitted. Entities are also allowed to elect early adoption the eliminated or modified disclosure requirements and delay adoption of the new disclosure requirements until their effective date. As ASU No. 2018-13 only revises disclosure requirements, it will not have a material impact on the Company’s Consolidated Financial Statements.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“Disclosure Framework - Changes to the Disclosure Requirements for Defined Benefit Plans.”</w:t>
      </w:r>
      <w:r>
        <w:rPr>
          <w:rFonts w:ascii="Arial" w:cs="Arial" w:eastAsia="Arial" w:hAnsi="Arial"/>
          <w:sz w:val="18"/>
          <w:szCs w:val="18"/>
          <w:color w:val="auto"/>
        </w:rPr>
        <w:t xml:space="preserve"> This ASU makes minor changes to the disclosure requirements for employers that sponsor defined benefit pension and/or other postretirement benefit plans. ASU 2018-14 is effective for fiscal years ending after December 15, 2020; early adoption is permitted. As ASU 2018-14 only revises disclosure requirements, it will not have a material impact on the Company’s Consolidated Financial Statements.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80" w:type="dxa"/>
            <w:vAlign w:val="bottom"/>
          </w:tcPr>
          <w:p>
            <w:pPr>
              <w:jc w:val="right"/>
              <w:ind w:right="133"/>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7"/>
                <w:szCs w:val="17"/>
                <w:color w:val="auto"/>
              </w:rPr>
            </w:pPr>
          </w:p>
        </w:tc>
        <w:tc>
          <w:tcPr>
            <w:tcW w:w="1280" w:type="dxa"/>
            <w:vAlign w:val="bottom"/>
          </w:tcPr>
          <w:p>
            <w:pPr>
              <w:jc w:val="right"/>
              <w:ind w:right="53"/>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9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2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3,725</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3,421</w:t>
            </w:r>
          </w:p>
        </w:tc>
      </w:tr>
      <w:tr>
        <w:trPr>
          <w:trHeight w:val="243"/>
        </w:trPr>
        <w:tc>
          <w:tcPr>
            <w:tcW w:w="538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29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104,199</w:t>
            </w:r>
          </w:p>
        </w:tc>
        <w:tc>
          <w:tcPr>
            <w:tcW w:w="4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181,413</w:t>
            </w:r>
          </w:p>
        </w:tc>
      </w:tr>
      <w:tr>
        <w:trPr>
          <w:trHeight w:val="27"/>
        </w:trPr>
        <w:tc>
          <w:tcPr>
            <w:tcW w:w="5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Due From Banks</w:t>
            </w:r>
          </w:p>
        </w:tc>
        <w:tc>
          <w:tcPr>
            <w:tcW w:w="29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227,049</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263,017</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Cash and Cash Equivalents</w:t>
            </w:r>
          </w:p>
        </w:tc>
        <w:tc>
          <w:tcPr>
            <w:tcW w:w="2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334,973</w:t>
            </w:r>
          </w:p>
        </w:tc>
        <w:tc>
          <w:tcPr>
            <w:tcW w:w="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447,851</w:t>
            </w:r>
          </w:p>
        </w:tc>
      </w:tr>
      <w:tr>
        <w:trPr>
          <w:trHeight w:val="27"/>
        </w:trPr>
        <w:tc>
          <w:tcPr>
            <w:tcW w:w="5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September 30, 2018 and December 31, 2017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Amortized</w:t>
            </w: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Gains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2018</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420,400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474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418,164</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574,755</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4,275</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(2,383)</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576,647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Securities Issued by Government-Sponsored Enterprises</w:t>
            </w:r>
          </w:p>
        </w:tc>
        <w:tc>
          <w:tcPr>
            <w:tcW w:w="9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4"/>
                <w:szCs w:val="14"/>
                <w:color w:val="auto"/>
              </w:rPr>
              <w:t>55</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224,997</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65</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(1,071)</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223,991</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198,364</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1,807</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(1,138)</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199,033</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595,632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338</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(23,778)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572,192</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64,414</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(4,809)</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59,605</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858,410</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2,145</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(29,725)</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830,830</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2,078,617</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6,959</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(35,889)</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2,049,687</w:t>
            </w:r>
          </w:p>
        </w:tc>
      </w:tr>
      <w:tr>
        <w:trPr>
          <w:trHeight w:val="73"/>
        </w:trPr>
        <w:tc>
          <w:tcPr>
            <w:tcW w:w="5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31"/>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422,762</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(2,185)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420,577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235,588</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5,271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240,859</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101,120</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(3,248)</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97,872</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1,956,198</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3,140</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(79,935)</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1,879,403</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768,121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(31,029)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737,318</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180,698</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(7,492)</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173,206</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2,905,017</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3,366</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(118,456)</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2,789,927</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3,664,487</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8,637</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(123,889)</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3,549,235</w:t>
            </w:r>
          </w:p>
        </w:tc>
      </w:tr>
      <w:tr>
        <w:trPr>
          <w:trHeight w:val="73"/>
        </w:trPr>
        <w:tc>
          <w:tcPr>
            <w:tcW w:w="5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1"/>
        </w:trPr>
        <w:tc>
          <w:tcPr>
            <w:tcW w:w="54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424,912</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2,053</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(1,035)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425,930</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618,167</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9,894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627,019</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268,003</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199</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(2,091)</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266,111</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233,268</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3,129</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(1,037)</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235,360</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619,795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420</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(10,403)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609,812</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71,999</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(3,252)</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68,747</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925,062</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3,549</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(14,692)</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913,919</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2,236,144</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15,695</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(18,860)</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2,232,979</w:t>
            </w:r>
          </w:p>
        </w:tc>
      </w:tr>
      <w:tr>
        <w:trPr>
          <w:trHeight w:val="73"/>
        </w:trPr>
        <w:tc>
          <w:tcPr>
            <w:tcW w:w="5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31"/>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375,074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(1,451)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373,641</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238,504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9,125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247,629</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119,635</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123</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(1,591)</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118,167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2,229,985</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9,975</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(37,047)</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2,202,913</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763,312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911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(11,255)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752,968</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201,660</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797</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(3,654)</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198,803</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3,194,957</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11,683</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(51,956)</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3,154,684</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3,928,170</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20,949</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(54,998)</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3,894,121</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108"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108"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September 30, 2018.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Amortized Cost</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51,919</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51,866</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631,703</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630,347</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94,253</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95,875</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22,912</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23,568</w:t>
            </w:r>
          </w:p>
        </w:tc>
      </w:tr>
      <w:tr>
        <w:trPr>
          <w:trHeight w:val="231"/>
        </w:trPr>
        <w:tc>
          <w:tcPr>
            <w:tcW w:w="622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800,787</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801,656</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622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Debt Securities Issued by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419,420</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417,201</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198,364</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199,033</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595,632</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572,192</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64,414</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59,605</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858,410</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830,830</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2,078,617</w:t>
            </w: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2,049,687</w:t>
            </w:r>
          </w:p>
        </w:tc>
      </w:tr>
      <w:tr>
        <w:trPr>
          <w:trHeight w:val="73"/>
        </w:trPr>
        <w:tc>
          <w:tcPr>
            <w:tcW w:w="62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62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164,903</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164,495</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347,271</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346,571</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230,227</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230,391</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17,069</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17,851</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759,470</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759,308</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1,956,198</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1,879,403</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768,121</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737,318</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180,698</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173,206</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2,905,017</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2,789,927</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3,664,487</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3,549,235</w:t>
            </w:r>
          </w:p>
        </w:tc>
      </w:tr>
      <w:tr>
        <w:trPr>
          <w:trHeight w:val="20"/>
        </w:trPr>
        <w:tc>
          <w:tcPr>
            <w:tcW w:w="62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Investment securities with carrying values of $2.5 billion and $2.4 billion as of September 30, 2018 and December 31, 2017, respectively, were pledged to secure deposits of governmental entities and securities sold under agreements to repurchase.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gains and losses from the sales of investment securities for the three and nine months ended September 30, 2018 and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Pr>
          <w:p>
            <w:pPr>
              <w:spacing w:after="0"/>
              <w:rPr>
                <w:sz w:val="17"/>
                <w:szCs w:val="17"/>
                <w:color w:val="auto"/>
              </w:rPr>
            </w:pPr>
          </w:p>
        </w:tc>
      </w:tr>
      <w:tr>
        <w:trPr>
          <w:trHeight w:val="210"/>
        </w:trPr>
        <w:tc>
          <w:tcPr>
            <w:tcW w:w="5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8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7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Gains on Sales of Investment Securities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12,467</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Gross Losses on Sales of Investment Securities</w:t>
            </w:r>
          </w:p>
        </w:tc>
        <w:tc>
          <w:tcPr>
            <w:tcW w:w="3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(729)</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(3,097)</w:t>
            </w:r>
          </w:p>
        </w:tc>
        <w:tc>
          <w:tcPr>
            <w:tcW w:w="7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(1,420)</w:t>
            </w:r>
          </w:p>
        </w:tc>
      </w:tr>
      <w:tr>
        <w:trPr>
          <w:trHeight w:val="33"/>
        </w:trPr>
        <w:tc>
          <w:tcPr>
            <w:tcW w:w="5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Gains (Losses) on Sales of Investment Securities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(729)</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(3,097)</w:t>
            </w:r>
          </w:p>
        </w:tc>
        <w:tc>
          <w:tcPr>
            <w:tcW w:w="7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11,047</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losses during the three months ended September 30, 2018 were due to fees paid to the counterparties of the Company’s prior Visa Class B share sale transactions. The losses during the nine months ended September 30, 2018 were due to fees paid to the counterparties of the Company’s prior Visa Class B share sale transactions combined with a $1.0 million liability recorded in second quarter 2018 related to a change in the Visa Class B conversion ratio.</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gross unrealized losses and the related fair value of investment securities, aggregated by investment category and length of time in a continuous unrealized loss position,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188,906</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168,680</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357,586</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40"/>
              <w:spacing w:after="0"/>
              <w:rPr>
                <w:sz w:val="20"/>
                <w:szCs w:val="20"/>
                <w:color w:val="auto"/>
              </w:rPr>
            </w:pPr>
            <w:r>
              <w:rPr>
                <w:rFonts w:ascii="Arial" w:cs="Arial" w:eastAsia="Arial" w:hAnsi="Arial"/>
                <w:sz w:val="14"/>
                <w:szCs w:val="14"/>
                <w:color w:val="auto"/>
              </w:rPr>
              <w:t>and Political Subdivisions</w:t>
            </w: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256,816</w:t>
            </w:r>
          </w:p>
        </w:tc>
        <w:tc>
          <w:tcPr>
            <w:tcW w:w="3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45,914</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302,730</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(2,383)</w:t>
            </w: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U.S.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Government-Sponsored Enterprises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24,940</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163,986</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188,926</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11,614</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16,470</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28,084</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133,539</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417,167</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550,706</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59,605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59,605</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145,153</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(3,364)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493,242</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(26,361)</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638,395</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(29,725)</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615,865</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(6,407)</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871,822</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(29,482)</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1,487,687</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(35,889)</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296,511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(1,116)</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124,066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420,577</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(2,185)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38,493</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59,378</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97,871</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444,465</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1,238,576</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1,683,041</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(79,935)</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241,918</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(5,869)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489,643</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(25,160)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731,561</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(31,029)</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98,194</w:t>
            </w: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(1,854)</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75,013</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(5,638)</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173,207</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784,577</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(19,601)</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1,803,232</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(98,855)</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2,587,809</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(118,456)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1,119,581</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(21,556)</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1,986,676</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(102,333)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3,106,257</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(123,889)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103,842</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132,071</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235,913</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20"/>
              <w:spacing w:after="0"/>
              <w:rPr>
                <w:sz w:val="20"/>
                <w:szCs w:val="20"/>
                <w:color w:val="auto"/>
              </w:rPr>
            </w:pPr>
            <w:r>
              <w:rPr>
                <w:rFonts w:ascii="Arial" w:cs="Arial" w:eastAsia="Arial" w:hAnsi="Arial"/>
                <w:sz w:val="14"/>
                <w:szCs w:val="14"/>
                <w:color w:val="auto"/>
              </w:rPr>
              <w:t>and Political Subdivisions</w:t>
            </w: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172,343</w:t>
            </w:r>
          </w:p>
        </w:tc>
        <w:tc>
          <w:tcPr>
            <w:tcW w:w="3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734</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173,077</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12,985</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192,927</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205,912</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11,035</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10,618</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21,653</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429,342</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(5,720)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150,887</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580,229</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(10,403)</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68,747</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(3,252)</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68,747</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440,377</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(5,724)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230,252</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670,629</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729,547</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(7,370)</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555,984</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(11,490)</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1,285,531</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254,283</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89,391</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343,674</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25,490</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58,869</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84,359</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1,030,472</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(12,262)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704,545</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1,735,017</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(37,047)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293,530</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339,232</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632,762</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497</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82,288</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82,785</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1,324,499</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(15,373)</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1,126,065</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(36,583)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2,450,564</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(51,956)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1,604,272</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(16,015)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1,274,325</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(38,983)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2,878,597</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(54,998)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0"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does not believe that the investment securities that were in an unrealized loss position as of September 30, 2018, which were comprised of 520 individual securities, represent an other-than-temporary impairment. Total gross unrealized losses were primarily attributable to changes in interest rates, relative to when the investment securities were purchased, and not due to the credit quality of the investment securities. As of September 30, 2018 and December 31, 2017, the gross unrealized losses reported for mortgage-backed securities were mostly related to investment securities issued by the Government National Mortgage Association.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from taxable and non-taxable investment securities for the three and nine months ended September 30, 2018 and 2017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8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Taxable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28,855</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27,441</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85,931</w:t>
            </w:r>
          </w:p>
        </w:tc>
        <w:tc>
          <w:tcPr>
            <w:tcW w:w="8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79,949</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Non-Taxable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4,554</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4,880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14,006</w:t>
            </w:r>
          </w:p>
        </w:tc>
        <w:tc>
          <w:tcPr>
            <w:tcW w:w="8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14,915</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 from Investment Securities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33,409</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32,321</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99,937</w:t>
            </w:r>
          </w:p>
        </w:tc>
        <w:tc>
          <w:tcPr>
            <w:tcW w:w="8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94,864</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2018, included in the Company’s investment securities portfolio were debt securities issued by political subdivisions within the State of Hawaii of $463.3 million, representing 57% of the total fair value of the Company’s municipal debt securities. Of the entire Hawaii municipal bond portfolio, 96% were credit-rated Aa2 or better by Moody’s while the remaining Hawaii municipal bonds were credit-rated A1 or better by at least one nationally recognized statistical rating organization. Of the Company’s total Hawaii municipal bond holdings, 80% were general obligation issuances. As of September 30, 2018, there were no other holdings of municipal debt securities that were issued by a single state or political subdivision which comprised more than 10% of the total fair value of the Company’s municipal debt securities.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2018 and December 31, 2017, the carrying value of the Company’s Federal Home Loan Bank of Des Moines stock and Federal Reserve Bank stock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September 30,</w:t>
            </w:r>
          </w:p>
        </w:tc>
        <w:tc>
          <w:tcPr>
            <w:tcW w:w="3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Stock</w:t>
            </w:r>
          </w:p>
        </w:tc>
        <w:tc>
          <w:tcPr>
            <w:tcW w:w="3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Federal Reserve Bank Stock</w:t>
            </w:r>
          </w:p>
        </w:tc>
        <w:tc>
          <w:tcPr>
            <w:tcW w:w="3340" w:type="dxa"/>
            <w:vAlign w:val="bottom"/>
          </w:tcPr>
          <w:p>
            <w:pPr>
              <w:spacing w:after="0"/>
              <w:rPr>
                <w:sz w:val="20"/>
                <w:szCs w:val="20"/>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20,858</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20,645</w:t>
            </w:r>
          </w:p>
        </w:tc>
      </w:tr>
      <w:tr>
        <w:trPr>
          <w:trHeight w:val="33"/>
        </w:trPr>
        <w:tc>
          <w:tcPr>
            <w:tcW w:w="53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37,858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40,645</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These securities can only be redeemed or sold at their par value and only to the respective issuing government-supported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will be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September 30, 2018, the conversion ratio was 1.6298. See Note 12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occasionally sells these Visa Class B shares to other financial institutions. Concurrent with every sale the Company enters into an agreement with the buyer that requires payment to the buyer in the event Visa further reduces the conversion ratio. Based on the existing transfer restriction and the uncertainty of the outcome of the Visa litigation mentioned above, the remaining 83,014 Class B shares (135,296 Class A equivalents) that the Company owns as of September 30, 2018 are carried at a zero cost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Loans and Leases and the Allowance for Loan and Lease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September 30, 2018 and December 31,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1,314,609</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1,279,347</w:t>
            </w:r>
          </w:p>
        </w:tc>
      </w:tr>
      <w:tr>
        <w:trPr>
          <w:trHeight w:val="33"/>
        </w:trPr>
        <w:tc>
          <w:tcPr>
            <w:tcW w:w="5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3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2,237,020</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2,103,967</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32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176,447</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202,253</w:t>
            </w:r>
          </w:p>
        </w:tc>
      </w:tr>
      <w:tr>
        <w:trPr>
          <w:trHeight w:val="33"/>
        </w:trPr>
        <w:tc>
          <w:tcPr>
            <w:tcW w:w="5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3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172,232</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180,931</w:t>
            </w:r>
          </w:p>
        </w:tc>
      </w:tr>
      <w:tr>
        <w:trPr>
          <w:trHeight w:val="231"/>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3,900,308</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33"/>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2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3,596,627</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3,466,773</w:t>
            </w:r>
          </w:p>
        </w:tc>
      </w:tr>
      <w:tr>
        <w:trPr>
          <w:trHeight w:val="33"/>
        </w:trPr>
        <w:tc>
          <w:tcPr>
            <w:tcW w:w="5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1,625,208</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1,585,455</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2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625,086</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528,474</w:t>
            </w:r>
          </w:p>
        </w:tc>
      </w:tr>
      <w:tr>
        <w:trPr>
          <w:trHeight w:val="33"/>
        </w:trPr>
        <w:tc>
          <w:tcPr>
            <w:tcW w:w="5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483,833</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449,747</w:t>
            </w:r>
          </w:p>
        </w:tc>
      </w:tr>
      <w:tr>
        <w:trPr>
          <w:trHeight w:val="231"/>
        </w:trPr>
        <w:tc>
          <w:tcPr>
            <w:tcW w:w="524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2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6,330,754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6,030,449</w:t>
            </w:r>
          </w:p>
        </w:tc>
      </w:tr>
      <w:tr>
        <w:trPr>
          <w:trHeight w:val="33"/>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10,231,062</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9,796,947</w:t>
            </w: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majority of the Company’s lending activity is with customers located in the State of Hawaii. A substantial portion of the Company’s real estate loans are secured by real estate in Hawaii.</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gains related to sales of residential mortgage loans, recorded as a component of mortgage banking income were $0.4 million and $1.4 million for the three months ended September 30, 2018 and 2017, respectively, and $1.1 million and $4.6 million for the nine months ended September 30, 2018 and 2017,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 (the “Allowance”)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presents by portfolio segment, the activity in the Allowance for the three and nine months ended September 30, 2018 and 2017. The following also presents by portfolio segment, the balance in the Allowance disaggregated on the basis of the Company’s impairment measurement method and the related recorded investment in loans and leases as of September 30, 2018 and 2017.</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Commercial</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Consumer</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Three Months Ended September 30, 2018</w:t>
            </w:r>
          </w:p>
        </w:tc>
        <w:tc>
          <w:tcPr>
            <w:tcW w:w="1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63,712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44,476</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108,188</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(449)</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(5,578)</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(6,027)</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542</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2,187</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2,729</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93</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(3,391)</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(3,298)</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1,274</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2,526</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65,079</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43,611</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108,690</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Nine Months Ended September 30, 2018</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65,822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41,524</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107,346</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(1,140)</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(16,536)</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(17,676)</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1,236</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6,359</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7,595</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96</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(10,177)</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(10,081)</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(839)</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12,264</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11,425</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65,079</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43,611</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108,690</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As of September 30, 2018</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135</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3,810</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3,945</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64,944</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39,801</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104,745</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65,079</w:t>
            </w:r>
          </w:p>
        </w:tc>
        <w:tc>
          <w:tcPr>
            <w:tcW w:w="5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43,611</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108,690</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12,190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42,218</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54,408</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3,888,118</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6,288,536</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10,176,654</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3,900,308</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6,330,754</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10,231,062</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2017</w:t>
            </w:r>
          </w:p>
        </w:tc>
        <w:tc>
          <w:tcPr>
            <w:tcW w:w="1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66,182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40,171</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106,353</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(611)</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(5,607)</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(6,218)</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598</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2,148</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2,746</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(13)</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(3,459)</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(3,472)</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295</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3,705</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66,464</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40,417</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106,881</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2017</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65,680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38,593</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104,273</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(909)</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(16,500)</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(17,409)</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1,200</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6,167</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7,367</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291</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(10,333)</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(10,042)</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493</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12,157</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12,650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66,464</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40,417</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106,881</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September 30, 2017</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136</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3,762</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3,898</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66,328</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36,655</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102,983</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66,464</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40,417</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106,881</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21,738</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39,385</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61,123</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3,718,225</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5,794,608</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9,512,833</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3,739,963</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5,833,993</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9,573,956</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368" w:right="1440"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ectPr>
          <w:pgSz w:w="11900" w:h="16838" w:orient="portrait"/>
          <w:cols w:equalWidth="0" w:num="1">
            <w:col w:w="11400"/>
          </w:cols>
          <w:pgMar w:left="240" w:top="130" w:right="259" w:bottom="1440" w:gutter="0" w:footer="0" w:header="0"/>
        </w:sect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60"/>
        <w:spacing w:after="0" w:line="340" w:lineRule="auto"/>
        <w:rPr>
          <w:sz w:val="20"/>
          <w:szCs w:val="20"/>
          <w:color w:val="auto"/>
        </w:rPr>
      </w:pPr>
      <w:r>
        <w:rPr>
          <w:rFonts w:ascii="Arial" w:cs="Arial" w:eastAsia="Arial" w:hAnsi="Arial"/>
          <w:sz w:val="15"/>
          <w:szCs w:val="15"/>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31" w:lineRule="exact"/>
        <w:rPr>
          <w:sz w:val="20"/>
          <w:szCs w:val="20"/>
          <w:color w:val="auto"/>
        </w:rPr>
      </w:pPr>
    </w:p>
    <w:p>
      <w:pPr>
        <w:sectPr>
          <w:pgSz w:w="11900" w:h="16838" w:orient="portrait"/>
          <w:cols w:equalWidth="0" w:num="2">
            <w:col w:w="1240" w:space="72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Special Mention:</w:t>
      </w:r>
    </w:p>
    <w:p>
      <w:pPr>
        <w:spacing w:after="0" w:line="20" w:lineRule="exact"/>
        <w:rPr>
          <w:sz w:val="20"/>
          <w:szCs w:val="20"/>
          <w:color w:val="auto"/>
        </w:rPr>
      </w:pPr>
      <w:r>
        <w:rPr>
          <w:sz w:val="20"/>
          <w:szCs w:val="20"/>
          <w:color w:val="auto"/>
        </w:rPr>
        <w:br w:type="column"/>
      </w:r>
    </w:p>
    <w:p>
      <w:pPr>
        <w:jc w:val="both"/>
        <w:ind w:right="520"/>
        <w:spacing w:after="0" w:line="312" w:lineRule="auto"/>
        <w:rPr>
          <w:sz w:val="20"/>
          <w:szCs w:val="20"/>
          <w:color w:val="auto"/>
        </w:rPr>
      </w:pPr>
      <w:r>
        <w:rPr>
          <w:rFonts w:ascii="Arial" w:cs="Arial" w:eastAsia="Arial" w:hAnsi="Arial"/>
          <w:sz w:val="16"/>
          <w:szCs w:val="16"/>
          <w:color w:val="auto"/>
        </w:rPr>
        <w:t>Loans and leases that have potential weaknesses that deserve management’s close attention. If not addressed, these potential weaknesses may result in deterioration of the repayment prospects for the loan or lease. Management believes that there is a moderate likelihood of some loss related to those loans and leases that are considered Special Mention.</w:t>
      </w:r>
    </w:p>
    <w:p>
      <w:pPr>
        <w:spacing w:after="0" w:line="147" w:lineRule="exact"/>
        <w:rPr>
          <w:sz w:val="20"/>
          <w:szCs w:val="20"/>
          <w:color w:val="auto"/>
        </w:rPr>
      </w:pPr>
    </w:p>
    <w:p>
      <w:pPr>
        <w:sectPr>
          <w:pgSz w:w="11900" w:h="16838" w:orient="portrait"/>
          <w:cols w:equalWidth="0" w:num="2">
            <w:col w:w="1720" w:space="24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Classified:</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Company is in the process of collection and the current loan-to-value ratio is 60% or less. Home equity loans that are past due 90 days or more as to principal or interest may be considered Pass if the Company is in the process of collection, the first mortgage is with the Company, and the current combined loan-to-value ratio is 60% or less. Residential mortgage and home equity loans may be current as to principal and interest, but may be considered Classified for a period of generally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260" w:space="700"/>
            <w:col w:w="9440"/>
          </w:cols>
          <w:pgMar w:left="240" w:top="130" w:right="259" w:bottom="1440"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30" w:right="25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credit quality indicators are periodically updated on a case-by-case basis. The following presents by class and by credit quality indicator, the recorded investment in the Company’s loans and leases as of September 30, 2018 and December 31,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2"/>
              </w:rPr>
              <w:t>September 30, 2018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1,283,903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2,187,477</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173,214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171,091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3,815,685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20,841</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34,623</w:t>
            </w:r>
          </w:p>
        </w:tc>
        <w:tc>
          <w:tcPr>
            <w:tcW w:w="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1,885</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444</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57,793</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9,865</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14,920</w:t>
            </w:r>
          </w:p>
        </w:tc>
        <w:tc>
          <w:tcPr>
            <w:tcW w:w="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1,348</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697</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26,830</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1,314,609</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2,237,020</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176,447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172,232</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3,900,308</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3,590,268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1,620,882</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624,256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483,043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6,318,449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6,359</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4,326</w:t>
            </w:r>
          </w:p>
        </w:tc>
        <w:tc>
          <w:tcPr>
            <w:tcW w:w="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830</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790</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12,305</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3,596,627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1,625,208</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625,086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483,833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6,330,754</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10,231,062</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7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4"/>
              </w:rPr>
              <w:t>December 31, 2017</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1,234,738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2,046,745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198,926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180,522</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3,660,931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15,394</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35,762</w:t>
            </w:r>
          </w:p>
        </w:tc>
        <w:tc>
          <w:tcPr>
            <w:tcW w:w="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51,173</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29,215</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21,460</w:t>
            </w:r>
          </w:p>
        </w:tc>
        <w:tc>
          <w:tcPr>
            <w:tcW w:w="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3,321</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398</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54,394</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1,279,347</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2,103,967</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202,253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180,931</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3,457,531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1,580,917</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527,587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449,008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6,015,043</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9,242</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4,538</w:t>
            </w:r>
          </w:p>
        </w:tc>
        <w:tc>
          <w:tcPr>
            <w:tcW w:w="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887</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739</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15,406</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3,466,773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1,585,455</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528,474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449,747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6,030,449</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9,796,947</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4"/>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by class, an aging analysis of the Company’s loan and lease portfolio as of September 30, 2018 and December 31,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30 - 59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60 - 89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Loans and</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90 Days</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Past Due and</w:t>
            </w:r>
          </w:p>
        </w:tc>
        <w:tc>
          <w:tcPr>
            <w:tcW w:w="34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Current</w:t>
            </w:r>
          </w:p>
        </w:tc>
        <w:tc>
          <w:tcPr>
            <w:tcW w:w="3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Loans and</w:t>
            </w: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Leases that</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or More</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Accrual</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Non-Accrual</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Leases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are Current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As of September 30, 2018</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4,092</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1,205</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1,309,279</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1,314,609</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1,487</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585</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652</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2,724</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2,234,296</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2,237,020</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176,447</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176,447</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172,232</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172,232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5,579</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618</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1,857</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8,054</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3,892,254</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3,900,308</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2,335</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2,609</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2,426</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6,359</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13,729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3,582,898</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3,596,627</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3,276</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910</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3,112</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3,673</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10,971</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1,614,237</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1,625,208</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12,756</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2,342</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829</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15,927</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609,159</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625,086</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2,711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1,490</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1,727</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5,928</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477,905</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483,833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21,078</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7,351</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8,094</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10,032</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46,555</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6,284,199</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6,330,754</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1,557</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26,657</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7,969</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8,094</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11,889</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54,609</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10,176,453</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10,231,062</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257"/>
        </w:trPr>
        <w:tc>
          <w:tcPr>
            <w:tcW w:w="2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4,196</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641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5,285</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1,274,062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1,279,347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1,398</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2,101,978</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2,103,967</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202,253</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202,253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180,931</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180,931</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4,383</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1,045</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1,846</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7,274</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3,759,224</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3,766,498</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7,815</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2,008</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2,703</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9,243</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21,769</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3,445,004</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3,466,773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2,532</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2,736</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1,624</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3,991</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10,883</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1,574,572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1,585,455</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11,728</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2,232</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886</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14,846</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513,628</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528,474</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3,007</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1,639</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1,934</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6,580</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443,167</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449,747</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25,082</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8,615</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7,147</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13,234</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54,078</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5,976,371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6,030,449</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2,118</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29,465</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9,660</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7,147</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15,080</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61,352</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9,735,595</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9,796,947</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5"/>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80" w:hanging="72"/>
        <w:spacing w:after="0"/>
        <w:tabs>
          <w:tab w:leader="none" w:pos="8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impaired loans as of September 30, 2018 and December 31,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36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Unpaid</w:t>
            </w:r>
          </w:p>
        </w:tc>
        <w:tc>
          <w:tcPr>
            <w:tcW w:w="3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Related</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Principal</w:t>
            </w:r>
          </w:p>
        </w:tc>
        <w:tc>
          <w:tcPr>
            <w:tcW w:w="3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Allowance for</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Investment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Balance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Loan Losses</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September 30, 2018</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5,702</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9,402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3,155</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6,655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1,348</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1,348</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10,205</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17,405</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10,205</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17,405</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1,786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2,397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199</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199</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1,985</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2,596</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20,523</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25,239</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3,051</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2,902</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2,902</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16,006</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16,006</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2,787</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2,787</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42,218</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46,934</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3,810</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44,203</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49,530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3,945</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12,190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20,001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42,218</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46,934</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3,810</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54,408</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66,935</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3,945</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8,094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15,747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8,696</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12,196</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1,415</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1,415</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18,205</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29,358</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18,205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29,358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811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811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1,200</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1,200</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2,011</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2,011</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21,581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26,324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3,118</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1,965</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1,965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14,811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14,811</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2,645</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2,645</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41,002</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45,745</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3,775</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43,013</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47,756</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3,916</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20,216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31,369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41,002</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45,745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3,775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61,218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77,114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3,916</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25" w:name="page26"/>
    <w:bookmarkEnd w:id="25"/>
    <w:p>
      <w:pPr>
        <w:ind w:left="80" w:hanging="72"/>
        <w:spacing w:after="0"/>
        <w:tabs>
          <w:tab w:leader="none" w:pos="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Comprised of other revolving credit and installment financing.</w:t>
      </w:r>
    </w:p>
    <w:p>
      <w:pPr>
        <w:spacing w:after="0" w:line="33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96" w:right="1440" w:bottom="1440" w:gutter="0" w:footer="0" w:header="0"/>
        </w:sectPr>
      </w:pPr>
    </w:p>
    <w:bookmarkStart w:id="26" w:name="page27"/>
    <w:bookmarkEnd w:id="26"/>
    <w:p>
      <w:pPr>
        <w:spacing w:after="0" w:line="20"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presents by class, information related to the average recorded investment and interest income recognized on impaired loans for the three and nine months ended September 30, 2018 and 2017.</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9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1"/>
              </w:rPr>
              <w:t>September 30, 2018</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1"/>
              </w:rPr>
              <w:t>September 30, 2017</w:t>
            </w: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Average Recorded</w:t>
            </w:r>
          </w:p>
        </w:tc>
        <w:tc>
          <w:tcPr>
            <w:tcW w:w="420" w:type="dxa"/>
            <w:vAlign w:val="bottom"/>
          </w:tcPr>
          <w:p>
            <w:pPr>
              <w:spacing w:after="0"/>
              <w:rPr>
                <w:sz w:val="13"/>
                <w:szCs w:val="13"/>
                <w:color w:val="auto"/>
              </w:rPr>
            </w:pPr>
          </w:p>
        </w:tc>
        <w:tc>
          <w:tcPr>
            <w:tcW w:w="14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Interest Income</w:t>
            </w:r>
          </w:p>
        </w:tc>
        <w:tc>
          <w:tcPr>
            <w:tcW w:w="220" w:type="dxa"/>
            <w:vAlign w:val="bottom"/>
          </w:tcPr>
          <w:p>
            <w:pPr>
              <w:spacing w:after="0"/>
              <w:rPr>
                <w:sz w:val="13"/>
                <w:szCs w:val="13"/>
                <w:color w:val="auto"/>
              </w:rPr>
            </w:pPr>
          </w:p>
        </w:tc>
        <w:tc>
          <w:tcPr>
            <w:tcW w:w="14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8"/>
              </w:rPr>
              <w:t>Average Recorded</w:t>
            </w:r>
          </w:p>
        </w:tc>
        <w:tc>
          <w:tcPr>
            <w:tcW w:w="340" w:type="dxa"/>
            <w:vAlign w:val="bottom"/>
          </w:tcPr>
          <w:p>
            <w:pPr>
              <w:spacing w:after="0"/>
              <w:rPr>
                <w:sz w:val="13"/>
                <w:szCs w:val="13"/>
                <w:color w:val="auto"/>
              </w:rPr>
            </w:pPr>
          </w:p>
        </w:tc>
        <w:tc>
          <w:tcPr>
            <w:tcW w:w="116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Interest Income</w:t>
            </w:r>
          </w:p>
        </w:tc>
      </w:tr>
      <w:tr>
        <w:trPr>
          <w:trHeight w:val="20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Recognized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Recognized</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 with No Related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5,900</w:t>
            </w:r>
          </w:p>
        </w:tc>
        <w:tc>
          <w:tcPr>
            <w:tcW w:w="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8,592</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3,179</w:t>
            </w:r>
          </w:p>
        </w:tc>
        <w:tc>
          <w:tcPr>
            <w:tcW w:w="4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9,512</w:t>
            </w:r>
          </w:p>
        </w:tc>
        <w:tc>
          <w:tcPr>
            <w:tcW w:w="3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61</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Construction</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1,361</w:t>
            </w: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1,453</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10,440</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19,557</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 with No Related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10,440</w:t>
            </w:r>
          </w:p>
        </w:tc>
        <w:tc>
          <w:tcPr>
            <w:tcW w:w="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19,557</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 with an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1,537</w:t>
            </w:r>
          </w:p>
        </w:tc>
        <w:tc>
          <w:tcPr>
            <w:tcW w:w="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640</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211</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771</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1,748</w:t>
            </w:r>
          </w:p>
        </w:tc>
        <w:tc>
          <w:tcPr>
            <w:tcW w:w="4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1,411</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Residential Mortgage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20,571</w:t>
            </w: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456</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21,674</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Home Equity</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2,695</w:t>
            </w:r>
          </w:p>
        </w:tc>
        <w:tc>
          <w:tcPr>
            <w:tcW w:w="4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1,773</w:t>
            </w:r>
          </w:p>
        </w:tc>
        <w:tc>
          <w:tcPr>
            <w:tcW w:w="3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Automobile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16,008</w:t>
            </w: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12,895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2,826</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2,615</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Consumer</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42,100</w:t>
            </w:r>
          </w:p>
        </w:tc>
        <w:tc>
          <w:tcPr>
            <w:tcW w:w="4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846</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38,957</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498</w:t>
            </w:r>
          </w:p>
        </w:tc>
      </w:tr>
      <w:tr>
        <w:trPr>
          <w:trHeight w:val="30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Impaired Loans with an Allowance Recorded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43,848</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918</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40,368</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w:t>
            </w:r>
          </w:p>
        </w:tc>
      </w:tr>
      <w:tr>
        <w:trPr>
          <w:trHeight w:val="203"/>
        </w:trPr>
        <w:tc>
          <w:tcPr>
            <w:tcW w:w="4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Impaired Loans:</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12,188</w:t>
            </w:r>
          </w:p>
        </w:tc>
        <w:tc>
          <w:tcPr>
            <w:tcW w:w="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20,968</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42,100</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846</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38,957</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498</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54,288</w:t>
            </w:r>
          </w:p>
        </w:tc>
        <w:tc>
          <w:tcPr>
            <w:tcW w:w="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983</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59,925</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730</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3"/>
          </w:tcPr>
          <w:p>
            <w:pPr>
              <w:spacing w:after="0" w:line="20" w:lineRule="exact"/>
              <w:rPr>
                <w:sz w:val="1"/>
                <w:szCs w:val="1"/>
                <w:color w:val="auto"/>
              </w:rPr>
            </w:pPr>
          </w:p>
        </w:tc>
      </w:tr>
      <w:tr>
        <w:trPr>
          <w:trHeight w:val="355"/>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24"/>
                <w:szCs w:val="24"/>
                <w:color w:val="auto"/>
              </w:rPr>
            </w:pPr>
          </w:p>
        </w:tc>
        <w:tc>
          <w:tcPr>
            <w:tcW w:w="29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1"/>
              </w:rPr>
              <w:t>September 30, 2018</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1"/>
              </w:rPr>
              <w:t>September 30, 2017</w:t>
            </w: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Average Recorded</w:t>
            </w:r>
          </w:p>
        </w:tc>
        <w:tc>
          <w:tcPr>
            <w:tcW w:w="420" w:type="dxa"/>
            <w:vAlign w:val="bottom"/>
          </w:tcPr>
          <w:p>
            <w:pPr>
              <w:spacing w:after="0"/>
              <w:rPr>
                <w:sz w:val="13"/>
                <w:szCs w:val="13"/>
                <w:color w:val="auto"/>
              </w:rPr>
            </w:pPr>
          </w:p>
        </w:tc>
        <w:tc>
          <w:tcPr>
            <w:tcW w:w="14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Interest Income</w:t>
            </w:r>
          </w:p>
        </w:tc>
        <w:tc>
          <w:tcPr>
            <w:tcW w:w="220" w:type="dxa"/>
            <w:vAlign w:val="bottom"/>
          </w:tcPr>
          <w:p>
            <w:pPr>
              <w:spacing w:after="0"/>
              <w:rPr>
                <w:sz w:val="13"/>
                <w:szCs w:val="13"/>
                <w:color w:val="auto"/>
              </w:rPr>
            </w:pPr>
          </w:p>
        </w:tc>
        <w:tc>
          <w:tcPr>
            <w:tcW w:w="14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8"/>
              </w:rPr>
              <w:t>Average Recorded</w:t>
            </w:r>
          </w:p>
        </w:tc>
        <w:tc>
          <w:tcPr>
            <w:tcW w:w="340" w:type="dxa"/>
            <w:vAlign w:val="bottom"/>
          </w:tcPr>
          <w:p>
            <w:pPr>
              <w:spacing w:after="0"/>
              <w:rPr>
                <w:sz w:val="13"/>
                <w:szCs w:val="13"/>
                <w:color w:val="auto"/>
              </w:rPr>
            </w:pPr>
          </w:p>
        </w:tc>
        <w:tc>
          <w:tcPr>
            <w:tcW w:w="116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Interest Income</w:t>
            </w:r>
          </w:p>
        </w:tc>
      </w:tr>
      <w:tr>
        <w:trPr>
          <w:trHeight w:val="20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Recognized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Recognized</w:t>
            </w: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b w:val="1"/>
                <w:bCs w:val="1"/>
                <w:color w:val="auto"/>
              </w:rPr>
              <w:t>Impaired Loans with No Related Allowance Recorded: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6,927</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244</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8,989</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248</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5,285</w:t>
            </w: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9,390</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Construction</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1,373</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1,477</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13,585</w:t>
            </w:r>
          </w:p>
        </w:tc>
        <w:tc>
          <w:tcPr>
            <w:tcW w:w="4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19,856</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542</w:t>
            </w:r>
          </w:p>
        </w:tc>
      </w:tr>
      <w:tr>
        <w:trPr>
          <w:trHeight w:val="30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Impaired Loans with No Related Allowance Recorded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13,585</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19,856</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542</w:t>
            </w:r>
          </w:p>
        </w:tc>
      </w:tr>
      <w:tr>
        <w:trPr>
          <w:trHeight w:val="203"/>
        </w:trPr>
        <w:tc>
          <w:tcPr>
            <w:tcW w:w="4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b w:val="1"/>
                <w:bCs w:val="1"/>
                <w:color w:val="auto"/>
              </w:rPr>
              <w:t>Impaired Loans with an Allowance Recorded: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1,347</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684</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223</w:t>
            </w: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562</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1,570</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1,246</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Residential Mortgage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20,514</w:t>
            </w:r>
          </w:p>
        </w:tc>
        <w:tc>
          <w:tcPr>
            <w:tcW w:w="4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883</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23,331</w:t>
            </w:r>
          </w:p>
        </w:tc>
        <w:tc>
          <w:tcPr>
            <w:tcW w:w="3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635</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Home Equity</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2,448</w:t>
            </w: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1,642</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Automobile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15,881</w:t>
            </w:r>
          </w:p>
        </w:tc>
        <w:tc>
          <w:tcPr>
            <w:tcW w:w="4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832</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11,592</w:t>
            </w:r>
          </w:p>
        </w:tc>
        <w:tc>
          <w:tcPr>
            <w:tcW w:w="3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581</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2,800</w:t>
            </w: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2,553</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Consumer</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41,643</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1,971</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39,118</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1,435</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 with an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43,213</w:t>
            </w:r>
          </w:p>
        </w:tc>
        <w:tc>
          <w:tcPr>
            <w:tcW w:w="4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2,069</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40,364</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1,505</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15,155</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21,102</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612</w:t>
            </w:r>
          </w:p>
        </w:tc>
      </w:tr>
      <w:tr>
        <w:trPr>
          <w:trHeight w:val="270"/>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41,643</w:t>
            </w: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1,971</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39,118</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1,435</w:t>
            </w:r>
          </w:p>
        </w:tc>
      </w:tr>
      <w:tr>
        <w:trPr>
          <w:trHeight w:val="190"/>
        </w:trPr>
        <w:tc>
          <w:tcPr>
            <w:tcW w:w="4700" w:type="dxa"/>
            <w:vAlign w:val="bottom"/>
          </w:tcPr>
          <w:p>
            <w:pPr>
              <w:ind w:left="280"/>
              <w:spacing w:after="0"/>
              <w:rPr>
                <w:sz w:val="20"/>
                <w:szCs w:val="20"/>
                <w:color w:val="auto"/>
              </w:rPr>
            </w:pPr>
            <w:r>
              <w:rPr>
                <w:rFonts w:ascii="Arial" w:cs="Arial" w:eastAsia="Arial" w:hAnsi="Arial"/>
                <w:sz w:val="14"/>
                <w:szCs w:val="14"/>
                <w:color w:val="auto"/>
              </w:rPr>
              <w:t>Total Impaired Loans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56,798</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2,492</w:t>
            </w:r>
          </w:p>
        </w:tc>
        <w:tc>
          <w:tcPr>
            <w:tcW w:w="2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60,220</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2,047</w:t>
            </w:r>
          </w:p>
        </w:tc>
      </w:tr>
    </w:tbl>
    <w:p>
      <w:pPr>
        <w:sectPr>
          <w:pgSz w:w="11900" w:h="16858" w:orient="portrait"/>
          <w:cols w:equalWidth="0" w:num="1">
            <w:col w:w="11420"/>
          </w:cols>
          <w:pgMar w:left="240" w:top="130" w:right="239" w:bottom="0" w:gutter="0" w:footer="0" w:header="0"/>
        </w:sectPr>
      </w:pPr>
    </w:p>
    <w:bookmarkStart w:id="27" w:name="page28"/>
    <w:bookmarkEnd w:id="27"/>
    <w:p>
      <w:pPr>
        <w:ind w:left="80" w:hanging="72"/>
        <w:spacing w:after="0"/>
        <w:tabs>
          <w:tab w:leader="none" w:pos="80" w:val="left"/>
        </w:tabs>
        <w:numPr>
          <w:ilvl w:val="0"/>
          <w:numId w:val="8"/>
        </w:numPr>
        <w:rPr>
          <w:rFonts w:ascii="Arial" w:cs="Arial" w:eastAsia="Arial" w:hAnsi="Arial"/>
          <w:sz w:val="9"/>
          <w:szCs w:val="9"/>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123190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Comprised of other revolving credit and installment financing.</w:t>
      </w:r>
    </w:p>
    <w:p>
      <w:pPr>
        <w:spacing w:after="0" w:line="200" w:lineRule="exact"/>
        <w:rPr>
          <w:sz w:val="20"/>
          <w:szCs w:val="20"/>
          <w:color w:val="auto"/>
        </w:rPr>
      </w:pP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296" w:right="1440"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three and nine months ended September 30, 2018 and 2017, the amounts of interest income recognized by the Company within the periods that the loans were impaired were primarily related to loans modified in a troubled debt restructuring that remained on accrual status. For the three and nine months ended September 30, 2018 and 2017, the amount of interest income recognized using a cash-basis method of accounting during the periods that the loans were impaired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modification of a loan constitutes a troubled debt restructuring (“TDR”) when the Company, for economic or legal reasons related to a borrower’s financial difficulties, grants a concession to the borrower that it would not otherwise consider. Loans modified in a TDR were $52.8 million and $60.1 million as of September 30, 2018 and December 31, 2017, respectively. There were $0.1 million and $1.5 million commitments to lend additional funds on loans modified in a TDR as of September 30, 2018 and December 31, 2017, respectively.</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a lower interest rate and the loan being fully amortized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monthly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6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30" w:right="27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by class, information related to loans modified in a TDR during the three and nine months ended September 30, 2018 and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40" w:type="dxa"/>
            <w:vAlign w:val="bottom"/>
            <w:gridSpan w:val="5"/>
          </w:tcPr>
          <w:p>
            <w:pPr>
              <w:jc w:val="center"/>
              <w:ind w:right="1080"/>
              <w:spacing w:after="0"/>
              <w:rPr>
                <w:sz w:val="20"/>
                <w:szCs w:val="20"/>
                <w:color w:val="auto"/>
              </w:rPr>
            </w:pPr>
            <w:r>
              <w:rPr>
                <w:rFonts w:ascii="Arial" w:cs="Arial" w:eastAsia="Arial" w:hAnsi="Arial"/>
                <w:sz w:val="16"/>
                <w:szCs w:val="16"/>
                <w:b w:val="1"/>
                <w:bCs w:val="1"/>
                <w:color w:val="auto"/>
                <w:w w:val="93"/>
              </w:rPr>
              <w:t>Loans Modified as a TDR for the</w:t>
            </w:r>
          </w:p>
        </w:tc>
        <w:tc>
          <w:tcPr>
            <w:tcW w:w="920" w:type="dxa"/>
            <w:vAlign w:val="bottom"/>
          </w:tcPr>
          <w:p>
            <w:pPr>
              <w:spacing w:after="0"/>
              <w:rPr>
                <w:sz w:val="17"/>
                <w:szCs w:val="17"/>
                <w:color w:val="auto"/>
              </w:rPr>
            </w:pPr>
          </w:p>
        </w:tc>
        <w:tc>
          <w:tcPr>
            <w:tcW w:w="3220" w:type="dxa"/>
            <w:vAlign w:val="bottom"/>
            <w:gridSpan w:val="4"/>
          </w:tcPr>
          <w:p>
            <w:pPr>
              <w:jc w:val="right"/>
              <w:ind w:right="841"/>
              <w:spacing w:after="0"/>
              <w:rPr>
                <w:sz w:val="20"/>
                <w:szCs w:val="20"/>
                <w:color w:val="auto"/>
              </w:rPr>
            </w:pPr>
            <w:r>
              <w:rPr>
                <w:rFonts w:ascii="Arial" w:cs="Arial" w:eastAsia="Arial" w:hAnsi="Arial"/>
                <w:sz w:val="16"/>
                <w:szCs w:val="16"/>
                <w:b w:val="1"/>
                <w:bCs w:val="1"/>
                <w:color w:val="auto"/>
                <w:w w:val="93"/>
              </w:rPr>
              <w:t>Loans Modified as a TDR for the</w:t>
            </w:r>
          </w:p>
        </w:tc>
      </w:tr>
      <w:tr>
        <w:trPr>
          <w:trHeight w:val="210"/>
        </w:trPr>
        <w:tc>
          <w:tcPr>
            <w:tcW w:w="2880" w:type="dxa"/>
            <w:vAlign w:val="bottom"/>
          </w:tcPr>
          <w:p>
            <w:pPr>
              <w:spacing w:after="0"/>
              <w:rPr>
                <w:sz w:val="18"/>
                <w:szCs w:val="18"/>
                <w:color w:val="auto"/>
              </w:rPr>
            </w:pPr>
          </w:p>
        </w:tc>
        <w:tc>
          <w:tcPr>
            <w:tcW w:w="44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1"/>
              </w:rPr>
              <w:t>Three Months Ended September 30, 2018</w:t>
            </w:r>
          </w:p>
        </w:tc>
        <w:tc>
          <w:tcPr>
            <w:tcW w:w="4140" w:type="dxa"/>
            <w:vAlign w:val="bottom"/>
            <w:gridSpan w:val="5"/>
          </w:tcPr>
          <w:p>
            <w:pPr>
              <w:jc w:val="right"/>
              <w:ind w:right="541"/>
              <w:spacing w:after="0"/>
              <w:rPr>
                <w:sz w:val="20"/>
                <w:szCs w:val="20"/>
                <w:color w:val="auto"/>
              </w:rPr>
            </w:pPr>
            <w:r>
              <w:rPr>
                <w:rFonts w:ascii="Arial" w:cs="Arial" w:eastAsia="Arial" w:hAnsi="Arial"/>
                <w:sz w:val="16"/>
                <w:szCs w:val="16"/>
                <w:b w:val="1"/>
                <w:bCs w:val="1"/>
                <w:color w:val="auto"/>
              </w:rPr>
              <w:t>Three Months Ended September 30, 2017</w:t>
            </w:r>
          </w:p>
        </w:tc>
      </w:tr>
      <w:tr>
        <w:trPr>
          <w:trHeight w:val="33"/>
        </w:trPr>
        <w:tc>
          <w:tcPr>
            <w:tcW w:w="28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2"/>
        </w:trPr>
        <w:tc>
          <w:tcPr>
            <w:tcW w:w="2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Increase in</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Allowance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89"/>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(as of period end)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233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198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1,307</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w:t>
            </w:r>
          </w:p>
        </w:tc>
      </w:tr>
      <w:tr>
        <w:trPr>
          <w:trHeight w:val="231"/>
        </w:trPr>
        <w:tc>
          <w:tcPr>
            <w:tcW w:w="28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233</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1,505</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93</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296</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434</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960" w:type="dxa"/>
            <w:vAlign w:val="bottom"/>
          </w:tcPr>
          <w:p>
            <w:pPr>
              <w:jc w:val="right"/>
              <w:spacing w:after="0"/>
              <w:rPr>
                <w:sz w:val="20"/>
                <w:szCs w:val="20"/>
                <w:color w:val="auto"/>
              </w:rPr>
            </w:pPr>
            <w:r>
              <w:rPr>
                <w:rFonts w:ascii="Arial" w:cs="Arial" w:eastAsia="Arial" w:hAnsi="Arial"/>
                <w:sz w:val="16"/>
                <w:szCs w:val="16"/>
                <w:color w:val="auto"/>
              </w:rPr>
              <w:t>87</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1,700</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2,636</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59</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8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326</w:t>
            </w: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383</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r>
      <w:tr>
        <w:trPr>
          <w:trHeight w:val="231"/>
        </w:trPr>
        <w:tc>
          <w:tcPr>
            <w:tcW w:w="288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960" w:type="dxa"/>
            <w:vAlign w:val="bottom"/>
          </w:tcPr>
          <w:p>
            <w:pPr>
              <w:jc w:val="right"/>
              <w:spacing w:after="0"/>
              <w:rPr>
                <w:sz w:val="20"/>
                <w:szCs w:val="20"/>
                <w:color w:val="auto"/>
              </w:rPr>
            </w:pPr>
            <w:r>
              <w:rPr>
                <w:rFonts w:ascii="Arial" w:cs="Arial" w:eastAsia="Arial" w:hAnsi="Arial"/>
                <w:sz w:val="16"/>
                <w:szCs w:val="16"/>
                <w:color w:val="auto"/>
              </w:rPr>
              <w:t>140</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2,756</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3,222</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69</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2,989</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4,727</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162</w:t>
            </w:r>
          </w:p>
        </w:tc>
      </w:tr>
      <w:tr>
        <w:trPr>
          <w:trHeight w:val="20"/>
        </w:trPr>
        <w:tc>
          <w:tcPr>
            <w:tcW w:w="2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40" w:type="dxa"/>
            <w:vAlign w:val="bottom"/>
            <w:gridSpan w:val="5"/>
          </w:tcPr>
          <w:p>
            <w:pPr>
              <w:jc w:val="center"/>
              <w:ind w:right="1080"/>
              <w:spacing w:after="0"/>
              <w:rPr>
                <w:sz w:val="20"/>
                <w:szCs w:val="20"/>
                <w:color w:val="auto"/>
              </w:rPr>
            </w:pPr>
            <w:r>
              <w:rPr>
                <w:rFonts w:ascii="Arial" w:cs="Arial" w:eastAsia="Arial" w:hAnsi="Arial"/>
                <w:sz w:val="16"/>
                <w:szCs w:val="16"/>
                <w:b w:val="1"/>
                <w:bCs w:val="1"/>
                <w:color w:val="auto"/>
                <w:w w:val="93"/>
              </w:rPr>
              <w:t>Loans Modified as a TDR for the</w:t>
            </w:r>
          </w:p>
        </w:tc>
        <w:tc>
          <w:tcPr>
            <w:tcW w:w="920" w:type="dxa"/>
            <w:vAlign w:val="bottom"/>
          </w:tcPr>
          <w:p>
            <w:pPr>
              <w:spacing w:after="0"/>
              <w:rPr>
                <w:sz w:val="17"/>
                <w:szCs w:val="17"/>
                <w:color w:val="auto"/>
              </w:rPr>
            </w:pPr>
          </w:p>
        </w:tc>
        <w:tc>
          <w:tcPr>
            <w:tcW w:w="3220" w:type="dxa"/>
            <w:vAlign w:val="bottom"/>
            <w:gridSpan w:val="4"/>
          </w:tcPr>
          <w:p>
            <w:pPr>
              <w:jc w:val="right"/>
              <w:ind w:right="841"/>
              <w:spacing w:after="0"/>
              <w:rPr>
                <w:sz w:val="20"/>
                <w:szCs w:val="20"/>
                <w:color w:val="auto"/>
              </w:rPr>
            </w:pPr>
            <w:r>
              <w:rPr>
                <w:rFonts w:ascii="Arial" w:cs="Arial" w:eastAsia="Arial" w:hAnsi="Arial"/>
                <w:sz w:val="16"/>
                <w:szCs w:val="16"/>
                <w:b w:val="1"/>
                <w:bCs w:val="1"/>
                <w:color w:val="auto"/>
                <w:w w:val="93"/>
              </w:rPr>
              <w:t>Loans Modified as a TDR for the</w:t>
            </w:r>
          </w:p>
        </w:tc>
      </w:tr>
      <w:tr>
        <w:trPr>
          <w:trHeight w:val="210"/>
        </w:trPr>
        <w:tc>
          <w:tcPr>
            <w:tcW w:w="2880" w:type="dxa"/>
            <w:vAlign w:val="bottom"/>
          </w:tcPr>
          <w:p>
            <w:pPr>
              <w:spacing w:after="0"/>
              <w:rPr>
                <w:sz w:val="18"/>
                <w:szCs w:val="18"/>
                <w:color w:val="auto"/>
              </w:rPr>
            </w:pPr>
          </w:p>
        </w:tc>
        <w:tc>
          <w:tcPr>
            <w:tcW w:w="44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1"/>
              </w:rPr>
              <w:t>Nine Months Ended September 30, 2018</w:t>
            </w:r>
          </w:p>
        </w:tc>
        <w:tc>
          <w:tcPr>
            <w:tcW w:w="4140" w:type="dxa"/>
            <w:vAlign w:val="bottom"/>
            <w:gridSpan w:val="5"/>
          </w:tcPr>
          <w:p>
            <w:pPr>
              <w:jc w:val="right"/>
              <w:ind w:right="581"/>
              <w:spacing w:after="0"/>
              <w:rPr>
                <w:sz w:val="20"/>
                <w:szCs w:val="20"/>
                <w:color w:val="auto"/>
              </w:rPr>
            </w:pPr>
            <w:r>
              <w:rPr>
                <w:rFonts w:ascii="Arial" w:cs="Arial" w:eastAsia="Arial" w:hAnsi="Arial"/>
                <w:sz w:val="16"/>
                <w:szCs w:val="16"/>
                <w:b w:val="1"/>
                <w:bCs w:val="1"/>
                <w:color w:val="auto"/>
              </w:rPr>
              <w:t>Nine Months Ended September 30, 2017</w:t>
            </w:r>
          </w:p>
        </w:tc>
      </w:tr>
      <w:tr>
        <w:trPr>
          <w:trHeight w:val="33"/>
        </w:trPr>
        <w:tc>
          <w:tcPr>
            <w:tcW w:w="28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2"/>
        </w:trPr>
        <w:tc>
          <w:tcPr>
            <w:tcW w:w="2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Increase in</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Allowance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7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(as of period end)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37"/>
        </w:trPr>
        <w:tc>
          <w:tcPr>
            <w:tcW w:w="288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1,450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7,485</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Commercial Mortgage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2,007</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93</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1,450</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9,492</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w:t>
            </w:r>
          </w:p>
        </w:tc>
      </w:tr>
      <w:tr>
        <w:trPr>
          <w:trHeight w:val="231"/>
        </w:trPr>
        <w:tc>
          <w:tcPr>
            <w:tcW w:w="28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Consumer</w:t>
            </w:r>
          </w:p>
        </w:tc>
        <w:tc>
          <w:tcPr>
            <w:tcW w:w="9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749</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971</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442</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5</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5,196</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6,657</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w:t>
            </w:r>
          </w:p>
        </w:tc>
      </w:tr>
      <w:tr>
        <w:trPr>
          <w:trHeight w:val="270"/>
        </w:trPr>
        <w:tc>
          <w:tcPr>
            <w:tcW w:w="28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1,182</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1,131</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w:t>
            </w: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8,098</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8,230</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182</w:t>
            </w:r>
          </w:p>
        </w:tc>
      </w:tr>
      <w:tr>
        <w:trPr>
          <w:trHeight w:val="231"/>
        </w:trPr>
        <w:tc>
          <w:tcPr>
            <w:tcW w:w="28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9,548</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285</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17,722</w:t>
            </w:r>
          </w:p>
        </w:tc>
        <w:tc>
          <w:tcPr>
            <w:tcW w:w="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287</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following presents by class, all loans modified in a TDR that defaulted during the three and nine months ended September 30, 2018 and 2017, and within twelve months of their modification date. A TDR is considered to be in default once it becomes 60 days or more past due following a modification.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September 30, 2018</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September 30, 2017</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Recorded</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40" w:type="dxa"/>
            <w:vAlign w:val="bottom"/>
          </w:tcPr>
          <w:p>
            <w:pPr>
              <w:jc w:val="right"/>
              <w:ind w:right="121"/>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132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89"/>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12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266</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15</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28</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174</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1"/>
        </w:trPr>
        <w:tc>
          <w:tcPr>
            <w:tcW w:w="516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40</w:t>
            </w:r>
          </w:p>
        </w:tc>
        <w:tc>
          <w:tcPr>
            <w:tcW w:w="34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440</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28</w:t>
            </w:r>
          </w:p>
        </w:tc>
        <w:tc>
          <w:tcPr>
            <w:tcW w:w="360" w:type="dxa"/>
            <w:vAlign w:val="bottom"/>
          </w:tcPr>
          <w:p>
            <w:pPr>
              <w:spacing w:after="0"/>
              <w:rPr>
                <w:sz w:val="20"/>
                <w:szCs w:val="20"/>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40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440</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28</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ind w:left="820"/>
              <w:spacing w:after="0"/>
              <w:rPr>
                <w:sz w:val="20"/>
                <w:szCs w:val="20"/>
                <w:color w:val="auto"/>
              </w:rPr>
            </w:pPr>
            <w:r>
              <w:rPr>
                <w:rFonts w:ascii="Arial" w:cs="Arial" w:eastAsia="Arial" w:hAnsi="Arial"/>
                <w:sz w:val="16"/>
                <w:szCs w:val="16"/>
                <w:b w:val="1"/>
                <w:bCs w:val="1"/>
                <w:color w:val="auto"/>
              </w:rPr>
              <w:t>Nine Months Ended</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20" w:type="dxa"/>
            <w:vAlign w:val="bottom"/>
            <w:gridSpan w:val="4"/>
          </w:tcPr>
          <w:p>
            <w:pPr>
              <w:ind w:left="820"/>
              <w:spacing w:after="0"/>
              <w:rPr>
                <w:sz w:val="20"/>
                <w:szCs w:val="20"/>
                <w:color w:val="auto"/>
              </w:rPr>
            </w:pPr>
            <w:r>
              <w:rPr>
                <w:rFonts w:ascii="Arial" w:cs="Arial" w:eastAsia="Arial" w:hAnsi="Arial"/>
                <w:sz w:val="16"/>
                <w:szCs w:val="16"/>
                <w:b w:val="1"/>
                <w:bCs w:val="1"/>
                <w:color w:val="auto"/>
              </w:rPr>
              <w:t>September 30, 2018</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September 30, 2017</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Recorded</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40" w:type="dxa"/>
            <w:vAlign w:val="bottom"/>
          </w:tcPr>
          <w:p>
            <w:pPr>
              <w:jc w:val="right"/>
              <w:ind w:right="121"/>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132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1"/>
        </w:trPr>
        <w:tc>
          <w:tcPr>
            <w:tcW w:w="51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34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Consumer</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32</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614</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23</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56</w:t>
            </w: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382</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33</w:t>
            </w:r>
          </w:p>
        </w:tc>
        <w:tc>
          <w:tcPr>
            <w:tcW w:w="3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88</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996</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56</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31"/>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88</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996</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57</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$4.3 million as of September 30,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29"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 xml:space="preserve">The Company’s portfolio of residential mortgage loans serviced for third parties was $2.9 billion as of September 30, 2018 and December 31, 2017. Substantially all of these loans were originated by the Company and sold to third parties on a non-recourse basis with servicing rights retained. These retained servicing rights are recorded as a servicing asset and are initially recorded at fair value (see Note 14 </w:t>
      </w:r>
      <w:r>
        <w:rPr>
          <w:rFonts w:ascii="Arial" w:cs="Arial" w:eastAsia="Arial" w:hAnsi="Arial"/>
          <w:sz w:val="18"/>
          <w:szCs w:val="18"/>
          <w:i w:val="1"/>
          <w:iCs w:val="1"/>
          <w:color w:val="auto"/>
        </w:rPr>
        <w:t>Fair Value of Assets and Liabilities</w:t>
      </w:r>
      <w:r>
        <w:rPr>
          <w:rFonts w:ascii="Arial" w:cs="Arial" w:eastAsia="Arial" w:hAnsi="Arial"/>
          <w:sz w:val="18"/>
          <w:szCs w:val="18"/>
          <w:color w:val="auto"/>
        </w:rPr>
        <w:t xml:space="preserve"> for more information). Changes to the balance of mortgage servicing rights are recorded in mortgage banking income in the Company’s consolidated statements of income.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$1.8 million for the three months ended September 30, 2018 and 2017, and $5.4 million and $5.3 million for the nine months ended September 30, 2018 and 2017, respectively. Servicing income is recorded in mortgage banking income in the Company’s consolidated statements of income. The Company’s residential mortgage investor loan servicing portfolio is primarily comprised of fixed rate loans concentrated in Hawaii.</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three and nine months ended September 30, 2018 and 2017, the change in the carrying value of the Company’s mortgage servicing rights accounted for under the fair value measurement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9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1,366</w:t>
            </w:r>
          </w:p>
        </w:tc>
        <w:tc>
          <w:tcPr>
            <w:tcW w:w="9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1,454</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1,655</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Change in Fair Value:</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Due to Payoffs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9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w:t>
            </w: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Changes in Fair Value of Mortgage Servicing Rights</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w:t>
            </w:r>
          </w:p>
        </w:tc>
        <w:tc>
          <w:tcPr>
            <w:tcW w:w="9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(127)</w:t>
            </w:r>
          </w:p>
        </w:tc>
        <w:tc>
          <w:tcPr>
            <w:tcW w:w="8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1,327</w:t>
            </w:r>
          </w:p>
        </w:tc>
        <w:tc>
          <w:tcPr>
            <w:tcW w:w="9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1,509</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1,327</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1,509</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three and nine months ended September 30, 2018 and 2017, the change in the carrying value of the Company’s mortgage servicing rights accounted for under the amortization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23,217</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22,923</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23,168</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Servicing Rights that Resulted From Asset Transfers</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562</w:t>
            </w:r>
          </w:p>
        </w:tc>
        <w:tc>
          <w:tcPr>
            <w:tcW w:w="8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1,957</w:t>
            </w:r>
          </w:p>
        </w:tc>
        <w:tc>
          <w:tcPr>
            <w:tcW w:w="8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3,176</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(643)</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(1,989)</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(2,047)</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Valuation Allowance Provision</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23,136</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22,927</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23,136</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22,927</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Valuation Allowance:</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Valuation Allowance Provision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r>
      <w:tr>
        <w:trPr>
          <w:trHeight w:val="73"/>
        </w:trPr>
        <w:tc>
          <w:tcPr>
            <w:tcW w:w="52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197"/>
        </w:trPr>
        <w:tc>
          <w:tcPr>
            <w:tcW w:w="5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Fair Value of Mortgage Servicing Rights Accounted for</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5260" w:type="dxa"/>
            <w:vAlign w:val="bottom"/>
          </w:tcPr>
          <w:p>
            <w:pPr>
              <w:ind w:left="320"/>
              <w:spacing w:after="0"/>
              <w:rPr>
                <w:sz w:val="20"/>
                <w:szCs w:val="20"/>
                <w:color w:val="auto"/>
              </w:rPr>
            </w:pPr>
            <w:r>
              <w:rPr>
                <w:rFonts w:ascii="Arial" w:cs="Arial" w:eastAsia="Arial" w:hAnsi="Arial"/>
                <w:sz w:val="16"/>
                <w:szCs w:val="16"/>
                <w:b w:val="1"/>
                <w:bCs w:val="1"/>
                <w:color w:val="auto"/>
              </w:rPr>
              <w:t>Under the Amortization Method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29,746</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25,479</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26,716</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25,148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End of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30,063</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23,761</w:t>
            </w:r>
          </w:p>
        </w:tc>
        <w:tc>
          <w:tcPr>
            <w:tcW w:w="2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30,063</w:t>
            </w:r>
          </w:p>
        </w:tc>
        <w:tc>
          <w:tcPr>
            <w:tcW w:w="8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23,761</w:t>
            </w:r>
          </w:p>
        </w:tc>
      </w:tr>
    </w:tbl>
    <w:p>
      <w:pPr>
        <w:spacing w:after="0" w:line="23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September 30, 2018 and December 31, 2017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4200" w:type="dxa"/>
            <w:vAlign w:val="bottom"/>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840" w:type="dxa"/>
            <w:vAlign w:val="bottom"/>
          </w:tcPr>
          <w:p>
            <w:pPr>
              <w:spacing w:after="0"/>
              <w:rPr>
                <w:sz w:val="18"/>
                <w:szCs w:val="18"/>
                <w:color w:val="auto"/>
              </w:rPr>
            </w:pPr>
          </w:p>
        </w:tc>
        <w:tc>
          <w:tcPr>
            <w:tcW w:w="42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33"/>
        </w:trPr>
        <w:tc>
          <w:tcPr>
            <w:tcW w:w="58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Weighted-Average Constant Prepayment Rate </w:t>
            </w:r>
            <w:r>
              <w:rPr>
                <w:rFonts w:ascii="Arial" w:cs="Arial" w:eastAsia="Arial" w:hAnsi="Arial"/>
                <w:sz w:val="21"/>
                <w:szCs w:val="21"/>
                <w:color w:val="auto"/>
                <w:vertAlign w:val="superscript"/>
              </w:rPr>
              <w:t>1</w:t>
            </w:r>
          </w:p>
        </w:tc>
        <w:tc>
          <w:tcPr>
            <w:tcW w:w="4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6.36%</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37"/>
        </w:trPr>
        <w:tc>
          <w:tcPr>
            <w:tcW w:w="5840" w:type="dxa"/>
            <w:vAlign w:val="bottom"/>
          </w:tcPr>
          <w:p>
            <w:pPr>
              <w:ind w:left="40"/>
              <w:spacing w:after="0"/>
              <w:rPr>
                <w:sz w:val="20"/>
                <w:szCs w:val="20"/>
                <w:color w:val="auto"/>
              </w:rPr>
            </w:pPr>
            <w:r>
              <w:rPr>
                <w:rFonts w:ascii="Arial" w:cs="Arial" w:eastAsia="Arial" w:hAnsi="Arial"/>
                <w:sz w:val="16"/>
                <w:szCs w:val="16"/>
                <w:color w:val="auto"/>
              </w:rPr>
              <w:t>Weighted-Average Life (in years)</w:t>
            </w:r>
          </w:p>
        </w:tc>
        <w:tc>
          <w:tcPr>
            <w:tcW w:w="4200" w:type="dxa"/>
            <w:vAlign w:val="bottom"/>
          </w:tcPr>
          <w:p>
            <w:pPr>
              <w:jc w:val="right"/>
              <w:ind w:right="319"/>
              <w:spacing w:after="0"/>
              <w:rPr>
                <w:sz w:val="20"/>
                <w:szCs w:val="20"/>
                <w:color w:val="auto"/>
              </w:rPr>
            </w:pPr>
            <w:r>
              <w:rPr>
                <w:rFonts w:ascii="Arial" w:cs="Arial" w:eastAsia="Arial" w:hAnsi="Arial"/>
                <w:sz w:val="16"/>
                <w:szCs w:val="16"/>
                <w:color w:val="auto"/>
              </w:rPr>
              <w:t>8.28</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7.09</w:t>
            </w:r>
          </w:p>
        </w:tc>
      </w:tr>
      <w:tr>
        <w:trPr>
          <w:trHeight w:val="33"/>
        </w:trPr>
        <w:tc>
          <w:tcPr>
            <w:tcW w:w="58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Note Rate</w:t>
            </w:r>
          </w:p>
        </w:tc>
        <w:tc>
          <w:tcPr>
            <w:tcW w:w="4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311"/>
        </w:trPr>
        <w:tc>
          <w:tcPr>
            <w:tcW w:w="5840" w:type="dxa"/>
            <w:vAlign w:val="bottom"/>
          </w:tcPr>
          <w:p>
            <w:pPr>
              <w:spacing w:after="0"/>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2</w:t>
            </w:r>
          </w:p>
        </w:tc>
        <w:tc>
          <w:tcPr>
            <w:tcW w:w="4200" w:type="dxa"/>
            <w:vAlign w:val="bottom"/>
          </w:tcPr>
          <w:p>
            <w:pPr>
              <w:jc w:val="right"/>
              <w:ind w:right="179"/>
              <w:spacing w:after="0"/>
              <w:rPr>
                <w:sz w:val="20"/>
                <w:szCs w:val="20"/>
                <w:color w:val="auto"/>
              </w:rPr>
            </w:pPr>
            <w:r>
              <w:rPr>
                <w:rFonts w:ascii="Arial" w:cs="Arial" w:eastAsia="Arial" w:hAnsi="Arial"/>
                <w:sz w:val="16"/>
                <w:szCs w:val="16"/>
                <w:color w:val="auto"/>
              </w:rPr>
              <w:t>9.94%</w:t>
            </w:r>
          </w:p>
        </w:tc>
        <w:tc>
          <w:tcPr>
            <w:tcW w:w="1380" w:type="dxa"/>
            <w:vAlign w:val="bottom"/>
          </w:tcPr>
          <w:p>
            <w:pPr>
              <w:jc w:val="right"/>
              <w:spacing w:after="0"/>
              <w:rPr>
                <w:sz w:val="20"/>
                <w:szCs w:val="20"/>
                <w:color w:val="auto"/>
              </w:rPr>
            </w:pPr>
            <w:r>
              <w:rPr>
                <w:rFonts w:ascii="Arial" w:cs="Arial" w:eastAsia="Arial" w:hAnsi="Arial"/>
                <w:sz w:val="16"/>
                <w:szCs w:val="16"/>
                <w:color w:val="auto"/>
              </w:rPr>
              <w:t>8.87%</w:t>
            </w:r>
          </w:p>
        </w:tc>
      </w:tr>
    </w:tbl>
    <w:p>
      <w:pPr>
        <w:spacing w:after="0" w:line="156"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3" w:lineRule="exact"/>
        <w:rPr>
          <w:sz w:val="20"/>
          <w:szCs w:val="20"/>
          <w:color w:val="auto"/>
        </w:rPr>
      </w:pP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September 30, 2018 and December 31, 2017 is presented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Constant Prepayment Rate</w:t>
            </w:r>
          </w:p>
        </w:tc>
        <w:tc>
          <w:tcPr>
            <w:tcW w:w="2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25 basis points (“bps”) adverse change</w:t>
            </w: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(371)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33"/>
        </w:trPr>
        <w:tc>
          <w:tcPr>
            <w:tcW w:w="6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(736)</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25 bps adverse change</w:t>
            </w:r>
          </w:p>
        </w:tc>
        <w:tc>
          <w:tcPr>
            <w:tcW w:w="2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(337)</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1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(668)</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(572)</w:t>
            </w:r>
          </w:p>
        </w:tc>
      </w:tr>
    </w:tbl>
    <w:p>
      <w:pPr>
        <w:spacing w:after="0" w:line="23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Affordable Housing Projects Tax Credit Partnerships</w:t>
      </w:r>
    </w:p>
    <w:p>
      <w:pPr>
        <w:spacing w:after="0" w:line="243" w:lineRule="exact"/>
        <w:rPr>
          <w:sz w:val="20"/>
          <w:szCs w:val="20"/>
          <w:color w:val="auto"/>
        </w:rPr>
      </w:pPr>
    </w:p>
    <w:p>
      <w:pPr>
        <w:jc w:val="both"/>
        <w:ind w:right="340"/>
        <w:spacing w:after="0" w:line="276" w:lineRule="auto"/>
        <w:rPr>
          <w:sz w:val="20"/>
          <w:szCs w:val="20"/>
          <w:color w:val="auto"/>
        </w:rPr>
      </w:pPr>
      <w:r>
        <w:rPr>
          <w:rFonts w:ascii="Arial" w:cs="Arial" w:eastAsia="Arial" w:hAnsi="Arial"/>
          <w:sz w:val="17"/>
          <w:szCs w:val="17"/>
          <w:color w:val="auto"/>
        </w:rPr>
        <w:t>The Company makes equity investments in various limited partnerships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 limited partnerships include the identification, development, and operation of multi-family housing that is leased to qualifying residential tenants. Generally, these types of investments are funded through a combination of debt and equity.</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 a limited partner in each LIHTC limited partnership. Each limited partnership is managed by an unrelated third party general partner who exercises significant control over the affairs of the limited partnership. The general partner has all the rights, powers and authority granted or permitted to be granted to a general partner of a limited partnership. Duties entrusted to the general partner of each limited partnership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relating to the approval of certain transactions, the limited partner(s) may not participate in the operation, management, or control of the limited partnership’s business, transact any business in the limited partnership’s name or have any power to sign documents for or otherwise bind the limited partnership. In addition, the general partner may only be removed by the limited partner(s) in the event the general partner fails to comply with the terms of the agreement or is negligent in performing its duties.</w:t>
      </w:r>
    </w:p>
    <w:p>
      <w:pPr>
        <w:spacing w:after="0" w:line="178"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general partner of each limited partnership has both the power to direct the activities which most significantly affect the performance of each partnership and the obligation to absorb losses or the right to receive benefits that could be significant to the entities. Therefore, the Company has determined that it is not the primary beneficiary of any LIHTC partnership. The Company uses the effective yield method to account for its pre-2015 investments in these entities.</w:t>
      </w:r>
    </w:p>
    <w:p>
      <w:pPr>
        <w:ind w:right="80"/>
        <w:spacing w:after="0" w:line="302" w:lineRule="auto"/>
        <w:rPr>
          <w:sz w:val="20"/>
          <w:szCs w:val="20"/>
          <w:color w:val="auto"/>
        </w:rPr>
      </w:pPr>
      <w:r>
        <w:rPr>
          <w:rFonts w:ascii="Arial" w:cs="Arial" w:eastAsia="Arial" w:hAnsi="Arial"/>
          <w:sz w:val="16"/>
          <w:szCs w:val="16"/>
          <w:color w:val="auto"/>
        </w:rPr>
        <w:t>Beginning January 1, 2015, any new investments that meet the requirements of the proportional amortization method are recognized using the proportional amortization method. The Company’s net affordable housing tax credit investments and related unfunded commitments were $68.1 million and $71.7 million as of September 30, 2018 and December 31, 2017, respectively, and are included in other assets in the consolidated statements of condition.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expected payments for unfunded affordable housing commitments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5,385</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2019</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9,114</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2021</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703</w:t>
            </w:r>
          </w:p>
        </w:tc>
      </w:tr>
      <w:tr>
        <w:trPr>
          <w:trHeight w:val="33"/>
        </w:trPr>
        <w:tc>
          <w:tcPr>
            <w:tcW w:w="61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Unfunded Commitments</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15,386</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three and nine months ended September 30, 2018 and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64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8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6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Yield Method</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3,380</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3,414</w:t>
            </w:r>
          </w:p>
        </w:tc>
        <w:tc>
          <w:tcPr>
            <w:tcW w:w="2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10,192</w:t>
            </w:r>
          </w:p>
        </w:tc>
        <w:tc>
          <w:tcPr>
            <w:tcW w:w="6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10,282</w:t>
            </w:r>
          </w:p>
        </w:tc>
      </w:tr>
      <w:tr>
        <w:trPr>
          <w:trHeight w:val="33"/>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2,078</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2,105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6,233</w:t>
            </w: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6,403</w:t>
            </w:r>
          </w:p>
        </w:tc>
      </w:tr>
      <w:tr>
        <w:trPr>
          <w:trHeight w:val="270"/>
        </w:trPr>
        <w:tc>
          <w:tcPr>
            <w:tcW w:w="6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Proportional Amortization Method</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410</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440</w:t>
            </w:r>
          </w:p>
        </w:tc>
        <w:tc>
          <w:tcPr>
            <w:tcW w:w="2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1,231</w:t>
            </w:r>
          </w:p>
        </w:tc>
        <w:tc>
          <w:tcPr>
            <w:tcW w:w="6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1,201</w:t>
            </w:r>
          </w:p>
        </w:tc>
      </w:tr>
      <w:tr>
        <w:trPr>
          <w:trHeight w:val="33"/>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6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333</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358</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999</w:t>
            </w:r>
          </w:p>
        </w:tc>
        <w:tc>
          <w:tcPr>
            <w:tcW w:w="6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r>
      <w:tr>
        <w:trPr>
          <w:trHeight w:val="33"/>
        </w:trPr>
        <w:tc>
          <w:tcPr>
            <w:tcW w:w="6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There were no impairment losses related to LIHTC investments during the nine months ended September 30, 2018 and 2017. During the first quarter of 2018, the Company recorded a $2.0 million adjustment to increase its LIHTC investments. This adjustment resulted in a decrease to provision for income tax.</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Offsetting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 (“Swap Agreements”)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highly-rated third 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 marketable securities, is posted by the party (i.e., the Company or the financial institution counterparty) with net liability positions in accordance with contract thresholds. The Company had net liability positions with its financial institution counterparties totaling $0.1 million and $3.2 million as of September 30, 2018 and December 31, 2017, respectively. See Note 12 </w:t>
      </w:r>
      <w:r>
        <w:rPr>
          <w:rFonts w:ascii="Arial" w:cs="Arial" w:eastAsia="Arial" w:hAnsi="Arial"/>
          <w:sz w:val="17"/>
          <w:szCs w:val="17"/>
          <w:i w:val="1"/>
          <w:iCs w:val="1"/>
          <w:color w:val="auto"/>
        </w:rPr>
        <w:t>Derivative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for more information.</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Parties to a centrally cleared over-the-counter derivative exchange daily payments that reflect the daily change in value of the derivative. Effective 2017, these payments, commonly referred to as variation margin, are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 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September 30, 2018 and December 31, 2017, disaggregated by the class of collateral pledged.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8"/>
          </w:tcPr>
          <w:p>
            <w:pPr>
              <w:jc w:val="right"/>
              <w:spacing w:after="0"/>
              <w:rPr>
                <w:sz w:val="20"/>
                <w:szCs w:val="20"/>
                <w:color w:val="auto"/>
              </w:rPr>
            </w:pPr>
            <w:r>
              <w:rPr>
                <w:rFonts w:ascii="Arial" w:cs="Arial" w:eastAsia="Arial" w:hAnsi="Arial"/>
                <w:sz w:val="16"/>
                <w:szCs w:val="16"/>
                <w:b w:val="1"/>
                <w:bCs w:val="1"/>
                <w:color w:val="auto"/>
              </w:rPr>
              <w:t>Remaining Contractual Maturity of Repurchase Agreements</w:t>
            </w:r>
          </w:p>
        </w:tc>
        <w:tc>
          <w:tcPr>
            <w:tcW w:w="62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Up to</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b w:val="1"/>
                <w:bCs w:val="1"/>
                <w:color w:val="auto"/>
              </w:rPr>
              <w:t>After</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7"/>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90 days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88"/>
              </w:rPr>
              <w:t>91-365 days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1-3 Years</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 Years</w:t>
            </w: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Total</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September 30, 2018</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205,002</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197,545</w:t>
            </w:r>
          </w:p>
        </w:tc>
        <w:tc>
          <w:tcPr>
            <w:tcW w:w="4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2"/>
              </w:rPr>
              <w:t>402,547</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1,188</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2,300</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3,488</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805</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69,171</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27,455</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97,431</w:t>
            </w:r>
          </w:p>
        </w:tc>
      </w:tr>
      <w:tr>
        <w:trPr>
          <w:trHeight w:val="27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827</w:t>
            </w: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827</w:t>
            </w:r>
          </w:p>
        </w:tc>
      </w:tr>
      <w:tr>
        <w:trPr>
          <w:trHeight w:val="304"/>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1,993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2,300</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275,000</w:t>
            </w:r>
          </w:p>
        </w:tc>
        <w:tc>
          <w:tcPr>
            <w:tcW w:w="3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225,000</w:t>
            </w:r>
          </w:p>
        </w:tc>
        <w:tc>
          <w:tcPr>
            <w:tcW w:w="4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2"/>
              </w:rPr>
              <w:t>504,293</w:t>
            </w:r>
          </w:p>
        </w:tc>
      </w:tr>
      <w:tr>
        <w:trPr>
          <w:trHeight w:val="160"/>
        </w:trPr>
        <w:tc>
          <w:tcPr>
            <w:tcW w:w="5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110,392</w:t>
            </w:r>
          </w:p>
        </w:tc>
        <w:tc>
          <w:tcPr>
            <w:tcW w:w="3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202,484</w:t>
            </w:r>
          </w:p>
        </w:tc>
        <w:tc>
          <w:tcPr>
            <w:tcW w:w="48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2"/>
              </w:rPr>
              <w:t>312,876</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1,200</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2,590</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3,790</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1,503</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18,793</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80,960</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2"/>
              </w:rPr>
              <w:t>101,256</w:t>
            </w:r>
          </w:p>
        </w:tc>
      </w:tr>
      <w:tr>
        <w:trPr>
          <w:trHeight w:val="266"/>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20,815</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66,556</w:t>
            </w:r>
          </w:p>
        </w:tc>
        <w:tc>
          <w:tcPr>
            <w:tcW w:w="4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87,371</w:t>
            </w:r>
          </w:p>
        </w:tc>
      </w:tr>
      <w:tr>
        <w:trPr>
          <w:trHeight w:val="264"/>
        </w:trPr>
        <w:tc>
          <w:tcPr>
            <w:tcW w:w="5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rPr>
              <w:t>2,703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2,590</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150,000</w:t>
            </w: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350,000</w:t>
            </w:r>
          </w:p>
        </w:tc>
        <w:tc>
          <w:tcPr>
            <w:tcW w:w="4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2"/>
              </w:rPr>
              <w:t>505,293</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September 30, 2018 and December 31, 2017. The swap agreements the Company has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(ii)</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(iii) = (i)-(ii)</w:t>
            </w:r>
          </w:p>
        </w:tc>
        <w:tc>
          <w:tcPr>
            <w:tcW w:w="160" w:type="dxa"/>
            <w:vAlign w:val="bottom"/>
          </w:tcPr>
          <w:p>
            <w:pPr>
              <w:spacing w:after="0"/>
              <w:rPr>
                <w:sz w:val="18"/>
                <w:szCs w:val="18"/>
                <w:color w:val="auto"/>
              </w:rPr>
            </w:pPr>
          </w:p>
        </w:tc>
        <w:tc>
          <w:tcPr>
            <w:tcW w:w="1400" w:type="dxa"/>
            <w:vAlign w:val="bottom"/>
          </w:tcPr>
          <w:p>
            <w:pPr>
              <w:jc w:val="center"/>
              <w:ind w:left="1039"/>
              <w:spacing w:after="0"/>
              <w:rPr>
                <w:sz w:val="20"/>
                <w:szCs w:val="20"/>
                <w:color w:val="auto"/>
              </w:rPr>
            </w:pPr>
            <w:r>
              <w:rPr>
                <w:rFonts w:ascii="Arial" w:cs="Arial" w:eastAsia="Arial" w:hAnsi="Arial"/>
                <w:sz w:val="16"/>
                <w:szCs w:val="16"/>
                <w:b w:val="1"/>
                <w:bCs w:val="1"/>
                <w:color w:val="auto"/>
                <w:w w:val="99"/>
              </w:rPr>
              <w:t>(iv)</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(v) = (iii)-(iv)</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3"/>
          </w:tcPr>
          <w:p>
            <w:pPr>
              <w:jc w:val="center"/>
              <w:ind w:right="21"/>
              <w:spacing w:after="0"/>
              <w:rPr>
                <w:sz w:val="20"/>
                <w:szCs w:val="20"/>
                <w:color w:val="auto"/>
              </w:rPr>
            </w:pPr>
            <w:r>
              <w:rPr>
                <w:rFonts w:ascii="Arial" w:cs="Arial" w:eastAsia="Arial" w:hAnsi="Arial"/>
                <w:sz w:val="16"/>
                <w:szCs w:val="16"/>
                <w:b w:val="1"/>
                <w:bCs w:val="1"/>
                <w:color w:val="auto"/>
                <w:w w:val="90"/>
              </w:rPr>
              <w:t>Gross Amounts Not Offset in the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3"/>
          </w:tcPr>
          <w:p>
            <w:pPr>
              <w:jc w:val="center"/>
              <w:ind w:right="41"/>
              <w:spacing w:after="0"/>
              <w:rPr>
                <w:sz w:val="20"/>
                <w:szCs w:val="20"/>
                <w:color w:val="auto"/>
              </w:rPr>
            </w:pPr>
            <w:r>
              <w:rPr>
                <w:rFonts w:ascii="Arial" w:cs="Arial" w:eastAsia="Arial" w:hAnsi="Arial"/>
                <w:sz w:val="16"/>
                <w:szCs w:val="16"/>
                <w:b w:val="1"/>
                <w:bCs w:val="1"/>
                <w:color w:val="auto"/>
                <w:w w:val="90"/>
              </w:rPr>
              <w:t>Statements of Condition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Gross Amounts</w:t>
            </w: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Net Amounts</w:t>
            </w:r>
          </w:p>
        </w:tc>
        <w:tc>
          <w:tcPr>
            <w:tcW w:w="16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7"/>
                <w:szCs w:val="17"/>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93"/>
              </w:rPr>
              <w:t>Fair Value of</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Recognized in the</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Offset in the</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7"/>
                <w:szCs w:val="7"/>
                <w:color w:val="auto"/>
              </w:rPr>
            </w:pPr>
          </w:p>
        </w:tc>
        <w:tc>
          <w:tcPr>
            <w:tcW w:w="14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6"/>
              </w:rPr>
              <w:t>per Master</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95"/>
              </w:rPr>
              <w:t>Collateral</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Statements</w:t>
            </w:r>
          </w:p>
        </w:tc>
        <w:tc>
          <w:tcPr>
            <w:tcW w:w="160" w:type="dxa"/>
            <w:vAlign w:val="bottom"/>
          </w:tcPr>
          <w:p>
            <w:pPr>
              <w:spacing w:after="0"/>
              <w:rPr>
                <w:sz w:val="7"/>
                <w:szCs w:val="7"/>
                <w:color w:val="auto"/>
              </w:rPr>
            </w:pPr>
          </w:p>
        </w:tc>
        <w:tc>
          <w:tcPr>
            <w:tcW w:w="14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6"/>
              </w:rPr>
              <w:t>Pledged/Received</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7"/>
                <w:szCs w:val="7"/>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of Condition</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of Condition</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of Condition</w:t>
            </w:r>
          </w:p>
        </w:tc>
        <w:tc>
          <w:tcPr>
            <w:tcW w:w="160" w:type="dxa"/>
            <w:vAlign w:val="bottom"/>
          </w:tcPr>
          <w:p>
            <w:pPr>
              <w:spacing w:after="0"/>
              <w:rPr>
                <w:sz w:val="7"/>
                <w:szCs w:val="7"/>
                <w:color w:val="auto"/>
              </w:rPr>
            </w:pPr>
          </w:p>
        </w:tc>
        <w:tc>
          <w:tcPr>
            <w:tcW w:w="14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2"/>
              </w:rPr>
              <w:t>Arrangements</w:t>
            </w: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156"/>
        </w:trPr>
        <w:tc>
          <w:tcPr>
            <w:tcW w:w="28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97"/>
              </w:rPr>
              <w:t>1</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14,466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14,466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1,122</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2,302</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11,042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1,122</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4,293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504,293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504,293</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5,453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5,453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4,017</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4,017</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505,293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505,293</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right="60" w:hanging="72"/>
        <w:spacing w:after="0" w:line="249" w:lineRule="auto"/>
        <w:tabs>
          <w:tab w:leader="none" w:pos="66"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application of collateral cannot reduce the net amount below zero. Therefore, excess collateral is not reflected in this table. For swap agreements with institutional counterparties, there was no collateral pledged to institutional counterparties as of September 30, 2018. The fair value of investment securities pledged to the institutional counterparties was $3.5 million as of December 31, 2017. For repurchase agreements with private institutions, the fair value of investment securities pledged was $528.1 million and $563.3 million as of September 30, 2018 and December 31, 2017, respectively. For repurchase agreements with government entities, the fair value of investment securities pledged was $6.8 million and $6.9 million as of September 30, 2018 and December 31, 2017, respectively.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30"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other comprehensive income (loss) for the three and nine months ended September 30, 2018 and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98"/>
              </w:rPr>
              <w:t>Before Tax</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Tax Effect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Net of Tax</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(8,086)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(5,949)</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476</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126</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(7,610)</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(2,011)</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(5,599)</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437</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115</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322</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295</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(5,383)</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2017</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497</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196</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301</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733</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289</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444</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322</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127</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195</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241</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95</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(25,765)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(18,953)</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1,712</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453</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1,259</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(24,053)</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(6,359)</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(17,694)</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1,309</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346</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963</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883</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235</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648</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(23,170)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2017</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12,458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4,917</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7,541</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1,492</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589</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903</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13,950</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5,506</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8,444</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967</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382</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585</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725</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286</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439</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14,675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5,792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8,883</w:t>
            </w:r>
          </w:p>
        </w:tc>
      </w:tr>
      <w:tr>
        <w:trPr>
          <w:trHeight w:val="20"/>
        </w:trPr>
        <w:tc>
          <w:tcPr>
            <w:tcW w:w="7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80" w:right="400" w:hanging="72"/>
        <w:spacing w:after="0" w:line="273" w:lineRule="auto"/>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231"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231"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 for the three and nine months ended September 30, 2018 and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16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Securities-Held-to-</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Defined Benefit</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r>
      <w:tr>
        <w:trPr>
          <w:trHeight w:val="237"/>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96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Available-for-Sale</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Maturity</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Plans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 (Loss)</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(15,331)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(5,272)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(33,252)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(53,855)</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(5,949)</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(5,949)</w:t>
            </w:r>
          </w:p>
        </w:tc>
      </w:tr>
      <w:tr>
        <w:trPr>
          <w:trHeight w:val="220"/>
        </w:trPr>
        <w:tc>
          <w:tcPr>
            <w:tcW w:w="48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350</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216</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566</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(5,949)</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350</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(5,383)</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(21,280)</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(4,922)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(33,036)</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(59,238)</w:t>
            </w:r>
          </w:p>
        </w:tc>
      </w:tr>
      <w:tr>
        <w:trPr>
          <w:trHeight w:val="73"/>
        </w:trPr>
        <w:tc>
          <w:tcPr>
            <w:tcW w:w="48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1"/>
        </w:trPr>
        <w:tc>
          <w:tcPr>
            <w:tcW w:w="48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2017</w:t>
            </w: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8,668</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(28,599)</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(25,613)</w:t>
            </w:r>
          </w:p>
        </w:tc>
      </w:tr>
      <w:tr>
        <w:trPr>
          <w:trHeight w:val="237"/>
        </w:trPr>
        <w:tc>
          <w:tcPr>
            <w:tcW w:w="486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143</w:t>
            </w:r>
          </w:p>
        </w:tc>
        <w:tc>
          <w:tcPr>
            <w:tcW w:w="4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143</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301</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143</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301</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146</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590</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8,811</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(28,453)</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(25,023)</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(1,915)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(27,715)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(34,715)</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(18,953)</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(18,953)</w:t>
            </w:r>
          </w:p>
        </w:tc>
      </w:tr>
      <w:tr>
        <w:trPr>
          <w:trHeight w:val="220"/>
        </w:trPr>
        <w:tc>
          <w:tcPr>
            <w:tcW w:w="48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1,259</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648</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1,907</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(18,953)</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r>
      <w:tr>
        <w:trPr>
          <w:trHeight w:val="220"/>
        </w:trPr>
        <w:tc>
          <w:tcPr>
            <w:tcW w:w="4860" w:type="dxa"/>
            <w:vAlign w:val="bottom"/>
          </w:tcPr>
          <w:p>
            <w:pPr>
              <w:ind w:left="40"/>
              <w:spacing w:after="0"/>
              <w:rPr>
                <w:sz w:val="20"/>
                <w:szCs w:val="20"/>
                <w:color w:val="auto"/>
              </w:rPr>
            </w:pPr>
            <w:r>
              <w:rPr>
                <w:rFonts w:ascii="Arial" w:cs="Arial" w:eastAsia="Arial" w:hAnsi="Arial"/>
                <w:sz w:val="16"/>
                <w:szCs w:val="16"/>
                <w:color w:val="auto"/>
              </w:rPr>
              <w:t>Reclassification of the Income Tax Effects of the</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40"/>
              <w:spacing w:after="0"/>
              <w:rPr>
                <w:sz w:val="20"/>
                <w:szCs w:val="20"/>
                <w:color w:val="auto"/>
              </w:rPr>
            </w:pPr>
            <w:r>
              <w:rPr>
                <w:rFonts w:ascii="Arial" w:cs="Arial" w:eastAsia="Arial" w:hAnsi="Arial"/>
                <w:sz w:val="16"/>
                <w:szCs w:val="16"/>
                <w:color w:val="auto"/>
              </w:rPr>
              <w:t>Tax Act from AOCI</w:t>
            </w:r>
          </w:p>
        </w:tc>
        <w:tc>
          <w:tcPr>
            <w:tcW w:w="8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4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(1,096)</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(5,969)</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(7,477)</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(21,280)</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(33,036)</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(59,238)</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2017</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1,270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(6,284)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(28,892)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(33,906)</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7,541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7,541</w:t>
            </w:r>
          </w:p>
        </w:tc>
      </w:tr>
      <w:tr>
        <w:trPr>
          <w:trHeight w:val="220"/>
        </w:trPr>
        <w:tc>
          <w:tcPr>
            <w:tcW w:w="48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903</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439</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1,342</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7,541</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903</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439</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8,883</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8,811</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(5,381)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(28,453)</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(25,023)</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amounts reclassified out of each component of accumulated other comprehensive income (loss) for the three and nine months ended September 30, 2018 and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r>
      <w:tr>
        <w:trPr>
          <w:trHeight w:val="20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80" w:type="dxa"/>
            <w:vAlign w:val="bottom"/>
          </w:tcPr>
          <w:p>
            <w:pPr>
              <w:ind w:left="40"/>
              <w:spacing w:after="0"/>
              <w:rPr>
                <w:sz w:val="20"/>
                <w:szCs w:val="20"/>
                <w:color w:val="auto"/>
              </w:rPr>
            </w:pPr>
            <w:r>
              <w:rPr>
                <w:rFonts w:ascii="Arial" w:cs="Arial" w:eastAsia="Arial" w:hAnsi="Arial"/>
                <w:sz w:val="16"/>
                <w:szCs w:val="16"/>
                <w:b w:val="1"/>
                <w:bCs w:val="1"/>
                <w:color w:val="auto"/>
                <w:w w:val="92"/>
              </w:rPr>
              <w:t>Statement Where Net Income Is</w:t>
            </w:r>
          </w:p>
        </w:tc>
      </w:tr>
      <w:tr>
        <w:trPr>
          <w:trHeight w:val="250"/>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Presented</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Three Months Ended September 30,</w:t>
            </w:r>
          </w:p>
        </w:tc>
        <w:tc>
          <w:tcPr>
            <w:tcW w:w="22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4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80" w:type="dxa"/>
            <w:vAlign w:val="bottom"/>
            <w:tcBorders>
              <w:bottom w:val="single" w:sz="8" w:color="CCEEFF"/>
            </w:tcBorders>
          </w:tcPr>
          <w:p>
            <w:pPr>
              <w:spacing w:after="0"/>
              <w:rPr>
                <w:sz w:val="21"/>
                <w:szCs w:val="21"/>
                <w:color w:val="auto"/>
              </w:rPr>
            </w:pPr>
          </w:p>
        </w:tc>
      </w:tr>
      <w:tr>
        <w:trPr>
          <w:trHeight w:val="219"/>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16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228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2280" w:type="dxa"/>
            <w:vAlign w:val="bottom"/>
            <w:shd w:val="clear" w:color="auto" w:fill="CCEEFF"/>
          </w:tcPr>
          <w:p>
            <w:pPr>
              <w:spacing w:after="0"/>
              <w:rPr>
                <w:sz w:val="23"/>
                <w:szCs w:val="23"/>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(295)</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(241)</w:t>
            </w:r>
          </w:p>
        </w:tc>
        <w:tc>
          <w:tcPr>
            <w:tcW w:w="2280" w:type="dxa"/>
            <w:vAlign w:val="bottom"/>
          </w:tcPr>
          <w:p>
            <w:pPr>
              <w:ind w:left="20"/>
              <w:spacing w:after="0"/>
              <w:rPr>
                <w:sz w:val="20"/>
                <w:szCs w:val="20"/>
                <w:color w:val="auto"/>
              </w:rPr>
            </w:pPr>
            <w:r>
              <w:rPr>
                <w:rFonts w:ascii="Arial" w:cs="Arial" w:eastAsia="Arial" w:hAnsi="Arial"/>
                <w:sz w:val="16"/>
                <w:szCs w:val="16"/>
                <w:color w:val="auto"/>
              </w:rPr>
              <w:t>Total Before Tax</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of Tax</w:t>
            </w:r>
          </w:p>
        </w:tc>
      </w:tr>
      <w:tr>
        <w:trPr>
          <w:trHeight w:val="257"/>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r>
      <w:tr>
        <w:trPr>
          <w:trHeight w:val="20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80" w:type="dxa"/>
            <w:vAlign w:val="bottom"/>
          </w:tcPr>
          <w:p>
            <w:pPr>
              <w:ind w:left="40"/>
              <w:spacing w:after="0"/>
              <w:rPr>
                <w:sz w:val="20"/>
                <w:szCs w:val="20"/>
                <w:color w:val="auto"/>
              </w:rPr>
            </w:pPr>
            <w:r>
              <w:rPr>
                <w:rFonts w:ascii="Arial" w:cs="Arial" w:eastAsia="Arial" w:hAnsi="Arial"/>
                <w:sz w:val="16"/>
                <w:szCs w:val="16"/>
                <w:b w:val="1"/>
                <w:bCs w:val="1"/>
                <w:color w:val="auto"/>
                <w:w w:val="92"/>
              </w:rPr>
              <w:t>Statement Where Net Income Is</w:t>
            </w:r>
          </w:p>
        </w:tc>
      </w:tr>
      <w:tr>
        <w:trPr>
          <w:trHeight w:val="24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Presented</w:t>
            </w:r>
          </w:p>
        </w:tc>
      </w:tr>
      <w:tr>
        <w:trPr>
          <w:trHeight w:val="232"/>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4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80" w:type="dxa"/>
            <w:vAlign w:val="bottom"/>
            <w:tcBorders>
              <w:bottom w:val="single" w:sz="8" w:color="CCEEFF"/>
            </w:tcBorders>
          </w:tcPr>
          <w:p>
            <w:pPr>
              <w:spacing w:after="0"/>
              <w:rPr>
                <w:sz w:val="21"/>
                <w:szCs w:val="21"/>
                <w:color w:val="auto"/>
              </w:rPr>
            </w:pPr>
          </w:p>
        </w:tc>
      </w:tr>
      <w:tr>
        <w:trPr>
          <w:trHeight w:val="219"/>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(1,492)</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453</w:t>
            </w:r>
          </w:p>
        </w:tc>
        <w:tc>
          <w:tcPr>
            <w:tcW w:w="1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589</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16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228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2280" w:type="dxa"/>
            <w:vAlign w:val="bottom"/>
            <w:shd w:val="clear" w:color="auto" w:fill="CCEEFF"/>
          </w:tcPr>
          <w:p>
            <w:pPr>
              <w:spacing w:after="0"/>
              <w:rPr>
                <w:sz w:val="23"/>
                <w:szCs w:val="23"/>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(883)</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(725)</w:t>
            </w:r>
          </w:p>
        </w:tc>
        <w:tc>
          <w:tcPr>
            <w:tcW w:w="2280" w:type="dxa"/>
            <w:vAlign w:val="bottom"/>
          </w:tcPr>
          <w:p>
            <w:pPr>
              <w:ind w:left="20"/>
              <w:spacing w:after="0"/>
              <w:rPr>
                <w:sz w:val="20"/>
                <w:szCs w:val="20"/>
                <w:color w:val="auto"/>
              </w:rPr>
            </w:pPr>
            <w:r>
              <w:rPr>
                <w:rFonts w:ascii="Arial" w:cs="Arial" w:eastAsia="Arial" w:hAnsi="Arial"/>
                <w:sz w:val="16"/>
                <w:szCs w:val="16"/>
                <w:color w:val="auto"/>
              </w:rPr>
              <w:t>Total Before Tax</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(1,342)</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9"/>
          <w:szCs w:val="9"/>
          <w:color w:val="auto"/>
        </w:rPr>
      </w:pPr>
      <w:r>
        <w:rPr>
          <w:rFonts w:ascii="Arial" w:cs="Arial" w:eastAsia="Arial" w:hAnsi="Arial"/>
          <w:sz w:val="14"/>
          <w:szCs w:val="14"/>
          <w:color w:val="auto"/>
        </w:rPr>
        <w:t>Amounts in parentheses indicate reductions to net income.</w:t>
      </w:r>
    </w:p>
    <w:p>
      <w:pPr>
        <w:spacing w:after="0" w:line="13" w:lineRule="exact"/>
        <w:rPr>
          <w:sz w:val="20"/>
          <w:szCs w:val="20"/>
          <w:color w:val="auto"/>
        </w:rPr>
      </w:pPr>
    </w:p>
    <w:p>
      <w:pPr>
        <w:ind w:left="180" w:right="40" w:hanging="172"/>
        <w:spacing w:after="0" w:line="255" w:lineRule="auto"/>
        <w:tabs>
          <w:tab w:leader="none" w:pos="180" w:val="left"/>
        </w:tabs>
        <w:numPr>
          <w:ilvl w:val="0"/>
          <w:numId w:val="16"/>
        </w:numPr>
        <w:rPr>
          <w:rFonts w:ascii="Arial" w:cs="Arial" w:eastAsia="Arial" w:hAnsi="Arial"/>
          <w:sz w:val="9"/>
          <w:szCs w:val="9"/>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11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adjustments to net income, the numerator, for purposes of computing earnings per share. The following is a reconciliation of the weighted average number of common shares outstanding for computing diluted earnings per share and antidilutive stock options and restricted stock outstanding for the three and nine months ended September 30, 2018 and 2017:</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3100" w:type="dxa"/>
            <w:vAlign w:val="bottom"/>
            <w:gridSpan w:val="3"/>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294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3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198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20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2018</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33"/>
        </w:trPr>
        <w:tc>
          <w:tcPr>
            <w:tcW w:w="5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Earnings Per Share</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41,620,776</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42,251,541</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41,846,080</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42,336,441</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Dilutive Effect of Equity Based Awards</w:t>
            </w:r>
          </w:p>
        </w:tc>
        <w:tc>
          <w:tcPr>
            <w:tcW w:w="1980" w:type="dxa"/>
            <w:vAlign w:val="bottom"/>
          </w:tcPr>
          <w:p>
            <w:pPr>
              <w:jc w:val="right"/>
              <w:ind w:right="639"/>
              <w:spacing w:after="0"/>
              <w:rPr>
                <w:sz w:val="20"/>
                <w:szCs w:val="20"/>
                <w:color w:val="auto"/>
              </w:rPr>
            </w:pPr>
            <w:r>
              <w:rPr>
                <w:rFonts w:ascii="Arial" w:cs="Arial" w:eastAsia="Arial" w:hAnsi="Arial"/>
                <w:sz w:val="16"/>
                <w:szCs w:val="16"/>
                <w:color w:val="auto"/>
              </w:rPr>
              <w:t>278,625</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313,823</w:t>
            </w:r>
          </w:p>
        </w:tc>
        <w:tc>
          <w:tcPr>
            <w:tcW w:w="220" w:type="dxa"/>
            <w:vAlign w:val="bottom"/>
          </w:tcPr>
          <w:p>
            <w:pPr>
              <w:spacing w:after="0"/>
              <w:rPr>
                <w:sz w:val="20"/>
                <w:szCs w:val="20"/>
                <w:color w:val="auto"/>
              </w:rPr>
            </w:pPr>
          </w:p>
        </w:tc>
        <w:tc>
          <w:tcPr>
            <w:tcW w:w="2040" w:type="dxa"/>
            <w:vAlign w:val="bottom"/>
          </w:tcPr>
          <w:p>
            <w:pPr>
              <w:jc w:val="right"/>
              <w:ind w:right="699"/>
              <w:spacing w:after="0"/>
              <w:rPr>
                <w:sz w:val="20"/>
                <w:szCs w:val="20"/>
                <w:color w:val="auto"/>
              </w:rPr>
            </w:pPr>
            <w:r>
              <w:rPr>
                <w:rFonts w:ascii="Arial" w:cs="Arial" w:eastAsia="Arial" w:hAnsi="Arial"/>
                <w:sz w:val="16"/>
                <w:szCs w:val="16"/>
                <w:color w:val="auto"/>
              </w:rPr>
              <w:t>287,696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325,722</w:t>
            </w:r>
          </w:p>
        </w:tc>
      </w:tr>
      <w:tr>
        <w:trPr>
          <w:trHeight w:val="33"/>
        </w:trPr>
        <w:tc>
          <w:tcPr>
            <w:tcW w:w="5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 for Diluted Earnings Per Share</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41,899,401</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42,565,364</w:t>
            </w:r>
          </w:p>
        </w:tc>
        <w:tc>
          <w:tcPr>
            <w:tcW w:w="2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42,133,776</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42,662,163</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1,070</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Company’s business segments are defined as Retail Banking, Commercial Banking, Investment Services and Private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provision for credit losses reflects the actual net charge-offs of the business segments. The amount of the consolidated provision for loan and lease losses is based on the methodology that we use to estimate the Company’s consolidated Allowance. The residual provision for credit losses to arrive at the consolidated provision for credit losses is included in Treasury and Other.</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provision for income taxes is allocated to business segments using a 26% effective income tax rate. However, the provision for income taxes for the Company’s Leasing business unit (included in the Commercial Banking segment) and Auto Leasing portfolio and Pacific Century Life Insurance business unit (both included in the Retail Banking segment) are assigned their actual effective income tax rates due to the unique relationship that income taxes have with their products. The residual income tax expense or benefit to arrive at the consolidated effective income tax rate is included in Treasury and Other.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Retail Banking offers a broad range of financial products and services to consumers and small businesses. Loan and lease products include residential mortgage loans, home equity lines of credit, automobile loans and leases, personal lines of credit, installment loans, small business loans and leases, and credit cards. Deposit products include checking, savings, and time deposit accounts. Retail Banking also offers some types of consumer insurance products. Products and services from Retail Banking are delivered to customers through 69 branch locations and 382 ATMs throughout Hawaii and the Pacific Islands, e-Bankoh (on-line banking service), a 24-hour customer service center, and a mobile banking service.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Investment Services and Private Banking includes private banking and international client banking services, trust services, investment management, and institutional investment advisory services. A significant portion of this segment’s income is derived from fees, which are generally based on the market values of assets under management. The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Institutional client services offer investment advice to corporations, government entities, and foundations. This segment also provides a full service brokerage offering equities, mutual funds, life insurance, and annuity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30" w:right="29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Selected business segment financial information as of and for the three and nine months ended September 30, 2018 and 2017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Services and</w:t>
            </w:r>
          </w:p>
        </w:tc>
        <w:tc>
          <w:tcPr>
            <w:tcW w:w="3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28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Consolidated</w:t>
            </w:r>
          </w:p>
        </w:tc>
      </w:tr>
      <w:tr>
        <w:trPr>
          <w:trHeight w:val="237"/>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Retail Banking</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Banking</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Private Banking</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Other</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66,927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46,240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10,574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(814)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122,927</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3,229</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69</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502</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3,800</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63,698</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46,171</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10,574</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(1,316)</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119,127</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19,814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6,241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13,526</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1,901</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41,482</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(51,806)</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(20,242)</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(15,657)</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(2,833)</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(90,538)</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31,706</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32,170</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8,443</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(2,248)</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70,071</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(7,943)</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(7,218)</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(2,226)</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4,249</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(13,138)</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23,763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24,952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6,217</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2,001</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56,933</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September 30, 2018</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6,246,126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3,873,454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340,793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6,531,361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16,991,734</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2017</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67,128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43,438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7,321</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116,317</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3,512</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528</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63,616</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43,473</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7,326</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(2,098)</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112,317</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21,287</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5,137</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13,593</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2,393</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42,410</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(51,507)</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(17,721)</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(14,925)</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(4,445)</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(88,598)</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33,396</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30,889</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5,994</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(4,150)</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66,129</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(11,908)</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(10,891)</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(2,218)</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4,769</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(20,248)</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21,488</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19,998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3,776</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619</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45,881</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Assets as of September 30, 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5,758,799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3,695,606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305,015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7,508,882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17,268,302</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3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197,007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133,148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30,987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1,237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362,379</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10,417</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1,344</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11,425</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186,590</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133,424</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31,047</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350,954</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58,665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17,395</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41,941</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8,814</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126,815</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(158,344)</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(60,432)</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(48,264)</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(8,673)</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(275,713)</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86,911</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90,387</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24,724</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202,056</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(21,707)</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(20,782)</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(6,518)</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12,642</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(36,365)</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65,204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69,605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18,206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12,676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165,691</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September 30, 2018</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6,246,126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3,873,454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340,793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6,531,361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16,991,734</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2017</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198,633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127,106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20,685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338,468</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10,413</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2,608</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12,650</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188,220</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127,461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20,701</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(10,564)</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325,818</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64,132</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16,451</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43,389</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19,590</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143,562</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(155,786)</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(54,483)</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(45,692)</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(9,394)</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(265,355)</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96,566</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89,429</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18,398</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(368)</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204,025</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(34,323)</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(31,472)</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(6,807)</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10,296</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(62,306)</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62,243</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57,957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11,591</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9,928</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141,719</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Assets as of September 30, 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5,758,799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3,695,606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305,015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7,508,882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17,268,302</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Plans and Postretirement Benefit Plan</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three and nine months ended September 30, 2018 and 2017.</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Pension Benefits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2018</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114</w:t>
            </w:r>
          </w:p>
        </w:tc>
        <w:tc>
          <w:tcPr>
            <w:tcW w:w="9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123</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1,041</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1,161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235</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Pr>
          <w:p>
            <w:pPr>
              <w:spacing w:after="0"/>
              <w:rPr>
                <w:sz w:val="20"/>
                <w:szCs w:val="20"/>
                <w:color w:val="auto"/>
              </w:rPr>
            </w:pPr>
          </w:p>
        </w:tc>
        <w:tc>
          <w:tcPr>
            <w:tcW w:w="1000" w:type="dxa"/>
            <w:vAlign w:val="bottom"/>
          </w:tcPr>
          <w:p>
            <w:pPr>
              <w:jc w:val="right"/>
              <w:ind w:right="78"/>
              <w:spacing w:after="0"/>
              <w:rPr>
                <w:sz w:val="20"/>
                <w:szCs w:val="20"/>
                <w:color w:val="auto"/>
              </w:rPr>
            </w:pPr>
            <w:r>
              <w:rPr>
                <w:rFonts w:ascii="Arial" w:cs="Arial" w:eastAsia="Arial" w:hAnsi="Arial"/>
                <w:sz w:val="16"/>
                <w:szCs w:val="16"/>
                <w:color w:val="auto"/>
              </w:rPr>
              <w:t>(1,281)</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(142)</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498</w:t>
            </w:r>
          </w:p>
        </w:tc>
        <w:tc>
          <w:tcPr>
            <w:tcW w:w="8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433</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(61)</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258</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356</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146</w:t>
            </w:r>
          </w:p>
        </w:tc>
        <w:tc>
          <w:tcPr>
            <w:tcW w:w="94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203</w:t>
            </w:r>
          </w:p>
        </w:tc>
      </w:tr>
      <w:tr>
        <w:trPr>
          <w:trHeight w:val="73"/>
        </w:trPr>
        <w:tc>
          <w:tcPr>
            <w:tcW w:w="52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r>
      <w:tr>
        <w:trPr>
          <w:trHeight w:val="251"/>
        </w:trPr>
        <w:tc>
          <w:tcPr>
            <w:tcW w:w="5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344</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369</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3,123</w:t>
            </w:r>
          </w:p>
        </w:tc>
        <w:tc>
          <w:tcPr>
            <w:tcW w:w="8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3,483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706</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816</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(3,845)</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(426)</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1,494</w:t>
            </w:r>
          </w:p>
        </w:tc>
        <w:tc>
          <w:tcPr>
            <w:tcW w:w="8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1,298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(185)</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33"/>
        </w:trPr>
        <w:tc>
          <w:tcPr>
            <w:tcW w:w="5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772</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1,067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439</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612</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service cost component of net periodic benefit cost are included in salaries and benefits and all other components of net periodic benefit cost are included in other noninterest expense in the consolidated statements of income for the Company’s pension plans and postretirement benefit plan. For the three and nine months ended September 30, 2018, the Company contributed $0.2 million and $0.4 million, respectively, to the pension plans and $0.3 million and $0.8 million, respectively, to the postretirement benefit plan. The Company expects to contribute a total of $0.5 million to the pension plans and $0.9 million to the postretirement benefit plan for the year ending December 31,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notional amount and fair value of the Company’s derivative financial instruments as of September 30, 2018 and December 31, 2017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September 30, 2018</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 2017</w:t>
            </w:r>
          </w:p>
        </w:tc>
        <w:tc>
          <w:tcPr>
            <w:tcW w:w="94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8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Notional Amount</w:t>
            </w: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182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Notional Amount</w:t>
            </w: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7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25,566</w:t>
            </w:r>
          </w:p>
        </w:tc>
        <w:tc>
          <w:tcPr>
            <w:tcW w:w="6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35,422</w:t>
            </w:r>
          </w:p>
        </w:tc>
        <w:tc>
          <w:tcPr>
            <w:tcW w:w="6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760" w:type="dxa"/>
            <w:vAlign w:val="bottom"/>
          </w:tcPr>
          <w:p>
            <w:pPr>
              <w:spacing w:after="0"/>
              <w:rPr>
                <w:sz w:val="20"/>
                <w:szCs w:val="20"/>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34,134</w:t>
            </w:r>
          </w:p>
        </w:tc>
        <w:tc>
          <w:tcPr>
            <w:tcW w:w="6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45,143</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4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6"/>
                <w:szCs w:val="16"/>
                <w:color w:val="auto"/>
              </w:rPr>
              <w:t>Receive Fixed/Pay Variable Swaps</w:t>
            </w:r>
          </w:p>
        </w:tc>
        <w:tc>
          <w:tcPr>
            <w:tcW w:w="760" w:type="dxa"/>
            <w:vAlign w:val="bottom"/>
          </w:tcPr>
          <w:p>
            <w:pPr>
              <w:spacing w:after="0"/>
              <w:rPr>
                <w:sz w:val="20"/>
                <w:szCs w:val="20"/>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472,280</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(13,953)</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374,670</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(1,331)</w:t>
            </w:r>
          </w:p>
        </w:tc>
      </w:tr>
      <w:tr>
        <w:trPr>
          <w:trHeight w:val="33"/>
        </w:trPr>
        <w:tc>
          <w:tcPr>
            <w:tcW w:w="4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 Fixed/Receive Variable Swaps</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472,280</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13,344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374,670</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760" w:type="dxa"/>
            <w:vAlign w:val="bottom"/>
          </w:tcPr>
          <w:p>
            <w:pPr>
              <w:spacing w:after="0"/>
              <w:rPr>
                <w:sz w:val="20"/>
                <w:szCs w:val="20"/>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55,382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54,332</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4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7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91,854</w:t>
            </w:r>
          </w:p>
        </w:tc>
        <w:tc>
          <w:tcPr>
            <w:tcW w:w="6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70,571</w:t>
            </w: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September 30, 2018 and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40" w:type="dxa"/>
            <w:vAlign w:val="bottom"/>
          </w:tcPr>
          <w:p>
            <w:pPr>
              <w:spacing w:after="0"/>
              <w:rPr>
                <w:sz w:val="18"/>
                <w:szCs w:val="18"/>
                <w:color w:val="auto"/>
              </w:rPr>
            </w:pPr>
          </w:p>
        </w:tc>
        <w:tc>
          <w:tcPr>
            <w:tcW w:w="2760" w:type="dxa"/>
            <w:vAlign w:val="bottom"/>
            <w:gridSpan w:val="4"/>
          </w:tcPr>
          <w:p>
            <w:pPr>
              <w:ind w:left="480"/>
              <w:spacing w:after="0"/>
              <w:rPr>
                <w:sz w:val="20"/>
                <w:szCs w:val="20"/>
                <w:color w:val="auto"/>
              </w:rPr>
            </w:pPr>
            <w:r>
              <w:rPr>
                <w:rFonts w:ascii="Arial" w:cs="Arial" w:eastAsia="Arial" w:hAnsi="Arial"/>
                <w:sz w:val="16"/>
                <w:szCs w:val="16"/>
                <w:b w:val="1"/>
                <w:bCs w:val="1"/>
                <w:color w:val="auto"/>
              </w:rPr>
              <w:t>September 30, 2018</w:t>
            </w:r>
          </w:p>
        </w:tc>
        <w:tc>
          <w:tcPr>
            <w:tcW w:w="220" w:type="dxa"/>
            <w:vAlign w:val="bottom"/>
          </w:tcPr>
          <w:p>
            <w:pPr>
              <w:spacing w:after="0"/>
              <w:rPr>
                <w:sz w:val="18"/>
                <w:szCs w:val="18"/>
                <w:color w:val="auto"/>
              </w:rPr>
            </w:pPr>
          </w:p>
        </w:tc>
        <w:tc>
          <w:tcPr>
            <w:tcW w:w="24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0"/>
        </w:trPr>
        <w:tc>
          <w:tcPr>
            <w:tcW w:w="5720" w:type="dxa"/>
            <w:vAlign w:val="bottom"/>
          </w:tcPr>
          <w:p>
            <w:pPr>
              <w:ind w:left="200"/>
              <w:spacing w:after="0"/>
              <w:rPr>
                <w:sz w:val="20"/>
                <w:szCs w:val="20"/>
                <w:color w:val="auto"/>
              </w:rPr>
            </w:pPr>
            <w:r>
              <w:rPr>
                <w:rFonts w:ascii="Arial" w:cs="Arial" w:eastAsia="Arial" w:hAnsi="Arial"/>
                <w:sz w:val="16"/>
                <w:szCs w:val="16"/>
                <w:b w:val="1"/>
                <w:bCs w:val="1"/>
                <w:color w:val="auto"/>
              </w:rPr>
              <w:t xml:space="preserve">Not Designated as Hedging Instruments </w:t>
            </w:r>
            <w:r>
              <w:rPr>
                <w:rFonts w:ascii="Arial" w:cs="Arial" w:eastAsia="Arial" w:hAnsi="Arial"/>
                <w:sz w:val="21"/>
                <w:szCs w:val="21"/>
                <w:b w:val="1"/>
                <w:bCs w:val="1"/>
                <w:color w:val="auto"/>
                <w:vertAlign w:val="superscript"/>
              </w:rPr>
              <w:t>1</w:t>
            </w:r>
          </w:p>
        </w:tc>
        <w:tc>
          <w:tcPr>
            <w:tcW w:w="24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Asset</w:t>
            </w:r>
          </w:p>
        </w:tc>
        <w:tc>
          <w:tcPr>
            <w:tcW w:w="4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Liability</w:t>
            </w:r>
          </w:p>
        </w:tc>
        <w:tc>
          <w:tcPr>
            <w:tcW w:w="22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Asset</w:t>
            </w:r>
          </w:p>
        </w:tc>
        <w:tc>
          <w:tcPr>
            <w:tcW w:w="38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Liability</w:t>
            </w:r>
          </w:p>
        </w:tc>
      </w:tr>
      <w:tr>
        <w:trPr>
          <w:trHeight w:val="23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Derivatives</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Derivatives</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Derivatives</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427</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789</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156</w:t>
            </w:r>
          </w:p>
        </w:tc>
        <w:tc>
          <w:tcPr>
            <w:tcW w:w="4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16,186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16,795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9,583</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9,478</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132</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5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16,793</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10,518</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9,693</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three and nine months ended September 30, 2018 and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Location of</w:t>
            </w: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Net Gains (Losses)</w:t>
            </w: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3580" w:type="dxa"/>
            <w:vAlign w:val="bottom"/>
          </w:tcPr>
          <w:p>
            <w:pPr>
              <w:ind w:left="200"/>
              <w:spacing w:after="0"/>
              <w:rPr>
                <w:sz w:val="20"/>
                <w:szCs w:val="20"/>
                <w:color w:val="auto"/>
              </w:rPr>
            </w:pPr>
            <w:r>
              <w:rPr>
                <w:rFonts w:ascii="Arial" w:cs="Arial" w:eastAsia="Arial" w:hAnsi="Arial"/>
                <w:sz w:val="16"/>
                <w:szCs w:val="16"/>
                <w:b w:val="1"/>
                <w:bCs w:val="1"/>
                <w:color w:val="auto"/>
              </w:rPr>
              <w:t>Not Designated as Hedging Instruments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Recognized in the</w:t>
            </w:r>
          </w:p>
        </w:tc>
        <w:tc>
          <w:tcPr>
            <w:tcW w:w="17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Pr>
          <w:p>
            <w:pPr>
              <w:spacing w:after="0"/>
              <w:rPr>
                <w:sz w:val="23"/>
                <w:szCs w:val="23"/>
                <w:color w:val="auto"/>
              </w:rPr>
            </w:pPr>
          </w:p>
        </w:tc>
      </w:tr>
      <w:tr>
        <w:trPr>
          <w:trHeight w:val="33"/>
        </w:trPr>
        <w:tc>
          <w:tcPr>
            <w:tcW w:w="3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8"/>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9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Statements of Income</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8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6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Mortgage Banking  $</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729</w:t>
            </w:r>
          </w:p>
        </w:tc>
        <w:tc>
          <w:tcPr>
            <w:tcW w:w="82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1,550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2,227</w:t>
            </w:r>
          </w:p>
        </w:tc>
        <w:tc>
          <w:tcPr>
            <w:tcW w:w="6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4,472</w:t>
            </w: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color w:val="auto"/>
              </w:rPr>
              <w:t>Mortgage Banking</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207</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1,131</w:t>
            </w: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(1,322)</w:t>
            </w:r>
          </w:p>
        </w:tc>
      </w:tr>
      <w:tr>
        <w:trPr>
          <w:trHeight w:val="33"/>
        </w:trPr>
        <w:tc>
          <w:tcPr>
            <w:tcW w:w="3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9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Other Noninterest Income</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558</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1,308</w:t>
            </w:r>
          </w:p>
        </w:tc>
        <w:tc>
          <w:tcPr>
            <w:tcW w:w="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w:t>
            </w: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color w:val="auto"/>
              </w:rPr>
              <w:t>Other Noninterest Income</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681</w:t>
            </w:r>
          </w:p>
        </w:tc>
        <w:tc>
          <w:tcPr>
            <w:tcW w:w="8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754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2,640</w:t>
            </w:r>
          </w:p>
        </w:tc>
        <w:tc>
          <w:tcPr>
            <w:tcW w:w="6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2,600</w:t>
            </w:r>
          </w:p>
        </w:tc>
      </w:tr>
      <w:tr>
        <w:trPr>
          <w:trHeight w:val="33"/>
        </w:trPr>
        <w:tc>
          <w:tcPr>
            <w:tcW w:w="3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358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Investment Securities Gains</w:t>
            </w:r>
          </w:p>
        </w:tc>
        <w:tc>
          <w:tcPr>
            <w:tcW w:w="9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29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(Losses), Net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2,175</w:t>
            </w:r>
          </w:p>
        </w:tc>
        <w:tc>
          <w:tcPr>
            <w:tcW w:w="8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1,880</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6,306</w:t>
            </w:r>
          </w:p>
        </w:tc>
        <w:tc>
          <w:tcPr>
            <w:tcW w:w="6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6,440</w:t>
            </w:r>
          </w:p>
        </w:tc>
      </w:tr>
      <w:tr>
        <w:trPr>
          <w:trHeight w:val="33"/>
        </w:trPr>
        <w:tc>
          <w:tcPr>
            <w:tcW w:w="35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30, 2018 and December 31, 2017, the Company did not designate any derivative financial instruments as formal hedging relationships. The Company’s free-standing derivative financial instruments are required to be carried at their</w:t>
      </w:r>
    </w:p>
    <w:p>
      <w:pPr>
        <w:sectPr>
          <w:pgSz w:w="11900" w:h="16838" w:orient="portrait"/>
          <w:cols w:equalWidth="0" w:num="1">
            <w:col w:w="11420"/>
          </w:cols>
          <w:pgMar w:left="240" w:top="13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fair value on the Company’s consolidated statements of condition. These financial instruments have been limited to interest rate lock commitments (“IRLCs”), forward commitments, interest rate swap agreements, foreign exchange contracts, and conversion rate swap agreements.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enters into interest rate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 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7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6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regulations require collateral to be posted by the party with a net liability position (i.e., the threshold for posting collateral was reduced to zero, subject to certain minimum transfer amounts). The requirements generally applied to new derivative contracts entered into by the Company after March 1, 2017, although certain counterparties may elect to apply lower thresholds to existing contracts.</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causes any derivative cleared through one of the clearinghouses to have a fair value that approximates zero on a daily basis. During the second quarter of 2017, the Company executed its first swap agreements cleared through one of the clearinghouses. Going forward, the Company expects most of the swap agreements executed with third party financial institutions will be required to be cleared through one of the clearinghouses. The uncleared swap agreements executed with third 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8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As each sale of Visa Class B restricted shares was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In June 2018, Visa announced a reduction of the conversion ratio from1.6483 to 1.6298 effective June 28, 2018. As a result, the Company recorded $1.0 million liability in June 2018 which represents the amount paid to the buyers of the Visa Class B shares in July 2018. As of September 30, 2018, the conversion rate swap agreement was valued at zero (i.e., no contingent liability recorded) as further reductions to the conversion ratio were deemed neither probable nor reasonably estimable by management. See Note 3 </w:t>
      </w:r>
      <w:r>
        <w:rPr>
          <w:rFonts w:ascii="Arial" w:cs="Arial" w:eastAsia="Arial" w:hAnsi="Arial"/>
          <w:sz w:val="18"/>
          <w:szCs w:val="18"/>
          <w:i w:val="1"/>
          <w:iCs w:val="1"/>
          <w:color w:val="auto"/>
        </w:rPr>
        <w:t xml:space="preserve">Investment Securities </w:t>
      </w:r>
      <w:r>
        <w:rPr>
          <w:rFonts w:ascii="Arial" w:cs="Arial" w:eastAsia="Arial" w:hAnsi="Arial"/>
          <w:sz w:val="18"/>
          <w:szCs w:val="18"/>
          <w:color w:val="auto"/>
        </w:rPr>
        <w:t>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Contingencies, and Guarantees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September 30, 2018 and December 31, 2017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9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Unfunded Commitments to Extend Credit</w:t>
            </w:r>
          </w:p>
        </w:tc>
        <w:tc>
          <w:tcPr>
            <w:tcW w:w="29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2,914,295</w:t>
            </w:r>
          </w:p>
        </w:tc>
        <w:tc>
          <w:tcPr>
            <w:tcW w:w="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2,780,724</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296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61,047</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60,519</w:t>
            </w:r>
          </w:p>
        </w:tc>
      </w:tr>
      <w:tr>
        <w:trPr>
          <w:trHeight w:val="33"/>
        </w:trPr>
        <w:tc>
          <w:tcPr>
            <w:tcW w:w="5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Commercial Letters of Credit</w:t>
            </w:r>
          </w:p>
        </w:tc>
        <w:tc>
          <w:tcPr>
            <w:tcW w:w="2960" w:type="dxa"/>
            <w:vAlign w:val="bottom"/>
            <w:tcBorders>
              <w:bottom w:val="single" w:sz="8" w:color="BFE4FF"/>
            </w:tcBorders>
            <w:shd w:val="clear" w:color="auto" w:fill="BFE4FF"/>
          </w:tcPr>
          <w:p>
            <w:pPr>
              <w:spacing w:after="0"/>
              <w:rPr>
                <w:sz w:val="23"/>
                <w:szCs w:val="23"/>
                <w:color w:val="auto"/>
              </w:rPr>
            </w:pPr>
          </w:p>
        </w:tc>
        <w:tc>
          <w:tcPr>
            <w:tcW w:w="13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13,328</w:t>
            </w:r>
          </w:p>
        </w:tc>
        <w:tc>
          <w:tcPr>
            <w:tcW w:w="40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18,036</w:t>
            </w:r>
          </w:p>
        </w:tc>
      </w:tr>
      <w:tr>
        <w:trPr>
          <w:trHeight w:val="231"/>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Credit Commitments</w:t>
            </w:r>
          </w:p>
        </w:tc>
        <w:tc>
          <w:tcPr>
            <w:tcW w:w="2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2,988,670</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2,859,279</w:t>
            </w:r>
          </w:p>
        </w:tc>
      </w:tr>
      <w:tr>
        <w:trPr>
          <w:trHeight w:val="33"/>
        </w:trPr>
        <w:tc>
          <w:tcPr>
            <w:tcW w:w="55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 party. Standby letters of credit generally become payable upon the failure of the customer to perform according to the terms of the underlying contract with the third 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 party under a standby letter of credit, and generally holds cash or deposits as collateral on those standby letters of credit for which collateral is deemed necessary.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is subject to various pending and threatened legal proceedings arising within the normal course of business or operations. On at least a quarterly basis, the Company assesses its liabilities and contingencies in connection with outstanding legal proceedings utilizing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September 30, 2018, the unpaid principal balance of residential mortgage loans sold by the Company was $2.7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loan-by-loan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During the nine months ended September 30, 2018, there were six residential mortgage loans repurchased with an aggregate unpaid principal balance of $1.6 million as a result of the representation and warranty provisions contained in these contracts. Five of the loans were delinquent in payment of principal and interest at the time of repurchase, however no material losses were incurred related to these repurchases. As of September 30, 2018, there were no pending repurchase requests related to representation and warranty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nine months ended September 30, 2018, there were no loans repurchased related to loan servicing activities. As of September 30, 2018, there were no pending repurchase requests related to loan servicing activities.</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September 30, 2018, management believes that this exposure is not material due to the historical level of repurchase requests and loss trends and thus has not established a liability for losses related to mortgage loan repurchases. As of September 30, 2018,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27" w:lineRule="exact"/>
        <w:rPr>
          <w:sz w:val="20"/>
          <w:szCs w:val="20"/>
          <w:color w:val="auto"/>
        </w:rPr>
      </w:pPr>
    </w:p>
    <w:p>
      <w:pPr>
        <w:jc w:val="both"/>
        <w:ind w:left="1500" w:right="720" w:hanging="1052"/>
        <w:spacing w:after="0" w:line="286" w:lineRule="auto"/>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22" w:lineRule="exact"/>
        <w:rPr>
          <w:sz w:val="20"/>
          <w:szCs w:val="20"/>
          <w:color w:val="auto"/>
        </w:rPr>
      </w:pPr>
    </w:p>
    <w:p>
      <w:pPr>
        <w:ind w:left="1500" w:right="580" w:hanging="1052"/>
        <w:spacing w:after="0" w:line="259"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pacing w:after="0" w:line="244" w:lineRule="exact"/>
        <w:rPr>
          <w:sz w:val="20"/>
          <w:szCs w:val="20"/>
          <w:color w:val="auto"/>
        </w:rPr>
      </w:pPr>
    </w:p>
    <w:p>
      <w:pPr>
        <w:ind w:left="1500" w:right="620" w:hanging="1052"/>
        <w:spacing w:after="0" w:line="259" w:lineRule="auto"/>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6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Management maximizes the use of observable inputs and minimizes the use of unobservable inputs when determining fair value measurements. Management reviews and updates the fair value hierarchy classifications of the Company’s assets and liabilities on a quarterly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30"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On a quarterly basis, management reviews the pricing information received from the Company’s third-party pricing service. This review process includes a comparison to non-binding third-party broker quotes, as well as a review of market-related conditions impacting the information provided by the Company’s third-party pricing service. Management primarily identifies investment securities which may have traded in illiquid or inactive markets by identifying instances of a significant decrease in the volume or frequency of trades, relative to historical levels, as well as instances of a significant widening of the bid-ask spread in the brokered markets. Investment securities that are deemed to have been trading in illiquid or inactive markets may require the use of significant unobservable inputs to determine fair value. As of September 30, 2018 and December 31, 2017, management did not make adjustments to prices provided by the third-party pricing service as a result of illiquid or inactive markets. On a quarterly basis, management also reviews a sample of securities priced by the Company’s third-party pricing service to review the significant assumptions and valuation methodologies used by the service. Based on this review, management determines whether the current placement of the security in the fair value hierarchy is appropriate or whether transfers may be warranted. The Company’s third-party pricing service has also established processes for the Company to submit inquiries regarding quoted prices. Periodically, the Company will challenge the quoted prices provided by the Company’s third-party pricing service. The Company’s third-party pricing service will review the inputs to the evaluation in light of the new market data presented by the Company. The Company’s third-party pricing service may then affirm the original quoted price or may update the evaluation on a going-forward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30"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Derivative financial instruments recorded at fair value on a recurring basis are comprised of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September 30, 2018 and December 31, 2017, the conversion rate swap agreements were valued at zero as reductions to the conversion ratio were neither probable nor reasonably estimable by management.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30"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balances of assets and liabilities measured at fair value on a recurring basis as of September 30, 2018 and December 31,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Quoted Prices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in Active</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Significant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Markets for</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Significant</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Identical Assets</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Observable</w:t>
            </w:r>
          </w:p>
        </w:tc>
        <w:tc>
          <w:tcPr>
            <w:tcW w:w="3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Unobservable</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or Liabilities</w:t>
            </w:r>
          </w:p>
        </w:tc>
        <w:tc>
          <w:tcPr>
            <w:tcW w:w="42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Inputs</w:t>
            </w:r>
          </w:p>
        </w:tc>
        <w:tc>
          <w:tcPr>
            <w:tcW w:w="34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Inputs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7"/>
        </w:trPr>
        <w:tc>
          <w:tcPr>
            <w:tcW w:w="502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2"/>
                <w:szCs w:val="22"/>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(Level 3)</w:t>
            </w:r>
          </w:p>
        </w:tc>
        <w:tc>
          <w:tcPr>
            <w:tcW w:w="4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47"/>
        </w:trPr>
        <w:tc>
          <w:tcPr>
            <w:tcW w:w="50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2018</w:t>
            </w:r>
          </w:p>
        </w:tc>
        <w:tc>
          <w:tcPr>
            <w:tcW w:w="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Available-for-Sale</w:t>
            </w:r>
          </w:p>
        </w:tc>
        <w:tc>
          <w:tcPr>
            <w:tcW w:w="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0"/>
        </w:trPr>
        <w:tc>
          <w:tcPr>
            <w:tcW w:w="5020" w:type="dxa"/>
            <w:vAlign w:val="bottom"/>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5020" w:type="dxa"/>
            <w:vAlign w:val="bottom"/>
          </w:tcPr>
          <w:p>
            <w:pPr>
              <w:ind w:left="520"/>
              <w:spacing w:after="0"/>
              <w:rPr>
                <w:sz w:val="20"/>
                <w:szCs w:val="20"/>
                <w:color w:val="auto"/>
              </w:rPr>
            </w:pPr>
            <w:r>
              <w:rPr>
                <w:rFonts w:ascii="Arial" w:cs="Arial" w:eastAsia="Arial" w:hAnsi="Arial"/>
                <w:sz w:val="16"/>
                <w:szCs w:val="16"/>
                <w:color w:val="auto"/>
              </w:rPr>
              <w:t>and Government Agencies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963</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417,201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418,164</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Debt Securities Issued by States and Political Subdivisions</w:t>
            </w:r>
          </w:p>
        </w:tc>
        <w:tc>
          <w:tcPr>
            <w:tcW w:w="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576,647</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576,647</w:t>
            </w:r>
          </w:p>
        </w:tc>
      </w:tr>
      <w:tr>
        <w:trPr>
          <w:trHeight w:val="237"/>
        </w:trPr>
        <w:tc>
          <w:tcPr>
            <w:tcW w:w="5020" w:type="dxa"/>
            <w:vAlign w:val="bottom"/>
          </w:tcPr>
          <w:p>
            <w:pPr>
              <w:ind w:left="280"/>
              <w:spacing w:after="0"/>
              <w:rPr>
                <w:sz w:val="20"/>
                <w:szCs w:val="20"/>
                <w:color w:val="auto"/>
              </w:rPr>
            </w:pPr>
            <w:r>
              <w:rPr>
                <w:rFonts w:ascii="Arial" w:cs="Arial" w:eastAsia="Arial" w:hAnsi="Arial"/>
                <w:sz w:val="16"/>
                <w:szCs w:val="16"/>
                <w:color w:val="auto"/>
                <w:w w:val="98"/>
              </w:rPr>
              <w:t>Debt Securities Issued by U.S. Government-Sponsored Enterprises</w:t>
            </w:r>
          </w:p>
        </w:tc>
        <w:tc>
          <w:tcPr>
            <w:tcW w:w="56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55</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 Issued by Corporations</w:t>
            </w:r>
          </w:p>
        </w:tc>
        <w:tc>
          <w:tcPr>
            <w:tcW w:w="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223,991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223,991</w:t>
            </w:r>
          </w:p>
        </w:tc>
      </w:tr>
      <w:tr>
        <w:trPr>
          <w:trHeight w:val="237"/>
        </w:trPr>
        <w:tc>
          <w:tcPr>
            <w:tcW w:w="5020" w:type="dxa"/>
            <w:vAlign w:val="bottom"/>
          </w:tcPr>
          <w:p>
            <w:pPr>
              <w:ind w:left="460"/>
              <w:spacing w:after="0"/>
              <w:rPr>
                <w:sz w:val="20"/>
                <w:szCs w:val="20"/>
                <w:color w:val="auto"/>
              </w:rPr>
            </w:pPr>
            <w:r>
              <w:rPr>
                <w:rFonts w:ascii="Arial" w:cs="Arial" w:eastAsia="Arial" w:hAnsi="Arial"/>
                <w:sz w:val="16"/>
                <w:szCs w:val="16"/>
                <w:color w:val="auto"/>
              </w:rPr>
              <w:t>Mortgage-Backed Securities:</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Residential - Government Agencies</w:t>
            </w:r>
          </w:p>
        </w:tc>
        <w:tc>
          <w:tcPr>
            <w:tcW w:w="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199,033</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199,033</w:t>
            </w:r>
          </w:p>
        </w:tc>
      </w:tr>
      <w:tr>
        <w:trPr>
          <w:trHeight w:val="237"/>
        </w:trPr>
        <w:tc>
          <w:tcPr>
            <w:tcW w:w="5020" w:type="dxa"/>
            <w:vAlign w:val="bottom"/>
          </w:tcPr>
          <w:p>
            <w:pPr>
              <w:ind w:left="580"/>
              <w:spacing w:after="0"/>
              <w:rPr>
                <w:sz w:val="20"/>
                <w:szCs w:val="20"/>
                <w:color w:val="auto"/>
              </w:rPr>
            </w:pPr>
            <w:r>
              <w:rPr>
                <w:rFonts w:ascii="Arial" w:cs="Arial" w:eastAsia="Arial" w:hAnsi="Arial"/>
                <w:sz w:val="16"/>
                <w:szCs w:val="16"/>
                <w:color w:val="auto"/>
              </w:rPr>
              <w:t>Residential - U.S. Government-Sponsored Enterprises</w:t>
            </w:r>
          </w:p>
        </w:tc>
        <w:tc>
          <w:tcPr>
            <w:tcW w:w="56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572,192</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572,192</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Commercial - Government Agencies</w:t>
            </w:r>
          </w:p>
        </w:tc>
        <w:tc>
          <w:tcPr>
            <w:tcW w:w="5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59,605</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59,605</w:t>
            </w:r>
          </w:p>
        </w:tc>
      </w:tr>
      <w:tr>
        <w:trPr>
          <w:trHeight w:val="231"/>
        </w:trPr>
        <w:tc>
          <w:tcPr>
            <w:tcW w:w="502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Mortgage-Backed Securities</w:t>
            </w:r>
          </w:p>
        </w:tc>
        <w:tc>
          <w:tcPr>
            <w:tcW w:w="5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830,830</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830,830</w:t>
            </w:r>
          </w:p>
        </w:tc>
      </w:tr>
      <w:tr>
        <w:trPr>
          <w:trHeight w:val="33"/>
        </w:trPr>
        <w:tc>
          <w:tcPr>
            <w:tcW w:w="5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5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963</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2,048,724</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2,049,687</w:t>
            </w:r>
          </w:p>
        </w:tc>
      </w:tr>
      <w:tr>
        <w:trPr>
          <w:trHeight w:val="231"/>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Loans Held for Sale</w:t>
            </w:r>
          </w:p>
        </w:tc>
        <w:tc>
          <w:tcPr>
            <w:tcW w:w="5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18,063</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18,063</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Servicing Rights</w:t>
            </w:r>
          </w:p>
        </w:tc>
        <w:tc>
          <w:tcPr>
            <w:tcW w:w="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1,327</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1,327</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56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33,497</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33,497</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5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5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180</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16,613</w:t>
            </w: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16,793</w:t>
            </w:r>
          </w:p>
        </w:tc>
      </w:tr>
      <w:tr>
        <w:trPr>
          <w:trHeight w:val="216"/>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5020" w:type="dxa"/>
            <w:vAlign w:val="bottom"/>
          </w:tcPr>
          <w:p>
            <w:pPr>
              <w:ind w:left="200"/>
              <w:spacing w:after="0"/>
              <w:rPr>
                <w:sz w:val="20"/>
                <w:szCs w:val="20"/>
                <w:color w:val="auto"/>
              </w:rPr>
            </w:pPr>
            <w:r>
              <w:rPr>
                <w:rFonts w:ascii="Arial" w:cs="Arial" w:eastAsia="Arial" w:hAnsi="Arial"/>
                <w:sz w:val="16"/>
                <w:szCs w:val="16"/>
                <w:b w:val="1"/>
                <w:bCs w:val="1"/>
                <w:color w:val="auto"/>
              </w:rPr>
              <w:t>Recurring Basis as of September 30, 2018</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34,460</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2,066,967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17,940</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2,119,367</w:t>
            </w:r>
          </w:p>
        </w:tc>
      </w:tr>
      <w:tr>
        <w:trPr>
          <w:trHeight w:val="73"/>
        </w:trPr>
        <w:tc>
          <w:tcPr>
            <w:tcW w:w="50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97"/>
        </w:trPr>
        <w:tc>
          <w:tcPr>
            <w:tcW w:w="5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9"/>
        </w:trPr>
        <w:tc>
          <w:tcPr>
            <w:tcW w:w="5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712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16,797</w:t>
            </w:r>
          </w:p>
        </w:tc>
        <w:tc>
          <w:tcPr>
            <w:tcW w:w="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17,509</w:t>
            </w:r>
          </w:p>
        </w:tc>
      </w:tr>
      <w:tr>
        <w:trPr>
          <w:trHeight w:val="210"/>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5020" w:type="dxa"/>
            <w:vAlign w:val="bottom"/>
          </w:tcPr>
          <w:p>
            <w:pPr>
              <w:ind w:left="200"/>
              <w:spacing w:after="0"/>
              <w:rPr>
                <w:sz w:val="20"/>
                <w:szCs w:val="20"/>
                <w:color w:val="auto"/>
              </w:rPr>
            </w:pPr>
            <w:r>
              <w:rPr>
                <w:rFonts w:ascii="Arial" w:cs="Arial" w:eastAsia="Arial" w:hAnsi="Arial"/>
                <w:sz w:val="16"/>
                <w:szCs w:val="16"/>
                <w:b w:val="1"/>
                <w:bCs w:val="1"/>
                <w:color w:val="auto"/>
              </w:rPr>
              <w:t>Recurring Basis as of September 30, 2018</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712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16,797</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17,509</w:t>
            </w:r>
          </w:p>
        </w:tc>
      </w:tr>
      <w:tr>
        <w:trPr>
          <w:trHeight w:val="73"/>
        </w:trPr>
        <w:tc>
          <w:tcPr>
            <w:tcW w:w="50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97"/>
        </w:trPr>
        <w:tc>
          <w:tcPr>
            <w:tcW w:w="5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rPr>
              <w:t>Investment Securities Available-for-Sale</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5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5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and Government Agencies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538</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425,392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425,930</w:t>
            </w:r>
          </w:p>
        </w:tc>
      </w:tr>
      <w:tr>
        <w:trPr>
          <w:trHeight w:val="237"/>
        </w:trPr>
        <w:tc>
          <w:tcPr>
            <w:tcW w:w="5020" w:type="dxa"/>
            <w:vAlign w:val="bottom"/>
          </w:tcPr>
          <w:p>
            <w:pPr>
              <w:ind w:left="460"/>
              <w:spacing w:after="0"/>
              <w:rPr>
                <w:sz w:val="20"/>
                <w:szCs w:val="20"/>
                <w:color w:val="auto"/>
              </w:rPr>
            </w:pPr>
            <w:r>
              <w:rPr>
                <w:rFonts w:ascii="Arial" w:cs="Arial" w:eastAsia="Arial" w:hAnsi="Arial"/>
                <w:sz w:val="16"/>
                <w:szCs w:val="16"/>
                <w:color w:val="auto"/>
              </w:rPr>
              <w:t>Debt Securities Issued by States and Political Subdivisions</w:t>
            </w:r>
          </w:p>
        </w:tc>
        <w:tc>
          <w:tcPr>
            <w:tcW w:w="56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627,019</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627,019</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Debt Securities Issued by Corporations</w:t>
            </w:r>
          </w:p>
        </w:tc>
        <w:tc>
          <w:tcPr>
            <w:tcW w:w="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266,111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266,111</w:t>
            </w:r>
          </w:p>
        </w:tc>
      </w:tr>
      <w:tr>
        <w:trPr>
          <w:trHeight w:val="237"/>
        </w:trPr>
        <w:tc>
          <w:tcPr>
            <w:tcW w:w="5020" w:type="dxa"/>
            <w:vAlign w:val="bottom"/>
          </w:tcPr>
          <w:p>
            <w:pPr>
              <w:ind w:left="460"/>
              <w:spacing w:after="0"/>
              <w:rPr>
                <w:sz w:val="20"/>
                <w:szCs w:val="20"/>
                <w:color w:val="auto"/>
              </w:rPr>
            </w:pPr>
            <w:r>
              <w:rPr>
                <w:rFonts w:ascii="Arial" w:cs="Arial" w:eastAsia="Arial" w:hAnsi="Arial"/>
                <w:sz w:val="16"/>
                <w:szCs w:val="16"/>
                <w:color w:val="auto"/>
              </w:rPr>
              <w:t>Mortgage-Backed Securities:</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Residential - Government Agencies</w:t>
            </w:r>
          </w:p>
        </w:tc>
        <w:tc>
          <w:tcPr>
            <w:tcW w:w="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235,360</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235,360</w:t>
            </w:r>
          </w:p>
        </w:tc>
      </w:tr>
      <w:tr>
        <w:trPr>
          <w:trHeight w:val="237"/>
        </w:trPr>
        <w:tc>
          <w:tcPr>
            <w:tcW w:w="5020" w:type="dxa"/>
            <w:vAlign w:val="bottom"/>
          </w:tcPr>
          <w:p>
            <w:pPr>
              <w:ind w:left="580"/>
              <w:spacing w:after="0"/>
              <w:rPr>
                <w:sz w:val="20"/>
                <w:szCs w:val="20"/>
                <w:color w:val="auto"/>
              </w:rPr>
            </w:pPr>
            <w:r>
              <w:rPr>
                <w:rFonts w:ascii="Arial" w:cs="Arial" w:eastAsia="Arial" w:hAnsi="Arial"/>
                <w:sz w:val="16"/>
                <w:szCs w:val="16"/>
                <w:color w:val="auto"/>
              </w:rPr>
              <w:t>Residential - U.S. Government-Sponsored Enterprises</w:t>
            </w:r>
          </w:p>
        </w:tc>
        <w:tc>
          <w:tcPr>
            <w:tcW w:w="56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609,812</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609,812</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Commercial - Government Agencies</w:t>
            </w:r>
          </w:p>
        </w:tc>
        <w:tc>
          <w:tcPr>
            <w:tcW w:w="5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68,747</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68,747</w:t>
            </w:r>
          </w:p>
        </w:tc>
      </w:tr>
      <w:tr>
        <w:trPr>
          <w:trHeight w:val="231"/>
        </w:trPr>
        <w:tc>
          <w:tcPr>
            <w:tcW w:w="502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Mortgage-Backed Securities</w:t>
            </w:r>
          </w:p>
        </w:tc>
        <w:tc>
          <w:tcPr>
            <w:tcW w:w="5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913,919</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913,919</w:t>
            </w:r>
          </w:p>
        </w:tc>
      </w:tr>
      <w:tr>
        <w:trPr>
          <w:trHeight w:val="33"/>
        </w:trPr>
        <w:tc>
          <w:tcPr>
            <w:tcW w:w="5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5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538</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2,232,441</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2,232,979</w:t>
            </w:r>
          </w:p>
        </w:tc>
      </w:tr>
      <w:tr>
        <w:trPr>
          <w:trHeight w:val="231"/>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Loans Held for Sale</w:t>
            </w:r>
          </w:p>
        </w:tc>
        <w:tc>
          <w:tcPr>
            <w:tcW w:w="5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19,231</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19,231</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Servicing Rights</w:t>
            </w:r>
          </w:p>
        </w:tc>
        <w:tc>
          <w:tcPr>
            <w:tcW w:w="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1,454</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1,454</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56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29,230</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29,230</w:t>
            </w: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5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5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146</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10,372</w:t>
            </w: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10,518</w:t>
            </w:r>
          </w:p>
        </w:tc>
      </w:tr>
      <w:tr>
        <w:trPr>
          <w:trHeight w:val="216"/>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5020" w:type="dxa"/>
            <w:vAlign w:val="bottom"/>
          </w:tcPr>
          <w:p>
            <w:pPr>
              <w:ind w:left="200"/>
              <w:spacing w:after="0"/>
              <w:rPr>
                <w:sz w:val="20"/>
                <w:szCs w:val="20"/>
                <w:color w:val="auto"/>
              </w:rPr>
            </w:pPr>
            <w:r>
              <w:rPr>
                <w:rFonts w:ascii="Arial" w:cs="Arial" w:eastAsia="Arial" w:hAnsi="Arial"/>
                <w:sz w:val="16"/>
                <w:szCs w:val="16"/>
                <w:b w:val="1"/>
                <w:bCs w:val="1"/>
                <w:color w:val="auto"/>
              </w:rPr>
              <w:t>Recurring Basis as of December 31, 2017</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29,768</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2,251,818</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11,826</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2,293,412</w:t>
            </w:r>
          </w:p>
        </w:tc>
      </w:tr>
      <w:tr>
        <w:trPr>
          <w:trHeight w:val="73"/>
        </w:trPr>
        <w:tc>
          <w:tcPr>
            <w:tcW w:w="50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51"/>
        </w:trPr>
        <w:tc>
          <w:tcPr>
            <w:tcW w:w="5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9"/>
        </w:trPr>
        <w:tc>
          <w:tcPr>
            <w:tcW w:w="5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9,478</w:t>
            </w:r>
          </w:p>
        </w:tc>
        <w:tc>
          <w:tcPr>
            <w:tcW w:w="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9,693</w:t>
            </w:r>
          </w:p>
        </w:tc>
      </w:tr>
      <w:tr>
        <w:trPr>
          <w:trHeight w:val="210"/>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5020" w:type="dxa"/>
            <w:vAlign w:val="bottom"/>
          </w:tcPr>
          <w:p>
            <w:pPr>
              <w:ind w:left="200"/>
              <w:spacing w:after="0"/>
              <w:rPr>
                <w:sz w:val="20"/>
                <w:szCs w:val="20"/>
                <w:color w:val="auto"/>
              </w:rPr>
            </w:pPr>
            <w:r>
              <w:rPr>
                <w:rFonts w:ascii="Arial" w:cs="Arial" w:eastAsia="Arial" w:hAnsi="Arial"/>
                <w:sz w:val="16"/>
                <w:szCs w:val="16"/>
                <w:b w:val="1"/>
                <w:bCs w:val="1"/>
                <w:color w:val="auto"/>
              </w:rPr>
              <w:t>Recurring Basis as of December 31, 2017</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215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9,478</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9,693</w:t>
            </w:r>
          </w:p>
        </w:tc>
      </w:tr>
      <w:tr>
        <w:trPr>
          <w:trHeight w:val="33"/>
        </w:trPr>
        <w:tc>
          <w:tcPr>
            <w:tcW w:w="5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8"/>
        </w:numPr>
        <w:rPr>
          <w:rFonts w:ascii="Arial" w:cs="Arial" w:eastAsia="Arial" w:hAnsi="Arial"/>
          <w:sz w:val="9"/>
          <w:szCs w:val="9"/>
          <w:color w:val="auto"/>
        </w:rPr>
      </w:pPr>
      <w:r>
        <w:rPr>
          <w:rFonts w:ascii="Arial" w:cs="Arial" w:eastAsia="Arial" w:hAnsi="Arial"/>
          <w:sz w:val="14"/>
          <w:szCs w:val="14"/>
          <w:color w:val="auto"/>
        </w:rPr>
        <w:t xml:space="preserve">The fair value of each class of derivatives is shown in Note 12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420"/>
          </w:cols>
          <w:pgMar w:left="240" w:top="130" w:right="239" w:bottom="109"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0" w:right="239" w:bottom="109"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three and nine months ended September 30, 2018 and 2017, the changes in Level 3 assets and liabilities measured at fair value on a recurring basis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Net Derivative</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Assets and</w:t>
            </w:r>
          </w:p>
        </w:tc>
        <w:tc>
          <w:tcPr>
            <w:tcW w:w="0" w:type="dxa"/>
            <w:vAlign w:val="bottom"/>
          </w:tcPr>
          <w:p>
            <w:pPr>
              <w:spacing w:after="0"/>
              <w:rPr>
                <w:sz w:val="1"/>
                <w:szCs w:val="1"/>
                <w:color w:val="auto"/>
              </w:rPr>
            </w:pPr>
          </w:p>
        </w:tc>
      </w:tr>
      <w:tr>
        <w:trPr>
          <w:trHeight w:val="251"/>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 xml:space="preserve">Servicing Rights </w:t>
            </w:r>
            <w:r>
              <w:rPr>
                <w:rFonts w:ascii="Arial" w:cs="Arial" w:eastAsia="Arial" w:hAnsi="Arial"/>
                <w:sz w:val="17"/>
                <w:szCs w:val="17"/>
                <w:b w:val="1"/>
                <w:bCs w:val="1"/>
                <w:color w:val="auto"/>
                <w:w w:val="99"/>
                <w:vertAlign w:val="superscript"/>
              </w:rPr>
              <w:t>1</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4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as of July 1, 2018</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1,366</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September 30,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1,327</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September 30, 2018</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2017</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July 1,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1,548</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September 30, 2017</w:t>
            </w:r>
          </w:p>
        </w:tc>
        <w:tc>
          <w:tcPr>
            <w:tcW w:w="2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1,509</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September 30,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Nine Months Ended September 30, 2018</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as of January 1, 2018</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1,454</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(127)</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September 30,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1,327</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September 30, 2018</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2017</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January 1,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1,655</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4,469</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(4,581)</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September 30, 2017</w:t>
            </w:r>
          </w:p>
        </w:tc>
        <w:tc>
          <w:tcPr>
            <w:tcW w:w="2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1,509</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September 30,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9"/>
        </w:numPr>
        <w:rPr>
          <w:rFonts w:ascii="Arial" w:cs="Arial" w:eastAsia="Arial" w:hAnsi="Arial"/>
          <w:sz w:val="8"/>
          <w:szCs w:val="8"/>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25" w:lineRule="exact"/>
        <w:rPr>
          <w:sz w:val="20"/>
          <w:szCs w:val="20"/>
          <w:color w:val="auto"/>
        </w:rPr>
      </w:pPr>
    </w:p>
    <w:p>
      <w:pPr>
        <w:ind w:left="80" w:right="140" w:hanging="72"/>
        <w:spacing w:after="0" w:line="338" w:lineRule="auto"/>
        <w:tabs>
          <w:tab w:leader="none" w:pos="80" w:val="left"/>
        </w:tabs>
        <w:numPr>
          <w:ilvl w:val="0"/>
          <w:numId w:val="20"/>
        </w:numPr>
        <w:rPr>
          <w:rFonts w:ascii="Arial" w:cs="Arial" w:eastAsia="Arial" w:hAnsi="Arial"/>
          <w:sz w:val="8"/>
          <w:szCs w:val="8"/>
          <w:color w:val="auto"/>
        </w:rPr>
      </w:pPr>
      <w:r>
        <w:rPr>
          <w:rFonts w:ascii="Arial" w:cs="Arial" w:eastAsia="Arial" w:hAnsi="Arial"/>
          <w:sz w:val="12"/>
          <w:szCs w:val="12"/>
          <w:color w:val="auto"/>
        </w:rPr>
        <w:t>Realized and unrealized gains and losses related to interest rate lock commitments are reported as a component of mortgage banking income in the Company’s consolidated statements of income. Realized and unrealized gains and losses related to interest rate swap agreements are reported as a component of other noninterest income in the Company’s consolidated statements of income.</w:t>
      </w:r>
    </w:p>
    <w:p>
      <w:pPr>
        <w:sectPr>
          <w:pgSz w:w="11900" w:h="16838" w:orient="portrait"/>
          <w:cols w:equalWidth="0" w:num="1">
            <w:col w:w="11420"/>
          </w:cols>
          <w:pgMar w:left="240" w:top="130"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September 30, 2018 and December 31, 2017, the significant unobservable inputs used in the fair value measurements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580" w:type="dxa"/>
            <w:vAlign w:val="bottom"/>
            <w:gridSpan w:val="2"/>
          </w:tcPr>
          <w:p>
            <w:pPr>
              <w:jc w:val="right"/>
              <w:ind w:right="145"/>
              <w:spacing w:after="0"/>
              <w:rPr>
                <w:sz w:val="20"/>
                <w:szCs w:val="20"/>
                <w:color w:val="auto"/>
              </w:rPr>
            </w:pPr>
            <w:r>
              <w:rPr>
                <w:rFonts w:ascii="Arial" w:cs="Arial" w:eastAsia="Arial" w:hAnsi="Arial"/>
                <w:sz w:val="16"/>
                <w:szCs w:val="16"/>
                <w:b w:val="1"/>
                <w:bCs w:val="1"/>
                <w:color w:val="auto"/>
              </w:rPr>
              <w:t>Significant Unobservable Inputs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2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580" w:type="dxa"/>
            <w:vAlign w:val="bottom"/>
            <w:gridSpan w:val="2"/>
          </w:tcPr>
          <w:p>
            <w:pPr>
              <w:jc w:val="right"/>
              <w:ind w:right="605"/>
              <w:spacing w:after="0"/>
              <w:rPr>
                <w:sz w:val="20"/>
                <w:szCs w:val="20"/>
                <w:color w:val="auto"/>
              </w:rPr>
            </w:pPr>
            <w:r>
              <w:rPr>
                <w:rFonts w:ascii="Arial" w:cs="Arial" w:eastAsia="Arial" w:hAnsi="Arial"/>
                <w:sz w:val="16"/>
                <w:szCs w:val="16"/>
                <w:b w:val="1"/>
                <w:bCs w:val="1"/>
                <w:color w:val="auto"/>
              </w:rPr>
              <w:t>(weighted-average)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right"/>
              <w:ind w:right="544"/>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2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2780" w:type="dxa"/>
            <w:vAlign w:val="bottom"/>
          </w:tcPr>
          <w:p>
            <w:pPr>
              <w:spacing w:after="0"/>
              <w:rPr>
                <w:sz w:val="18"/>
                <w:szCs w:val="18"/>
                <w:color w:val="auto"/>
              </w:rPr>
            </w:pPr>
          </w:p>
        </w:tc>
        <w:tc>
          <w:tcPr>
            <w:tcW w:w="2040" w:type="dxa"/>
            <w:vAlign w:val="bottom"/>
          </w:tcPr>
          <w:p>
            <w:pPr>
              <w:jc w:val="right"/>
              <w:ind w:right="64"/>
              <w:spacing w:after="0"/>
              <w:rPr>
                <w:sz w:val="20"/>
                <w:szCs w:val="20"/>
                <w:color w:val="auto"/>
              </w:rPr>
            </w:pPr>
            <w:r>
              <w:rPr>
                <w:rFonts w:ascii="Arial" w:cs="Arial" w:eastAsia="Arial" w:hAnsi="Arial"/>
                <w:sz w:val="16"/>
                <w:szCs w:val="16"/>
                <w:b w:val="1"/>
                <w:bCs w:val="1"/>
                <w:color w:val="auto"/>
              </w:rPr>
              <w:t>Valuation</w:t>
            </w:r>
          </w:p>
        </w:tc>
        <w:tc>
          <w:tcPr>
            <w:tcW w:w="2360" w:type="dxa"/>
            <w:vAlign w:val="bottom"/>
          </w:tcPr>
          <w:p>
            <w:pPr>
              <w:spacing w:after="0"/>
              <w:rPr>
                <w:sz w:val="18"/>
                <w:szCs w:val="18"/>
                <w:color w:val="auto"/>
              </w:rPr>
            </w:pPr>
          </w:p>
        </w:tc>
        <w:tc>
          <w:tcPr>
            <w:tcW w:w="1220" w:type="dxa"/>
            <w:vAlign w:val="bottom"/>
          </w:tcPr>
          <w:p>
            <w:pPr>
              <w:jc w:val="right"/>
              <w:ind w:right="345"/>
              <w:spacing w:after="0"/>
              <w:rPr>
                <w:sz w:val="20"/>
                <w:szCs w:val="20"/>
                <w:color w:val="auto"/>
              </w:rPr>
            </w:pPr>
            <w:r>
              <w:rPr>
                <w:rFonts w:ascii="Arial" w:cs="Arial" w:eastAsia="Arial" w:hAnsi="Arial"/>
                <w:sz w:val="16"/>
                <w:szCs w:val="16"/>
                <w:b w:val="1"/>
                <w:bCs w:val="1"/>
                <w:color w:val="auto"/>
              </w:rPr>
              <w:t>Sept. 30,</w:t>
            </w: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 31,</w:t>
            </w:r>
          </w:p>
        </w:tc>
        <w:tc>
          <w:tcPr>
            <w:tcW w:w="22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6"/>
                <w:szCs w:val="16"/>
                <w:b w:val="1"/>
                <w:bCs w:val="1"/>
                <w:color w:val="auto"/>
              </w:rPr>
              <w:t>Sept. 30,</w:t>
            </w:r>
          </w:p>
        </w:tc>
        <w:tc>
          <w:tcPr>
            <w:tcW w:w="24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6"/>
                <w:szCs w:val="16"/>
                <w:b w:val="1"/>
                <w:bCs w:val="1"/>
                <w:color w:val="auto"/>
                <w:w w:val="99"/>
              </w:rPr>
              <w:t>Dec. 31,</w:t>
            </w:r>
          </w:p>
        </w:tc>
      </w:tr>
      <w:tr>
        <w:trPr>
          <w:trHeight w:val="237"/>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0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Technique</w:t>
            </w:r>
          </w:p>
        </w:tc>
        <w:tc>
          <w:tcPr>
            <w:tcW w:w="23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Description</w:t>
            </w:r>
          </w:p>
        </w:tc>
        <w:tc>
          <w:tcPr>
            <w:tcW w:w="122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2018</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2017</w:t>
            </w:r>
          </w:p>
        </w:tc>
      </w:tr>
      <w:tr>
        <w:trPr>
          <w:trHeight w:val="270"/>
        </w:trPr>
        <w:tc>
          <w:tcPr>
            <w:tcW w:w="2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 xml:space="preserve">Constant Prepayment Rate </w:t>
            </w:r>
            <w:r>
              <w:rPr>
                <w:rFonts w:ascii="Arial" w:cs="Arial" w:eastAsia="Arial" w:hAnsi="Arial"/>
                <w:sz w:val="8"/>
                <w:szCs w:val="8"/>
                <w:color w:val="auto"/>
              </w:rPr>
              <w:t>1</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6.36%</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4"/>
                <w:szCs w:val="14"/>
                <w:color w:val="auto"/>
              </w:rPr>
              <w:t>31,390</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28,170</w:t>
            </w:r>
          </w:p>
        </w:tc>
      </w:tr>
      <w:tr>
        <w:trPr>
          <w:trHeight w:val="264"/>
        </w:trPr>
        <w:tc>
          <w:tcPr>
            <w:tcW w:w="27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 xml:space="preserve">Discount Rate </w:t>
            </w:r>
            <w:r>
              <w:rPr>
                <w:rFonts w:ascii="Arial" w:cs="Arial" w:eastAsia="Arial" w:hAnsi="Arial"/>
                <w:sz w:val="8"/>
                <w:szCs w:val="8"/>
                <w:color w:val="auto"/>
              </w:rPr>
              <w:t>2</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9.94%</w:t>
            </w:r>
          </w:p>
        </w:tc>
        <w:tc>
          <w:tcPr>
            <w:tcW w:w="900" w:type="dxa"/>
            <w:vAlign w:val="bottom"/>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2780" w:type="dxa"/>
            <w:vAlign w:val="bottom"/>
          </w:tcPr>
          <w:p>
            <w:pPr>
              <w:ind w:left="40"/>
              <w:spacing w:after="0"/>
              <w:rPr>
                <w:sz w:val="20"/>
                <w:szCs w:val="20"/>
                <w:color w:val="auto"/>
              </w:rPr>
            </w:pPr>
            <w:r>
              <w:rPr>
                <w:rFonts w:ascii="Arial" w:cs="Arial" w:eastAsia="Arial" w:hAnsi="Arial"/>
                <w:sz w:val="14"/>
                <w:szCs w:val="14"/>
                <w:color w:val="auto"/>
              </w:rPr>
              <w:t>Net Derivative Assets and Liabilities:</w:t>
            </w:r>
          </w:p>
        </w:tc>
        <w:tc>
          <w:tcPr>
            <w:tcW w:w="20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Lock Commitments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Pricing Model</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Closing Ratio</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92.98%</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4"/>
                <w:szCs w:val="14"/>
                <w:color w:val="auto"/>
              </w:rPr>
              <w:t>425</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789</w:t>
            </w:r>
          </w:p>
        </w:tc>
      </w:tr>
      <w:tr>
        <w:trPr>
          <w:trHeight w:val="258"/>
        </w:trPr>
        <w:tc>
          <w:tcPr>
            <w:tcW w:w="2780" w:type="dxa"/>
            <w:vAlign w:val="bottom"/>
          </w:tcPr>
          <w:p>
            <w:pPr>
              <w:ind w:left="180"/>
              <w:spacing w:after="0"/>
              <w:rPr>
                <w:sz w:val="20"/>
                <w:szCs w:val="20"/>
                <w:color w:val="auto"/>
              </w:rPr>
            </w:pPr>
            <w:r>
              <w:rPr>
                <w:rFonts w:ascii="Arial" w:cs="Arial" w:eastAsia="Arial" w:hAnsi="Arial"/>
                <w:sz w:val="14"/>
                <w:szCs w:val="14"/>
                <w:color w:val="auto"/>
              </w:rPr>
              <w:t>Interest Rate Swap Agreements</w:t>
            </w:r>
          </w:p>
        </w:tc>
        <w:tc>
          <w:tcPr>
            <w:tcW w:w="2040" w:type="dxa"/>
            <w:vAlign w:val="bottom"/>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Credit Factor</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0.02%</w:t>
            </w:r>
          </w:p>
        </w:tc>
        <w:tc>
          <w:tcPr>
            <w:tcW w:w="90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
              <w:spacing w:after="0"/>
              <w:rPr>
                <w:sz w:val="20"/>
                <w:szCs w:val="20"/>
                <w:color w:val="auto"/>
              </w:rPr>
            </w:pPr>
            <w:r>
              <w:rPr>
                <w:rFonts w:ascii="Arial" w:cs="Arial" w:eastAsia="Arial" w:hAnsi="Arial"/>
                <w:sz w:val="14"/>
                <w:szCs w:val="14"/>
                <w:color w:val="auto"/>
              </w:rPr>
              <w:t>(609)</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105</w:t>
            </w:r>
          </w:p>
        </w:tc>
      </w:tr>
    </w:tbl>
    <w:p>
      <w:pPr>
        <w:spacing w:after="0" w:line="101"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Represents annualized loan repayment rate assumption.</w:t>
      </w:r>
    </w:p>
    <w:p>
      <w:pPr>
        <w:spacing w:after="0" w:line="13" w:lineRule="exact"/>
        <w:rPr>
          <w:sz w:val="20"/>
          <w:szCs w:val="20"/>
          <w:color w:val="auto"/>
        </w:rPr>
      </w:pPr>
    </w:p>
    <w:p>
      <w:pPr>
        <w:ind w:left="80" w:hanging="72"/>
        <w:spacing w:after="0"/>
        <w:tabs>
          <w:tab w:leader="none" w:pos="80" w:val="left"/>
        </w:tabs>
        <w:numPr>
          <w:ilvl w:val="0"/>
          <w:numId w:val="2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18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model’s results to historical prepayment data. The Treasury Division also compares the fair value of the Company’s mortgage servicing rights to a value calculated by an independent third party. Discussions are held with members from the Treasury, Mortgage Banking, and Controllers Divisions, along with the independent third 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the Company’s secondary marketing system using historical data and the ratio is periodically reviewed by the Company.</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unobservable input used in the fair value measurement of the Company’s interest rate swap agreements is the credit factor. This factor represents the risk that a counterparty is either unable or unwilling to settle a transaction in accordance with the underlying contractual terms. A significant increase (decrease) in the credit factor could result in a significantly lower (higher) fair value measurement. The credit factor is determined by the Treasury Division based on the risk rating assigned to each counterparty in which the Company holds a net asset position. The Company’s Credit Policy Committee periodically reviews and approves the Expected Default Frequency of the Economic Capital Model for Credit Risk. The Expected Default Frequency is used as the credit factor for interest rate swap agreements.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As of September 30, 2018 and December 31, 2017, there were no material adjustments to fair value for the Company’s assets and liabilities measured at fair value on a nonrecurring basis in accordance with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September 30, 2018 and December 31,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Aggregate Fair Value</w:t>
            </w:r>
          </w:p>
        </w:tc>
      </w:tr>
      <w:tr>
        <w:trPr>
          <w:trHeight w:val="203"/>
        </w:trPr>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rPr>
              <w:t>Aggregate</w:t>
            </w:r>
          </w:p>
        </w:tc>
        <w:tc>
          <w:tcPr>
            <w:tcW w:w="680" w:type="dxa"/>
            <w:vAlign w:val="bottom"/>
          </w:tcPr>
          <w:p>
            <w:pPr>
              <w:spacing w:after="0"/>
              <w:rPr>
                <w:sz w:val="17"/>
                <w:szCs w:val="17"/>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Aggregate</w:t>
            </w:r>
          </w:p>
        </w:tc>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Less Aggregate</w:t>
            </w:r>
          </w:p>
        </w:tc>
      </w:tr>
      <w:tr>
        <w:trPr>
          <w:trHeight w:val="237"/>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200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Unpaid Principal</w:t>
            </w:r>
          </w:p>
        </w:tc>
        <w:tc>
          <w:tcPr>
            <w:tcW w:w="19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Unpaid Principal</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September 30, 2018</w:t>
            </w:r>
          </w:p>
        </w:tc>
        <w:tc>
          <w:tcPr>
            <w:tcW w:w="2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Loans Held for Sale</w:t>
            </w:r>
          </w:p>
        </w:tc>
        <w:tc>
          <w:tcPr>
            <w:tcW w:w="2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18,063</w:t>
            </w: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99"/>
              <w:spacing w:after="0"/>
              <w:rPr>
                <w:sz w:val="20"/>
                <w:szCs w:val="20"/>
                <w:color w:val="auto"/>
              </w:rPr>
            </w:pPr>
            <w:r>
              <w:rPr>
                <w:rFonts w:ascii="Arial" w:cs="Arial" w:eastAsia="Arial" w:hAnsi="Arial"/>
                <w:sz w:val="16"/>
                <w:szCs w:val="16"/>
                <w:color w:val="auto"/>
              </w:rPr>
              <w:t>17,849</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214</w:t>
            </w:r>
          </w:p>
        </w:tc>
      </w:tr>
      <w:tr>
        <w:trPr>
          <w:trHeight w:val="33"/>
        </w:trPr>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8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Loans Held for Sale</w:t>
            </w:r>
          </w:p>
        </w:tc>
        <w:tc>
          <w:tcPr>
            <w:tcW w:w="2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19,231</w:t>
            </w: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18,854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r>
      <w:tr>
        <w:trPr>
          <w:trHeight w:val="33"/>
        </w:trPr>
        <w:tc>
          <w:tcPr>
            <w:tcW w:w="37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three and nine months ended September 30, 2018 and 2017, the net gains or losses from the change in fair value of the Company’s residential mortgage loans held for sale were not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presents the carrying amount, fair value, and placement in the fair value hierarchy of the Company’s financial instruments not recorded at fair value on a recurring basis as of September 30, 2018 and December 31, 2017.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5"/>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5" w:lineRule="exact"/>
              <w:rPr>
                <w:sz w:val="20"/>
                <w:szCs w:val="20"/>
                <w:color w:val="auto"/>
              </w:rPr>
            </w:pPr>
            <w:r>
              <w:rPr>
                <w:rFonts w:ascii="Arial" w:cs="Arial" w:eastAsia="Arial" w:hAnsi="Arial"/>
                <w:sz w:val="15"/>
                <w:szCs w:val="15"/>
                <w:b w:val="1"/>
                <w:bCs w:val="1"/>
                <w:color w:val="auto"/>
              </w:rPr>
              <w:t>Quoted Prices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in Active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Markets for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Significant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Identical</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rPr>
              <w:t>Significant</w:t>
            </w: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Assets 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Observable</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w w:val="96"/>
              </w:rPr>
              <w:t>Unobservable</w:t>
            </w:r>
          </w:p>
        </w:tc>
      </w:tr>
      <w:tr>
        <w:trPr>
          <w:trHeight w:val="198"/>
        </w:trPr>
        <w:tc>
          <w:tcPr>
            <w:tcW w:w="3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ind w:right="120"/>
              <w:spacing w:after="0"/>
              <w:rPr>
                <w:sz w:val="20"/>
                <w:szCs w:val="20"/>
                <w:color w:val="auto"/>
              </w:rPr>
            </w:pPr>
            <w:r>
              <w:rPr>
                <w:rFonts w:ascii="Arial" w:cs="Arial" w:eastAsia="Arial" w:hAnsi="Arial"/>
                <w:sz w:val="15"/>
                <w:szCs w:val="15"/>
                <w:b w:val="1"/>
                <w:bCs w:val="1"/>
                <w:color w:val="auto"/>
              </w:rPr>
              <w:t>Carrying</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Liabilities</w:t>
            </w:r>
          </w:p>
        </w:tc>
        <w:tc>
          <w:tcPr>
            <w:tcW w:w="380" w:type="dxa"/>
            <w:vAlign w:val="bottom"/>
          </w:tcPr>
          <w:p>
            <w:pPr>
              <w:spacing w:after="0"/>
              <w:rPr>
                <w:sz w:val="17"/>
                <w:szCs w:val="17"/>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Inputs</w:t>
            </w:r>
          </w:p>
        </w:tc>
        <w:tc>
          <w:tcPr>
            <w:tcW w:w="1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5"/>
                <w:szCs w:val="15"/>
                <w:b w:val="1"/>
                <w:bCs w:val="1"/>
                <w:color w:val="auto"/>
              </w:rPr>
              <w:t>Inputs</w:t>
            </w:r>
          </w:p>
        </w:tc>
      </w:tr>
      <w:tr>
        <w:trPr>
          <w:trHeight w:val="216"/>
        </w:trPr>
        <w:tc>
          <w:tcPr>
            <w:tcW w:w="382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5"/>
                <w:szCs w:val="15"/>
                <w:b w:val="1"/>
                <w:bCs w:val="1"/>
                <w:color w:val="auto"/>
              </w:rPr>
              <w:t>Amount</w:t>
            </w:r>
          </w:p>
        </w:tc>
        <w:tc>
          <w:tcPr>
            <w:tcW w:w="46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Arial" w:cs="Arial" w:eastAsia="Arial" w:hAnsi="Arial"/>
                <w:sz w:val="15"/>
                <w:szCs w:val="15"/>
                <w:b w:val="1"/>
                <w:bCs w:val="1"/>
                <w:color w:val="auto"/>
              </w:rPr>
              <w:t>Fair Value</w:t>
            </w:r>
          </w:p>
        </w:tc>
        <w:tc>
          <w:tcPr>
            <w:tcW w:w="260" w:type="dxa"/>
            <w:vAlign w:val="bottom"/>
          </w:tcPr>
          <w:p>
            <w:pPr>
              <w:spacing w:after="0"/>
              <w:rPr>
                <w:sz w:val="18"/>
                <w:szCs w:val="18"/>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8"/>
                <w:szCs w:val="18"/>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(Level 2)</w:t>
            </w:r>
          </w:p>
        </w:tc>
        <w:tc>
          <w:tcPr>
            <w:tcW w:w="18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5"/>
                <w:szCs w:val="15"/>
                <w:b w:val="1"/>
                <w:bCs w:val="1"/>
                <w:color w:val="auto"/>
              </w:rPr>
              <w:t>(Level 3)</w:t>
            </w:r>
          </w:p>
        </w:tc>
      </w:tr>
      <w:tr>
        <w:trPr>
          <w:trHeight w:val="62"/>
        </w:trPr>
        <w:tc>
          <w:tcPr>
            <w:tcW w:w="38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September 30, 2018</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3,664,487</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3,549,235</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420,577</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3,128,658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60" w:type="dxa"/>
            <w:vAlign w:val="bottom"/>
          </w:tcPr>
          <w:p>
            <w:pPr>
              <w:spacing w:after="0"/>
              <w:rPr>
                <w:sz w:val="23"/>
                <w:szCs w:val="23"/>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9,870,398</w:t>
            </w:r>
          </w:p>
        </w:tc>
        <w:tc>
          <w:tcPr>
            <w:tcW w:w="46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9,703,221</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9,703,221</w:t>
            </w:r>
          </w:p>
        </w:tc>
      </w:tr>
      <w:tr>
        <w:trPr>
          <w:trHeight w:val="271"/>
        </w:trPr>
        <w:tc>
          <w:tcPr>
            <w:tcW w:w="38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1,745,232</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1,730,253</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1,730,253</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504,293</w:t>
            </w:r>
          </w:p>
        </w:tc>
        <w:tc>
          <w:tcPr>
            <w:tcW w:w="46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504,267</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504,267</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175,000</w:t>
            </w: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173,771</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173,771</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December 31, 2017</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3,928,170</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3,894,121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373,640</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3,520,481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60" w:type="dxa"/>
            <w:vAlign w:val="bottom"/>
          </w:tcPr>
          <w:p>
            <w:pPr>
              <w:spacing w:after="0"/>
              <w:rPr>
                <w:sz w:val="23"/>
                <w:szCs w:val="23"/>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9,436,506</w:t>
            </w:r>
          </w:p>
        </w:tc>
        <w:tc>
          <w:tcPr>
            <w:tcW w:w="46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9,519,369</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9,519,369</w:t>
            </w:r>
          </w:p>
        </w:tc>
      </w:tr>
      <w:tr>
        <w:trPr>
          <w:trHeight w:val="271"/>
        </w:trPr>
        <w:tc>
          <w:tcPr>
            <w:tcW w:w="38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1,688,092</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1,679,684</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1,679,684</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505,293</w:t>
            </w:r>
          </w:p>
        </w:tc>
        <w:tc>
          <w:tcPr>
            <w:tcW w:w="46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505,278</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505,278</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250,000</w:t>
            </w: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248,520</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248,520</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180" w:right="100" w:hanging="172"/>
        <w:spacing w:after="0" w:line="250" w:lineRule="auto"/>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Carrying amount is net of unearned income and the Allowance. In accordance with the prospective adoption of ASU No. 2016-01, the fair value of loans as of September 30, 2018 was measured using an exit price notion. The fair value of loans as of December 31, 2017 was measured using an entry price notion.</w:t>
      </w:r>
    </w:p>
    <w:p>
      <w:pPr>
        <w:spacing w:after="0" w:line="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9"/>
          <w:szCs w:val="9"/>
          <w:color w:val="auto"/>
        </w:rPr>
      </w:pPr>
      <w:r>
        <w:rPr>
          <w:rFonts w:ascii="Arial" w:cs="Arial" w:eastAsia="Arial" w:hAnsi="Arial"/>
          <w:sz w:val="14"/>
          <w:szCs w:val="14"/>
          <w:color w:val="auto"/>
        </w:rPr>
        <w:t>Excludes capitalized lease obligations.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Revenue Recognition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On January 1, 2018, 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all subsequent ASUs that modified Topic 606. As stated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implementation of the new standard did not have a material impact on the measurement or recognition of revenue; as such, a cumulative effect adjustment to opening retained earnings was not deemed necessary. Results for reporting periods beginning after January 1, 2018 are presented under Topic 606, while prior period amounts were not adjusted and continue to be reported in accordance with the Company’s historic accounting under Topic 605.</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Topic 606 does not apply to revenue associated with financial instruments, including revenue from loans and securities. In addition, certain noninterest income streams such as fees associated with mortgage servicing rights, financial guarantees, derivatives, and certain credit card fees are also not in the scope of the new guidance. Topic 606 is applicable to noninterest revenue streams such as trust and asset management income, deposit related fees, interchange fees, merchant income, and annuity and insurance commissions. However, the recognition of these revenue streams did not change significantly upon adoption of Topic 606. Substantially all of the Company’s revenue is generated from contracts with customers. Noninterest revenue streams in-scope of Topic 606 are discussed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and Asset Management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Trust and asset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Exchange, and Other Service Charges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Fees, exchange, and other service charges are primarily comprised of debit and credit card income, ATM fees, merchant services income, and other service charges. Debit and credit card income is primarily comprised of interchange fees earned whenever the Company’s debit and credit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Annuity and Insurance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30"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Other noninterest income consists of other recurring revenue streams such as commissions from sales of mutual funds and other investments, investment advisor fees from the Company’s Managed Account Platform Services (MAPS) wealth management product, safety deposit box rental fees, and other miscellaneous revenue streams. Commissions from the sale of mutual funds and other investments are recognized on trade date,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MAPS wealth management product is earned over time and based on an annual percentage rate of the net asset value. The investment advisor fees are charged to the customer’s account in advance on the first month of the quarter, and the revenue is recognized over the following three-month period. 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presents noninterest income, segregated by revenue streams in-scope and out-of-scope of Topic 606, for the three and nine months ended September 30, 2018 and 2017.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8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Noninterest Income</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60"/>
              <w:spacing w:after="0"/>
              <w:rPr>
                <w:sz w:val="20"/>
                <w:szCs w:val="20"/>
                <w:color w:val="auto"/>
              </w:rPr>
            </w:pPr>
            <w:r>
              <w:rPr>
                <w:rFonts w:ascii="Arial" w:cs="Arial" w:eastAsia="Arial" w:hAnsi="Arial"/>
                <w:sz w:val="16"/>
                <w:szCs w:val="16"/>
                <w:i w:val="1"/>
                <w:iCs w:val="1"/>
                <w:color w:val="auto"/>
              </w:rPr>
              <w:t>In-scope of Topic 606:</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Trust and Asset Management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10,782</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11,050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33,319</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34,325</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Service Charges on Deposit Accounts</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3,194</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3,764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9,982</w:t>
            </w:r>
          </w:p>
        </w:tc>
        <w:tc>
          <w:tcPr>
            <w:tcW w:w="8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11,620</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Fees, Exchange, and Other Service Charges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11,506</w:t>
            </w: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34,556</w:t>
            </w: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33,237</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Annuity and Insurance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1,311</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1,351</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4,251</w:t>
            </w:r>
          </w:p>
        </w:tc>
        <w:tc>
          <w:tcPr>
            <w:tcW w:w="8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5,241</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2,366</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2,138</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7,176</w:t>
            </w:r>
          </w:p>
        </w:tc>
        <w:tc>
          <w:tcPr>
            <w:tcW w:w="8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6,683</w:t>
            </w:r>
          </w:p>
        </w:tc>
      </w:tr>
      <w:tr>
        <w:trPr>
          <w:trHeight w:val="231"/>
        </w:trPr>
        <w:tc>
          <w:tcPr>
            <w:tcW w:w="526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Noninterest Income (in-scope of Topic 606)</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29,159</w:t>
            </w:r>
          </w:p>
        </w:tc>
        <w:tc>
          <w:tcPr>
            <w:tcW w:w="9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29,506</w:t>
            </w: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89,284</w:t>
            </w:r>
          </w:p>
        </w:tc>
        <w:tc>
          <w:tcPr>
            <w:tcW w:w="8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91,106</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Noninterest Income (out-of-scope of Topic 606)</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12,323</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12,904</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37,531</w:t>
            </w:r>
          </w:p>
        </w:tc>
        <w:tc>
          <w:tcPr>
            <w:tcW w:w="8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52,456</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41,482</w:t>
            </w:r>
          </w:p>
        </w:tc>
        <w:tc>
          <w:tcPr>
            <w:tcW w:w="9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42,410</w:t>
            </w: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126,815</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143,562</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such as asset management fees based on month-end market values.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September 30, 2018 and December 31, 2017, the Company did not have any significant contract balances.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unanticipated changes in the securities markets, public debt markets, and other capital markets in the U.S. and internationally; 3) competitive pressures in the markets for financial services and products; 4) the impact of legislative and regulatory initiatives, particularly the Dodd-Frank Wall Street Reform and Consumer Protection Act of 2010 (the “Dodd-Frank Act”) and changes to such initiatives, such as the Economic Growth, Regulatory Relief, and Consumer Protection Act of 2018; 5) changes in fiscal and monetary policies of the markets in which we operate; 6) the increased cost of maintaining or the Company’s ability to maintain adequate liquidity and capital, based on the requirements adopted by the Basel Committee on Banking Supervision and U.S. regulators; 7) actual or alleged conduct which could harm our reputation; 8) changes in accounting standards; 9) changes in tax laws or regulations, including the Tax Act, or the interpretation of such laws and regulations; 10) changes in our credit quality or risk profile that may increase or decrease the required level of our reserve for credit losses; 11) changes in market interest rates that may affect credit markets and our ability to maintain our net interest margin; 12) the impact of litigation and regulatory investigations of the Company, including costs, expenses, settlements, and judgments; 13) any failure in or breach of our operational systems, information systems or infrastructure, or those of our merchants, third party vendors and other service providers; 14) any interruption or breach of security of our information systems resulting in failures or disruptions in customer account management, general ledger processing, and loan or deposit systems; 15) changes to the amount and timing of proposed common stock repurchases; and 16) natural disasters, public unrest or adverse weather, public health, and other conditions impacting us and our customers’ operations or negatively impacting the tourism industry in Hawaii.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 Form 10-K for the year ended December 31, 2017,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30"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business strategy is to use our unique market knowledge, prudent management discipline and brand strength to deliver exceptional value to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General economic conditions in Hawaii remained positive during the third quarter of 2018 due to a continuation of the strong tourism market, active construction industry, low unemployment, and robust real estate market. For the first eight months of 2018, total visitor arrivals increased 7.2% while total visitor spending increased 8.8% compared to the same period in 2017. The Hawaii statewide seasonally-adjusted unemployment rate was 2.2% in September 2018 compared to 3.7% nationally. For the first nine months of 2018, the volume of single-family home sales on Oahu decreased 3.7%, and the volume of condominium sales on Oahu decreased 0.1% compared with the same period in 2017. The median price of single-family home sales and condominium sales on Oahu increased 4.2% and 5.5%, respectively, for the first nine months of 2018 compared to the same period in 2017. As of September 30, 2018, months of inventory of single-family homes and condominiums on Oahu remained low at 2.8 months and 2.9 months,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income for the third quarter of 2018 was $56.9 million, an increase of $11.1 million or 24% compared to the same period in 2017. Diluted earnings per share was $1.36 for the third quarter of 2018, an increase of $0.28 or 26% compared to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higher earnings for the third quarter of 2018 were primarily due to the following:</w:t>
      </w:r>
    </w:p>
    <w:p>
      <w:pPr>
        <w:spacing w:after="0" w:line="225" w:lineRule="exact"/>
        <w:rPr>
          <w:sz w:val="20"/>
          <w:szCs w:val="20"/>
          <w:color w:val="auto"/>
        </w:rPr>
      </w:pPr>
    </w:p>
    <w:p>
      <w:pPr>
        <w:ind w:left="340" w:right="10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 for income taxes for the third quarter of 2018 was $13.1 million, a decrease of $7.1 million or 35% compared to the same period in 2017 primarily due to the federal corporate tax rate changing from 35% to 21% as a result of the passage of the Tax Act. The Company’s effective tax rate for the third quarter of 2018 was 18.75%, down from 30.62% for the same period in 2017.</w:t>
      </w:r>
    </w:p>
    <w:p>
      <w:pPr>
        <w:spacing w:after="0" w:line="100" w:lineRule="exact"/>
        <w:rPr>
          <w:rFonts w:ascii="Arial" w:cs="Arial" w:eastAsia="Arial" w:hAnsi="Arial"/>
          <w:sz w:val="18"/>
          <w:szCs w:val="18"/>
          <w:color w:val="auto"/>
        </w:rPr>
      </w:pPr>
    </w:p>
    <w:p>
      <w:pPr>
        <w:ind w:left="340" w:right="14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interest income for the third quarter of 2018 was $122.9 million, an increase of $6.6 million or 6% compared to the same period in 2017. The increase was primarily due to the shift in the mix of our earning assets to loans, which generally have higher yields. The Company’s net interest margin was 3.07% in the third quarter of 2018, an increase of 15 basis points compared to the same period in 2017. In addition, yield increases in our commercial and industrial, commercial mortgage, and home equity loans were primarily due to higher yields on floating rate loans. This increase was partially offset by an increase in rates offered on our deposit products and a decrease in automobile loan rates due to higher rate payoff activity and the addition of lower rate automobile loans to our portfolio.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the following:</w:t>
      </w:r>
    </w:p>
    <w:p>
      <w:pPr>
        <w:spacing w:after="0" w:line="144" w:lineRule="exact"/>
        <w:rPr>
          <w:sz w:val="20"/>
          <w:szCs w:val="20"/>
          <w:color w:val="auto"/>
        </w:rPr>
      </w:pPr>
    </w:p>
    <w:p>
      <w:pPr>
        <w:ind w:left="340" w:right="60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Mortgage banking income for the third quarter of 2018 was $2.0 million, a decrease of $1.3 million or 39% compared to the same period in 2017 primarily due to lower loan sales of conforming saleable loans from our mortgage loan portfolio.</w:t>
      </w:r>
    </w:p>
    <w:p>
      <w:pPr>
        <w:spacing w:after="0" w:line="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income for the first nine months of 2018 was $165.7 million, an increase of $24.0 million or 17% compared to the same period in 2017. Diluted earnings per share was $3.93 for the first nine months of 2018, an increase of $0.61 or 18% compared to the same period in 2017.</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30" w:right="27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higher earnings for the first nine months of 2018 were primarily due to the following:</w:t>
      </w:r>
    </w:p>
    <w:p>
      <w:pPr>
        <w:spacing w:after="0" w:line="144" w:lineRule="exact"/>
        <w:rPr>
          <w:sz w:val="20"/>
          <w:szCs w:val="20"/>
          <w:color w:val="auto"/>
        </w:rPr>
      </w:pPr>
    </w:p>
    <w:p>
      <w:pPr>
        <w:ind w:left="340" w:right="100" w:hanging="332"/>
        <w:spacing w:after="0" w:line="25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 for income taxes for the first nine months of 2018 was $36.4 million, a decrease of $25.9 million or 42% compared to the same period in 2017 primarily due to the federal corporate tax rate changing from 35% to 21% as a result of the passage of the Tax Act. The effective tax rate for the first nine months of 2018 was 18.00%, down from 30.54% for the same period in 2017. The tax rate was also favorably impacted by a $2.0 million basis adjustment to the Company’s low income housing investments in the first quarter of 2018 and a $1.3 million benefit from early buyouts of our equity interest in leverage leases.</w:t>
      </w:r>
    </w:p>
    <w:p>
      <w:pPr>
        <w:spacing w:after="0" w:line="107" w:lineRule="exact"/>
        <w:rPr>
          <w:rFonts w:ascii="Arial" w:cs="Arial" w:eastAsia="Arial" w:hAnsi="Arial"/>
          <w:sz w:val="18"/>
          <w:szCs w:val="18"/>
          <w:color w:val="auto"/>
        </w:rPr>
      </w:pPr>
    </w:p>
    <w:p>
      <w:pPr>
        <w:ind w:left="340" w:right="100" w:hanging="332"/>
        <w:spacing w:after="0" w:line="255"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interest income for the first nine months of 2018 was $362.4 million, an increase of $23.9 million or 7% compared to the same period in 2017. This increase was primarily due to a higher level of earning assets, including growth in both our commercial and consumer lending portfolios, and higher net interest margin. The higher level of earning assets was primarily funded by higher deposit balances. Our net interest margin was 3.04% in the first nine months of 2018, an increase of 13 basis points compared to the same period in 2017. In addition, yield increases in our commercial and industrial, commercial mortgage, and home equity loans were primarily due to higher yields on floating rate loans. This increase was partially offset by an increase in rates offered on our deposit products and a decrease in automobile loan rates due to higher rate payoff activity and the addition of lower rate automobile loans to our portfolio.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the following:</w:t>
      </w:r>
    </w:p>
    <w:p>
      <w:pPr>
        <w:spacing w:after="0" w:line="225" w:lineRule="exact"/>
        <w:rPr>
          <w:sz w:val="20"/>
          <w:szCs w:val="20"/>
          <w:color w:val="auto"/>
        </w:rPr>
      </w:pPr>
    </w:p>
    <w:p>
      <w:pPr>
        <w:ind w:left="340" w:right="44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securities gains (losses), net totaled $(3.1) million for the first nine months of 2018 compared to $11.0 million during the same period in 2017. The net losses in the first nine months of 2018 were due to fees paid to the counterparties of our prior Visa Class B share sale transactions combined with a $1.0 million paid related to a change in the Visa Class B share conversion ratio. The net gain in the first nine months of 2017 was primarily due the sale of 90,000 Visa Class B shares.</w:t>
      </w:r>
    </w:p>
    <w:p>
      <w:pPr>
        <w:spacing w:after="0" w:line="105" w:lineRule="exact"/>
        <w:rPr>
          <w:rFonts w:ascii="Arial" w:cs="Arial" w:eastAsia="Arial" w:hAnsi="Arial"/>
          <w:sz w:val="18"/>
          <w:szCs w:val="18"/>
          <w:color w:val="auto"/>
        </w:rPr>
      </w:pPr>
    </w:p>
    <w:p>
      <w:pPr>
        <w:ind w:left="340" w:right="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Salaries and benefits expense was $51.8 million, an increase of $6.3 million or 4% compared to the same period in 2017. This increase was primarily due to merit and minimum wage increases. These increases were partially offset by a $1.8 million decrease in commission expense due to a decrease in loan origination and refinancing activity coupled with lower sales of annuity products.</w:t>
      </w:r>
    </w:p>
    <w:p>
      <w:pPr>
        <w:spacing w:after="0" w:line="100"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 banking income was $6.3 million, a decrease of $4.1 million or 39% compared to the same period in 2017. This decrease was primarily due to reduced sales of conforming saleable loans from our mortgage loan portfolio.</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maintained a strong balance sheet during the third quarter of 2018, with what we believe are adequate reserves for credit losses and high levels of liquidity and capital.</w:t>
      </w:r>
    </w:p>
    <w:p>
      <w:pPr>
        <w:spacing w:after="0" w:line="89" w:lineRule="exact"/>
        <w:rPr>
          <w:sz w:val="20"/>
          <w:szCs w:val="20"/>
          <w:color w:val="auto"/>
        </w:rPr>
      </w:pPr>
    </w:p>
    <w:p>
      <w:pPr>
        <w:ind w:left="340" w:right="5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loans and leases were $10.2 billion as of September 30, 2018, an increase of $434.1 million or 4% from December 31, 2017 primarily due to growth in both our commercial and consumer lending portfolios.</w:t>
      </w:r>
    </w:p>
    <w:p>
      <w:pPr>
        <w:spacing w:after="0" w:line="89"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allowance for loan and lease losses (the “Allowance”) was $108.7 million as of September 30, 2018, an increase of $1.3 million or 1% from December 31, 2017. The Allowance represents 1.06% of total loans and leases outstanding as of September 30, 2018 and 1.10% of total loans and leases outstanding as of December 31, 2017. The level of our Allowance was commensurate with the Company’s credit risk profile, loan portfolio growth and composition, and a healthy Hawaii economy.</w:t>
      </w:r>
    </w:p>
    <w:p>
      <w:pPr>
        <w:spacing w:after="0" w:line="105" w:lineRule="exact"/>
        <w:rPr>
          <w:rFonts w:ascii="Arial" w:cs="Arial" w:eastAsia="Arial" w:hAnsi="Arial"/>
          <w:sz w:val="18"/>
          <w:szCs w:val="18"/>
          <w:color w:val="auto"/>
        </w:rPr>
      </w:pPr>
    </w:p>
    <w:p>
      <w:pPr>
        <w:ind w:left="340" w:right="140" w:hanging="332"/>
        <w:spacing w:after="0" w:line="279"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of September 30, 2018, the total carrying value of our investment securities portfolio was $5.7 billion, a decrease of $447.0 million or 7% compared to December 31, 2017. During the first nine months of 2018, we reduced our positions in mortgage-backed securities issued by Ginnie Mae and Freddie Mac. We re-invested these proceeds primarily into higher yielding loan products. In addition, we increased our holdings in Small Business Administration securities. Ginnie Mae mortgage-backed securities continue to be our largest concentration in our portfolio.</w:t>
      </w:r>
    </w:p>
    <w:p>
      <w:pPr>
        <w:spacing w:after="0" w:line="90" w:lineRule="exact"/>
        <w:rPr>
          <w:rFonts w:ascii="Arial" w:cs="Arial" w:eastAsia="Arial" w:hAnsi="Arial"/>
          <w:sz w:val="17"/>
          <w:szCs w:val="17"/>
          <w:color w:val="auto"/>
        </w:rPr>
      </w:pPr>
    </w:p>
    <w:p>
      <w:pPr>
        <w:ind w:left="340" w:right="4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deposits were $14.8 billion as of September 30, 2018, a decrease of $40.6 million or less than 1% from December 31, 2017 primarily due to a decrease in public time deposits offset by an increase in consumer deposits.</w:t>
      </w:r>
    </w:p>
    <w:p>
      <w:pPr>
        <w:spacing w:after="0" w:line="89" w:lineRule="exact"/>
        <w:rPr>
          <w:rFonts w:ascii="Arial" w:cs="Arial" w:eastAsia="Arial" w:hAnsi="Arial"/>
          <w:sz w:val="18"/>
          <w:szCs w:val="18"/>
          <w:color w:val="auto"/>
        </w:rPr>
      </w:pPr>
    </w:p>
    <w:p>
      <w:pPr>
        <w:ind w:left="340" w:right="180" w:hanging="332"/>
        <w:spacing w:after="0" w:line="297"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shareholders’ equity was $1.3 billion as of September 30, 2018, an increase of $21.5 million or 2% from December 31, 2017. We continued to return capital to our shareholders in the form of share repurchases and dividends. During the first nine months of 2018, we acquired 795,181 shares of our common stock at a total cost of $67.0 million under our share repurchase program and from shares obtained from employees and/or directors in connection with income tax withholdings related to the vesting of restricted stock, shares purchased for a deferred compensation plan, and stock swaps, less shares distributed from the deferred compensation plan. We also paid cash dividends of $72.6 million during the first nine months of 2018.</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66"/>
        </w:trPr>
        <w:tc>
          <w:tcPr>
            <w:tcW w:w="5160" w:type="dxa"/>
            <w:vAlign w:val="bottom"/>
            <w:gridSpan w:val="5"/>
          </w:tcPr>
          <w:p>
            <w:pPr>
              <w:spacing w:after="0"/>
              <w:rPr>
                <w:sz w:val="20"/>
                <w:szCs w:val="20"/>
                <w:color w:val="auto"/>
              </w:rPr>
            </w:pPr>
            <w:r>
              <w:rPr>
                <w:rFonts w:ascii="Arial" w:cs="Arial" w:eastAsia="Arial" w:hAnsi="Arial"/>
                <w:sz w:val="18"/>
                <w:szCs w:val="18"/>
                <w:color w:val="auto"/>
              </w:rPr>
              <w:t>Our financial highlights are presented in Table 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13"/>
        </w:trPr>
        <w:tc>
          <w:tcPr>
            <w:tcW w:w="5160" w:type="dxa"/>
            <w:vAlign w:val="bottom"/>
            <w:gridSpan w:val="5"/>
          </w:tcPr>
          <w:p>
            <w:pPr>
              <w:ind w:left="40"/>
              <w:spacing w:after="0"/>
              <w:rPr>
                <w:sz w:val="20"/>
                <w:szCs w:val="20"/>
                <w:color w:val="auto"/>
              </w:rPr>
            </w:pPr>
            <w:r>
              <w:rPr>
                <w:rFonts w:ascii="Arial" w:cs="Arial" w:eastAsia="Arial" w:hAnsi="Arial"/>
                <w:sz w:val="18"/>
                <w:szCs w:val="18"/>
                <w:b w:val="1"/>
                <w:bCs w:val="1"/>
                <w:color w:val="auto"/>
              </w:rPr>
              <w:t>Financial Highlights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6"/>
                <w:szCs w:val="16"/>
                <w:b w:val="1"/>
                <w:bCs w:val="1"/>
                <w:color w:val="auto"/>
              </w:rPr>
              <w:t>Table 1</w:t>
            </w:r>
          </w:p>
        </w:tc>
      </w:tr>
      <w:tr>
        <w:trPr>
          <w:trHeight w:val="27"/>
        </w:trPr>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r>
      <w:tr>
        <w:trPr>
          <w:trHeight w:val="256"/>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60" w:type="dxa"/>
            <w:vAlign w:val="bottom"/>
            <w:gridSpan w:val="4"/>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22"/>
                <w:szCs w:val="22"/>
                <w:color w:val="auto"/>
              </w:rPr>
            </w:pPr>
          </w:p>
        </w:tc>
        <w:tc>
          <w:tcPr>
            <w:tcW w:w="2780" w:type="dxa"/>
            <w:vAlign w:val="bottom"/>
            <w:gridSpan w:val="3"/>
          </w:tcPr>
          <w:p>
            <w:pPr>
              <w:jc w:val="right"/>
              <w:ind w:right="748"/>
              <w:spacing w:after="0"/>
              <w:rPr>
                <w:sz w:val="20"/>
                <w:szCs w:val="20"/>
                <w:color w:val="auto"/>
              </w:rPr>
            </w:pPr>
            <w:r>
              <w:rPr>
                <w:rFonts w:ascii="Arial" w:cs="Arial" w:eastAsia="Arial" w:hAnsi="Arial"/>
                <w:sz w:val="15"/>
                <w:szCs w:val="15"/>
                <w:b w:val="1"/>
                <w:bCs w:val="1"/>
                <w:color w:val="auto"/>
              </w:rPr>
              <w:t>Nine Months Ended</w:t>
            </w:r>
          </w:p>
        </w:tc>
      </w:tr>
      <w:tr>
        <w:trPr>
          <w:trHeight w:val="274"/>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5"/>
                <w:szCs w:val="15"/>
                <w:b w:val="1"/>
                <w:bCs w:val="1"/>
                <w:color w:val="auto"/>
              </w:rPr>
              <w:t>September 30,</w:t>
            </w:r>
          </w:p>
        </w:tc>
        <w:tc>
          <w:tcPr>
            <w:tcW w:w="92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5"/>
                <w:szCs w:val="15"/>
                <w:b w:val="1"/>
                <w:bCs w:val="1"/>
                <w:color w:val="auto"/>
              </w:rPr>
              <w:t>September 30,</w:t>
            </w:r>
          </w:p>
        </w:tc>
      </w:tr>
      <w:tr>
        <w:trPr>
          <w:trHeight w:val="264"/>
        </w:trPr>
        <w:tc>
          <w:tcPr>
            <w:tcW w:w="516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color w:val="auto"/>
              </w:rPr>
              <w:t>(dollars in thousands, except per share amounts)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rPr>
              <w:t>2018</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2017</w:t>
            </w: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2017</w:t>
            </w:r>
          </w:p>
        </w:tc>
      </w:tr>
      <w:tr>
        <w:trPr>
          <w:trHeight w:val="227"/>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For the Period: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Operating Results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7"/>
              <w:spacing w:after="0"/>
              <w:rPr>
                <w:sz w:val="20"/>
                <w:szCs w:val="20"/>
                <w:color w:val="auto"/>
              </w:rPr>
            </w:pPr>
            <w:r>
              <w:rPr>
                <w:rFonts w:ascii="Arial" w:cs="Arial" w:eastAsia="Arial" w:hAnsi="Arial"/>
                <w:sz w:val="14"/>
                <w:szCs w:val="14"/>
                <w:color w:val="auto"/>
              </w:rPr>
              <w:t>122,927</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116,317</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362,379</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338,468</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Provision for Credit Losses</w:t>
            </w:r>
          </w:p>
        </w:tc>
        <w:tc>
          <w:tcPr>
            <w:tcW w:w="340" w:type="dxa"/>
            <w:vAlign w:val="bottom"/>
          </w:tcPr>
          <w:p>
            <w:pPr>
              <w:spacing w:after="0"/>
              <w:rPr>
                <w:sz w:val="22"/>
                <w:szCs w:val="22"/>
                <w:color w:val="auto"/>
              </w:rPr>
            </w:pPr>
          </w:p>
        </w:tc>
        <w:tc>
          <w:tcPr>
            <w:tcW w:w="1160" w:type="dxa"/>
            <w:vAlign w:val="bottom"/>
          </w:tcPr>
          <w:p>
            <w:pPr>
              <w:jc w:val="right"/>
              <w:ind w:right="187"/>
              <w:spacing w:after="0"/>
              <w:rPr>
                <w:sz w:val="20"/>
                <w:szCs w:val="20"/>
                <w:color w:val="auto"/>
              </w:rPr>
            </w:pPr>
            <w:r>
              <w:rPr>
                <w:rFonts w:ascii="Arial" w:cs="Arial" w:eastAsia="Arial" w:hAnsi="Arial"/>
                <w:sz w:val="14"/>
                <w:szCs w:val="14"/>
                <w:color w:val="auto"/>
              </w:rPr>
              <w:t>3,800</w:t>
            </w:r>
          </w:p>
        </w:tc>
        <w:tc>
          <w:tcPr>
            <w:tcW w:w="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4,000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11,425</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12,650</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Noninterest Income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7"/>
              <w:spacing w:after="0"/>
              <w:rPr>
                <w:sz w:val="20"/>
                <w:szCs w:val="20"/>
                <w:color w:val="auto"/>
              </w:rPr>
            </w:pPr>
            <w:r>
              <w:rPr>
                <w:rFonts w:ascii="Arial" w:cs="Arial" w:eastAsia="Arial" w:hAnsi="Arial"/>
                <w:sz w:val="14"/>
                <w:szCs w:val="14"/>
                <w:color w:val="auto"/>
              </w:rPr>
              <w:t>41,482</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42,410</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126,815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143,562</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Total Noninterest Expense</w:t>
            </w:r>
          </w:p>
        </w:tc>
        <w:tc>
          <w:tcPr>
            <w:tcW w:w="340" w:type="dxa"/>
            <w:vAlign w:val="bottom"/>
          </w:tcPr>
          <w:p>
            <w:pPr>
              <w:spacing w:after="0"/>
              <w:rPr>
                <w:sz w:val="22"/>
                <w:szCs w:val="22"/>
                <w:color w:val="auto"/>
              </w:rPr>
            </w:pPr>
          </w:p>
        </w:tc>
        <w:tc>
          <w:tcPr>
            <w:tcW w:w="1160" w:type="dxa"/>
            <w:vAlign w:val="bottom"/>
          </w:tcPr>
          <w:p>
            <w:pPr>
              <w:jc w:val="right"/>
              <w:ind w:right="187"/>
              <w:spacing w:after="0"/>
              <w:rPr>
                <w:sz w:val="20"/>
                <w:szCs w:val="20"/>
                <w:color w:val="auto"/>
              </w:rPr>
            </w:pPr>
            <w:r>
              <w:rPr>
                <w:rFonts w:ascii="Arial" w:cs="Arial" w:eastAsia="Arial" w:hAnsi="Arial"/>
                <w:sz w:val="14"/>
                <w:szCs w:val="14"/>
                <w:color w:val="auto"/>
              </w:rPr>
              <w:t>90,538</w:t>
            </w:r>
          </w:p>
        </w:tc>
        <w:tc>
          <w:tcPr>
            <w:tcW w:w="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88,598</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275,713</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265,355</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7"/>
              <w:spacing w:after="0"/>
              <w:rPr>
                <w:sz w:val="20"/>
                <w:szCs w:val="20"/>
                <w:color w:val="auto"/>
              </w:rPr>
            </w:pPr>
            <w:r>
              <w:rPr>
                <w:rFonts w:ascii="Arial" w:cs="Arial" w:eastAsia="Arial" w:hAnsi="Arial"/>
                <w:sz w:val="14"/>
                <w:szCs w:val="14"/>
                <w:color w:val="auto"/>
              </w:rPr>
              <w:t>56,933</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45,881</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165,691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141,719</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Basic Earnings Per Share</w:t>
            </w:r>
          </w:p>
        </w:tc>
        <w:tc>
          <w:tcPr>
            <w:tcW w:w="340" w:type="dxa"/>
            <w:vAlign w:val="bottom"/>
          </w:tcPr>
          <w:p>
            <w:pPr>
              <w:spacing w:after="0"/>
              <w:rPr>
                <w:sz w:val="22"/>
                <w:szCs w:val="22"/>
                <w:color w:val="auto"/>
              </w:rPr>
            </w:pPr>
          </w:p>
        </w:tc>
        <w:tc>
          <w:tcPr>
            <w:tcW w:w="1160" w:type="dxa"/>
            <w:vAlign w:val="bottom"/>
          </w:tcPr>
          <w:p>
            <w:pPr>
              <w:jc w:val="right"/>
              <w:ind w:right="187"/>
              <w:spacing w:after="0"/>
              <w:rPr>
                <w:sz w:val="20"/>
                <w:szCs w:val="20"/>
                <w:color w:val="auto"/>
              </w:rPr>
            </w:pPr>
            <w:r>
              <w:rPr>
                <w:rFonts w:ascii="Arial" w:cs="Arial" w:eastAsia="Arial" w:hAnsi="Arial"/>
                <w:sz w:val="14"/>
                <w:szCs w:val="14"/>
                <w:color w:val="auto"/>
              </w:rPr>
              <w:t>1.37</w:t>
            </w:r>
          </w:p>
        </w:tc>
        <w:tc>
          <w:tcPr>
            <w:tcW w:w="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1.09</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3.96</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3.35</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7"/>
              <w:spacing w:after="0"/>
              <w:rPr>
                <w:sz w:val="20"/>
                <w:szCs w:val="20"/>
                <w:color w:val="auto"/>
              </w:rPr>
            </w:pPr>
            <w:r>
              <w:rPr>
                <w:rFonts w:ascii="Arial" w:cs="Arial" w:eastAsia="Arial" w:hAnsi="Arial"/>
                <w:sz w:val="14"/>
                <w:szCs w:val="14"/>
                <w:color w:val="auto"/>
              </w:rPr>
              <w:t>1.36</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3.93</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Dividends Declared Per Share</w:t>
            </w:r>
          </w:p>
        </w:tc>
        <w:tc>
          <w:tcPr>
            <w:tcW w:w="340" w:type="dxa"/>
            <w:vAlign w:val="bottom"/>
          </w:tcPr>
          <w:p>
            <w:pPr>
              <w:spacing w:after="0"/>
              <w:rPr>
                <w:sz w:val="22"/>
                <w:szCs w:val="22"/>
                <w:color w:val="auto"/>
              </w:rPr>
            </w:pPr>
          </w:p>
        </w:tc>
        <w:tc>
          <w:tcPr>
            <w:tcW w:w="1160" w:type="dxa"/>
            <w:vAlign w:val="bottom"/>
          </w:tcPr>
          <w:p>
            <w:pPr>
              <w:jc w:val="right"/>
              <w:ind w:right="187"/>
              <w:spacing w:after="0"/>
              <w:rPr>
                <w:sz w:val="20"/>
                <w:szCs w:val="20"/>
                <w:color w:val="auto"/>
              </w:rPr>
            </w:pPr>
            <w:r>
              <w:rPr>
                <w:rFonts w:ascii="Arial" w:cs="Arial" w:eastAsia="Arial" w:hAnsi="Arial"/>
                <w:sz w:val="14"/>
                <w:szCs w:val="14"/>
                <w:color w:val="auto"/>
              </w:rPr>
              <w:t>0.60</w:t>
            </w:r>
          </w:p>
        </w:tc>
        <w:tc>
          <w:tcPr>
            <w:tcW w:w="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0.52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1.72</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1.52</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Performance Ratios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Return on Average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1.33%</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Return on Average Shareholders’ Equity</w:t>
            </w:r>
          </w:p>
        </w:tc>
        <w:tc>
          <w:tcPr>
            <w:tcW w:w="340" w:type="dxa"/>
            <w:vAlign w:val="bottom"/>
          </w:tcPr>
          <w:p>
            <w:pPr>
              <w:spacing w:after="0"/>
              <w:rPr>
                <w:sz w:val="22"/>
                <w:szCs w:val="22"/>
                <w:color w:val="auto"/>
              </w:rPr>
            </w:pPr>
          </w:p>
        </w:tc>
        <w:tc>
          <w:tcPr>
            <w:tcW w:w="1160" w:type="dxa"/>
            <w:vAlign w:val="bottom"/>
          </w:tcPr>
          <w:p>
            <w:pPr>
              <w:jc w:val="right"/>
              <w:ind w:right="187"/>
              <w:spacing w:after="0"/>
              <w:rPr>
                <w:sz w:val="20"/>
                <w:szCs w:val="20"/>
                <w:color w:val="auto"/>
              </w:rPr>
            </w:pPr>
            <w:r>
              <w:rPr>
                <w:rFonts w:ascii="Arial" w:cs="Arial" w:eastAsia="Arial" w:hAnsi="Arial"/>
                <w:sz w:val="14"/>
                <w:szCs w:val="14"/>
                <w:color w:val="auto"/>
              </w:rPr>
              <w:t>18.06</w:t>
            </w:r>
          </w:p>
        </w:tc>
        <w:tc>
          <w:tcPr>
            <w:tcW w:w="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14.89</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17.83</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15.77</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7"/>
              <w:spacing w:after="0"/>
              <w:rPr>
                <w:sz w:val="20"/>
                <w:szCs w:val="20"/>
                <w:color w:val="auto"/>
              </w:rPr>
            </w:pPr>
            <w:r>
              <w:rPr>
                <w:rFonts w:ascii="Arial" w:cs="Arial" w:eastAsia="Arial" w:hAnsi="Arial"/>
                <w:sz w:val="14"/>
                <w:szCs w:val="14"/>
                <w:color w:val="auto"/>
              </w:rPr>
              <w:t>55.07</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55.82</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56.36</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55.05</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340" w:type="dxa"/>
            <w:vAlign w:val="bottom"/>
          </w:tcPr>
          <w:p>
            <w:pPr>
              <w:spacing w:after="0"/>
              <w:rPr>
                <w:sz w:val="22"/>
                <w:szCs w:val="22"/>
                <w:color w:val="auto"/>
              </w:rPr>
            </w:pPr>
          </w:p>
        </w:tc>
        <w:tc>
          <w:tcPr>
            <w:tcW w:w="1160" w:type="dxa"/>
            <w:vAlign w:val="bottom"/>
          </w:tcPr>
          <w:p>
            <w:pPr>
              <w:jc w:val="right"/>
              <w:ind w:right="187"/>
              <w:spacing w:after="0"/>
              <w:rPr>
                <w:sz w:val="20"/>
                <w:szCs w:val="20"/>
                <w:color w:val="auto"/>
              </w:rPr>
            </w:pPr>
            <w:r>
              <w:rPr>
                <w:rFonts w:ascii="Arial" w:cs="Arial" w:eastAsia="Arial" w:hAnsi="Arial"/>
                <w:sz w:val="14"/>
                <w:szCs w:val="14"/>
                <w:color w:val="auto"/>
              </w:rPr>
              <w:t>3.07</w:t>
            </w:r>
          </w:p>
        </w:tc>
        <w:tc>
          <w:tcPr>
            <w:tcW w:w="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2.92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3.04</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2.91</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8"/>
                <w:szCs w:val="8"/>
                <w:color w:val="auto"/>
              </w:rPr>
              <w:t>3</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7"/>
              <w:spacing w:after="0"/>
              <w:rPr>
                <w:sz w:val="20"/>
                <w:szCs w:val="20"/>
                <w:color w:val="auto"/>
              </w:rPr>
            </w:pPr>
            <w:r>
              <w:rPr>
                <w:rFonts w:ascii="Arial" w:cs="Arial" w:eastAsia="Arial" w:hAnsi="Arial"/>
                <w:sz w:val="14"/>
                <w:szCs w:val="14"/>
                <w:color w:val="auto"/>
              </w:rPr>
              <w:t>43.80</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47.71</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43.43</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45.37</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 to Average Assets</w:t>
            </w:r>
          </w:p>
        </w:tc>
        <w:tc>
          <w:tcPr>
            <w:tcW w:w="340" w:type="dxa"/>
            <w:vAlign w:val="bottom"/>
          </w:tcPr>
          <w:p>
            <w:pPr>
              <w:spacing w:after="0"/>
              <w:rPr>
                <w:sz w:val="22"/>
                <w:szCs w:val="22"/>
                <w:color w:val="auto"/>
              </w:rPr>
            </w:pPr>
          </w:p>
        </w:tc>
        <w:tc>
          <w:tcPr>
            <w:tcW w:w="1160" w:type="dxa"/>
            <w:vAlign w:val="bottom"/>
          </w:tcPr>
          <w:p>
            <w:pPr>
              <w:jc w:val="right"/>
              <w:ind w:right="187"/>
              <w:spacing w:after="0"/>
              <w:rPr>
                <w:sz w:val="20"/>
                <w:szCs w:val="20"/>
                <w:color w:val="auto"/>
              </w:rPr>
            </w:pPr>
            <w:r>
              <w:rPr>
                <w:rFonts w:ascii="Arial" w:cs="Arial" w:eastAsia="Arial" w:hAnsi="Arial"/>
                <w:sz w:val="14"/>
                <w:szCs w:val="14"/>
                <w:color w:val="auto"/>
              </w:rPr>
              <w:t>7.35</w:t>
            </w:r>
          </w:p>
        </w:tc>
        <w:tc>
          <w:tcPr>
            <w:tcW w:w="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7.21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7.32</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7.22</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Average Balances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Average Loans and Leases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7"/>
              <w:spacing w:after="0"/>
              <w:rPr>
                <w:sz w:val="20"/>
                <w:szCs w:val="20"/>
                <w:color w:val="auto"/>
              </w:rPr>
            </w:pPr>
            <w:r>
              <w:rPr>
                <w:rFonts w:ascii="Arial" w:cs="Arial" w:eastAsia="Arial" w:hAnsi="Arial"/>
                <w:sz w:val="14"/>
                <w:szCs w:val="14"/>
                <w:color w:val="auto"/>
              </w:rPr>
              <w:t>10,081,886</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9,451,972</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9,950,518</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9,231,615</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Average Assets</w:t>
            </w:r>
          </w:p>
        </w:tc>
        <w:tc>
          <w:tcPr>
            <w:tcW w:w="340" w:type="dxa"/>
            <w:vAlign w:val="bottom"/>
          </w:tcPr>
          <w:p>
            <w:pPr>
              <w:spacing w:after="0"/>
              <w:rPr>
                <w:sz w:val="22"/>
                <w:szCs w:val="22"/>
                <w:color w:val="auto"/>
              </w:rPr>
            </w:pPr>
          </w:p>
        </w:tc>
        <w:tc>
          <w:tcPr>
            <w:tcW w:w="1160" w:type="dxa"/>
            <w:vAlign w:val="bottom"/>
          </w:tcPr>
          <w:p>
            <w:pPr>
              <w:jc w:val="right"/>
              <w:ind w:right="187"/>
              <w:spacing w:after="0"/>
              <w:rPr>
                <w:sz w:val="20"/>
                <w:szCs w:val="20"/>
                <w:color w:val="auto"/>
              </w:rPr>
            </w:pPr>
            <w:r>
              <w:rPr>
                <w:rFonts w:ascii="Arial" w:cs="Arial" w:eastAsia="Arial" w:hAnsi="Arial"/>
                <w:sz w:val="14"/>
                <w:szCs w:val="14"/>
                <w:color w:val="auto"/>
              </w:rPr>
              <w:t>17,015,340</w:t>
            </w:r>
          </w:p>
        </w:tc>
        <w:tc>
          <w:tcPr>
            <w:tcW w:w="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16,972,202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16,965,075</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16,636,213</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Average Deposits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7"/>
              <w:spacing w:after="0"/>
              <w:rPr>
                <w:sz w:val="20"/>
                <w:szCs w:val="20"/>
                <w:color w:val="auto"/>
              </w:rPr>
            </w:pPr>
            <w:r>
              <w:rPr>
                <w:rFonts w:ascii="Arial" w:cs="Arial" w:eastAsia="Arial" w:hAnsi="Arial"/>
                <w:sz w:val="14"/>
                <w:szCs w:val="14"/>
                <w:color w:val="auto"/>
              </w:rPr>
              <w:t>14,820,480</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14,727,469</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14,750,382</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14,401,698</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w:t>
            </w:r>
          </w:p>
        </w:tc>
        <w:tc>
          <w:tcPr>
            <w:tcW w:w="340" w:type="dxa"/>
            <w:vAlign w:val="bottom"/>
          </w:tcPr>
          <w:p>
            <w:pPr>
              <w:spacing w:after="0"/>
              <w:rPr>
                <w:sz w:val="22"/>
                <w:szCs w:val="22"/>
                <w:color w:val="auto"/>
              </w:rPr>
            </w:pPr>
          </w:p>
        </w:tc>
        <w:tc>
          <w:tcPr>
            <w:tcW w:w="1160" w:type="dxa"/>
            <w:vAlign w:val="bottom"/>
          </w:tcPr>
          <w:p>
            <w:pPr>
              <w:jc w:val="right"/>
              <w:ind w:right="187"/>
              <w:spacing w:after="0"/>
              <w:rPr>
                <w:sz w:val="20"/>
                <w:szCs w:val="20"/>
                <w:color w:val="auto"/>
              </w:rPr>
            </w:pPr>
            <w:r>
              <w:rPr>
                <w:rFonts w:ascii="Arial" w:cs="Arial" w:eastAsia="Arial" w:hAnsi="Arial"/>
                <w:sz w:val="14"/>
                <w:szCs w:val="14"/>
                <w:color w:val="auto"/>
              </w:rPr>
              <w:t>1,250,500</w:t>
            </w:r>
          </w:p>
        </w:tc>
        <w:tc>
          <w:tcPr>
            <w:tcW w:w="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1,222,885</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1,242,629</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1,201,850</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Market Price Per Share of Common Stock</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Closing</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7"/>
              <w:spacing w:after="0"/>
              <w:rPr>
                <w:sz w:val="20"/>
                <w:szCs w:val="20"/>
                <w:color w:val="auto"/>
              </w:rPr>
            </w:pPr>
            <w:r>
              <w:rPr>
                <w:rFonts w:ascii="Arial" w:cs="Arial" w:eastAsia="Arial" w:hAnsi="Arial"/>
                <w:sz w:val="14"/>
                <w:szCs w:val="14"/>
                <w:color w:val="auto"/>
              </w:rPr>
              <w:t>78.91</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83.36</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78.91</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83.36</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High</w:t>
            </w:r>
          </w:p>
        </w:tc>
        <w:tc>
          <w:tcPr>
            <w:tcW w:w="340" w:type="dxa"/>
            <w:vAlign w:val="bottom"/>
          </w:tcPr>
          <w:p>
            <w:pPr>
              <w:spacing w:after="0"/>
              <w:rPr>
                <w:sz w:val="22"/>
                <w:szCs w:val="22"/>
                <w:color w:val="auto"/>
              </w:rPr>
            </w:pPr>
          </w:p>
        </w:tc>
        <w:tc>
          <w:tcPr>
            <w:tcW w:w="1160" w:type="dxa"/>
            <w:vAlign w:val="bottom"/>
          </w:tcPr>
          <w:p>
            <w:pPr>
              <w:jc w:val="right"/>
              <w:ind w:right="187"/>
              <w:spacing w:after="0"/>
              <w:rPr>
                <w:sz w:val="20"/>
                <w:szCs w:val="20"/>
                <w:color w:val="auto"/>
              </w:rPr>
            </w:pPr>
            <w:r>
              <w:rPr>
                <w:rFonts w:ascii="Arial" w:cs="Arial" w:eastAsia="Arial" w:hAnsi="Arial"/>
                <w:sz w:val="14"/>
                <w:szCs w:val="14"/>
                <w:color w:val="auto"/>
              </w:rPr>
              <w:t>86.53</w:t>
            </w:r>
          </w:p>
        </w:tc>
        <w:tc>
          <w:tcPr>
            <w:tcW w:w="5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86.19</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89.09</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90.80</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Low</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7"/>
              <w:spacing w:after="0"/>
              <w:rPr>
                <w:sz w:val="20"/>
                <w:szCs w:val="20"/>
                <w:color w:val="auto"/>
              </w:rPr>
            </w:pPr>
            <w:r>
              <w:rPr>
                <w:rFonts w:ascii="Arial" w:cs="Arial" w:eastAsia="Arial" w:hAnsi="Arial"/>
                <w:sz w:val="14"/>
                <w:szCs w:val="14"/>
                <w:color w:val="auto"/>
              </w:rPr>
              <w:t>78.30</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74.72</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78.30</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74.72</w:t>
            </w: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53"/>
        </w:trPr>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8"/>
              <w:spacing w:after="0" w:line="153" w:lineRule="exact"/>
              <w:rPr>
                <w:sz w:val="20"/>
                <w:szCs w:val="20"/>
                <w:color w:val="auto"/>
              </w:rPr>
            </w:pPr>
            <w:r>
              <w:rPr>
                <w:rFonts w:ascii="Arial" w:cs="Arial" w:eastAsia="Arial" w:hAnsi="Arial"/>
                <w:sz w:val="14"/>
                <w:szCs w:val="14"/>
                <w:b w:val="1"/>
                <w:bCs w:val="1"/>
                <w:color w:val="auto"/>
              </w:rPr>
              <w:t>September 30,</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2017</w:t>
            </w:r>
          </w:p>
        </w:tc>
      </w:tr>
      <w:tr>
        <w:trPr>
          <w:trHeight w:val="229"/>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Period End: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0"/>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Totals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Loans and Leases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10,231,062</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9,796,947</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16,991,734</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17,089,052</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Total Deposits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14,843,335</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14,883,968</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Other Debt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185,662</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260,716</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1,253,327</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1,231,868</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Asset Quality</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Non-Performing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13,798</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16,120</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Allowance for Loan and Lease Losses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108,690</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107,346</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Allowance to Loans and Leases Outstanding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230"/>
        </w:trPr>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0"/>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Capital Ratios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Common Equity Tier 1 Capital Ratio</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13.19%</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13.24%</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Tier 1 Capital Ratio</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13.19</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13.24</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Total Capital Ratio</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14.38</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14.46</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Tier 1 Leverage Ratio</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7.55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7.26</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 to Total Assets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7.38</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7.21</w:t>
            </w: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8"/>
                <w:szCs w:val="8"/>
                <w:color w:val="auto"/>
              </w:rPr>
              <w:t>4</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7.20</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7.04</w:t>
            </w: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8"/>
                <w:szCs w:val="8"/>
                <w:color w:val="auto"/>
              </w:rPr>
              <w:t>4</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12.55</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12.84</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64"/>
        </w:trPr>
        <w:tc>
          <w:tcPr>
            <w:tcW w:w="5160" w:type="dxa"/>
            <w:vAlign w:val="bottom"/>
            <w:gridSpan w:val="5"/>
          </w:tcPr>
          <w:p>
            <w:pPr>
              <w:ind w:left="40"/>
              <w:spacing w:after="0"/>
              <w:rPr>
                <w:sz w:val="20"/>
                <w:szCs w:val="20"/>
                <w:color w:val="auto"/>
              </w:rPr>
            </w:pPr>
            <w:r>
              <w:rPr>
                <w:rFonts w:ascii="Arial" w:cs="Arial" w:eastAsia="Arial" w:hAnsi="Arial"/>
                <w:sz w:val="14"/>
                <w:szCs w:val="14"/>
                <w:b w:val="1"/>
                <w:bCs w:val="1"/>
                <w:color w:val="auto"/>
              </w:rPr>
              <w:t>Non-Financial Data</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51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Full-Time Equivalent Employees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2,143</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2,132</w:t>
            </w:r>
          </w:p>
        </w:tc>
      </w:tr>
    </w:tbl>
    <w:p>
      <w:pPr>
        <w:sectPr>
          <w:pgSz w:w="11900" w:h="16838" w:orient="portrait"/>
          <w:cols w:equalWidth="0" w:num="1">
            <w:col w:w="11360"/>
          </w:cols>
          <w:pgMar w:left="240" w:top="118" w:right="29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80" w:type="dxa"/>
            <w:vAlign w:val="bottom"/>
          </w:tcPr>
          <w:p>
            <w:pPr>
              <w:ind w:left="40"/>
              <w:spacing w:after="0"/>
              <w:rPr>
                <w:sz w:val="20"/>
                <w:szCs w:val="20"/>
                <w:color w:val="auto"/>
              </w:rPr>
            </w:pPr>
            <w:r>
              <w:rPr>
                <w:rFonts w:ascii="Arial" w:cs="Arial" w:eastAsia="Arial" w:hAnsi="Arial"/>
                <w:sz w:val="14"/>
                <w:szCs w:val="14"/>
                <w:color w:val="auto"/>
              </w:rPr>
              <w:t>Branches</w:t>
            </w:r>
          </w:p>
        </w:tc>
        <w:tc>
          <w:tcPr>
            <w:tcW w:w="5320" w:type="dxa"/>
            <w:vAlign w:val="bottom"/>
          </w:tcPr>
          <w:p>
            <w:pPr>
              <w:jc w:val="right"/>
              <w:ind w:right="608"/>
              <w:spacing w:after="0"/>
              <w:rPr>
                <w:sz w:val="20"/>
                <w:szCs w:val="20"/>
                <w:color w:val="auto"/>
              </w:rPr>
            </w:pPr>
            <w:r>
              <w:rPr>
                <w:rFonts w:ascii="Arial" w:cs="Arial" w:eastAsia="Arial" w:hAnsi="Arial"/>
                <w:sz w:val="14"/>
                <w:szCs w:val="14"/>
                <w:color w:val="auto"/>
              </w:rPr>
              <w:t>69</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69</w:t>
            </w:r>
          </w:p>
        </w:tc>
      </w:tr>
      <w:tr>
        <w:trPr>
          <w:trHeight w:val="80"/>
        </w:trPr>
        <w:tc>
          <w:tcPr>
            <w:tcW w:w="4980" w:type="dxa"/>
            <w:vAlign w:val="bottom"/>
          </w:tcPr>
          <w:p>
            <w:pPr>
              <w:spacing w:after="0"/>
              <w:rPr>
                <w:sz w:val="6"/>
                <w:szCs w:val="6"/>
                <w:color w:val="auto"/>
              </w:rPr>
            </w:pPr>
          </w:p>
        </w:tc>
        <w:tc>
          <w:tcPr>
            <w:tcW w:w="532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ATMs</w:t>
            </w:r>
          </w:p>
        </w:tc>
        <w:tc>
          <w:tcPr>
            <w:tcW w:w="532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382</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387</w:t>
            </w:r>
          </w:p>
        </w:tc>
      </w:tr>
    </w:tbl>
    <w:p>
      <w:pPr>
        <w:spacing w:after="0" w:line="116"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9"/>
          <w:szCs w:val="9"/>
          <w:color w:val="auto"/>
        </w:rPr>
      </w:pPr>
      <w:r>
        <w:rPr>
          <w:rFonts w:ascii="Arial" w:cs="Arial" w:eastAsia="Arial" w:hAnsi="Arial"/>
          <w:sz w:val="14"/>
          <w:szCs w:val="14"/>
          <w:color w:val="auto"/>
        </w:rPr>
        <w:t>Efficiency ratio is defined as noninterest expense divided by total revenue (net interest income and total noninterest income).</w:t>
      </w:r>
    </w:p>
    <w:p>
      <w:pPr>
        <w:spacing w:after="0" w:line="13"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Net interest margin is defined as net interest income, on a taxable-equivalent basis, as a percentage of average earning assets.</w:t>
      </w:r>
    </w:p>
    <w:p>
      <w:pPr>
        <w:spacing w:after="0" w:line="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9"/>
          <w:szCs w:val="9"/>
          <w:color w:val="auto"/>
        </w:rPr>
      </w:pPr>
      <w:r>
        <w:rPr>
          <w:rFonts w:ascii="Arial" w:cs="Arial" w:eastAsia="Arial" w:hAnsi="Arial"/>
          <w:sz w:val="14"/>
          <w:szCs w:val="14"/>
          <w:color w:val="auto"/>
        </w:rPr>
        <w:t>Dividend payout ratio is defined as dividends declared per share divided by basic earnings per share.</w:t>
      </w:r>
    </w:p>
    <w:p>
      <w:pPr>
        <w:spacing w:after="0" w:line="1" w:lineRule="exact"/>
        <w:rPr>
          <w:sz w:val="20"/>
          <w:szCs w:val="20"/>
          <w:color w:val="auto"/>
        </w:rPr>
      </w:pPr>
    </w:p>
    <w:p>
      <w:pPr>
        <w:ind w:left="180" w:right="260" w:hanging="172"/>
        <w:spacing w:after="0" w:line="255" w:lineRule="auto"/>
        <w:tabs>
          <w:tab w:leader="none" w:pos="180" w:val="left"/>
        </w:tabs>
        <w:numPr>
          <w:ilvl w:val="0"/>
          <w:numId w:val="33"/>
        </w:numPr>
        <w:rPr>
          <w:rFonts w:ascii="Arial" w:cs="Arial" w:eastAsia="Arial" w:hAnsi="Arial"/>
          <w:sz w:val="9"/>
          <w:szCs w:val="9"/>
          <w:color w:val="auto"/>
        </w:rPr>
      </w:pPr>
      <w:r>
        <w:rPr>
          <w:rFonts w:ascii="Arial" w:cs="Arial" w:eastAsia="Arial" w:hAnsi="Arial"/>
          <w:sz w:val="14"/>
          <w:szCs w:val="14"/>
          <w:color w:val="auto"/>
        </w:rPr>
        <w:t>Tangible common equity to tangible assets and tangible common equity to risk-weighted assets are Non-GAAP financial measures. See the “Use of Non-GAAP Financial Measures” section below.</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122" w:right="29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ind w:left="40"/>
              <w:spacing w:after="0"/>
              <w:rPr>
                <w:sz w:val="20"/>
                <w:szCs w:val="20"/>
                <w:color w:val="auto"/>
              </w:rPr>
            </w:pPr>
            <w:r>
              <w:rPr>
                <w:rFonts w:ascii="Arial" w:cs="Arial" w:eastAsia="Arial" w:hAnsi="Arial"/>
                <w:sz w:val="16"/>
                <w:szCs w:val="16"/>
                <w:b w:val="1"/>
                <w:bCs w:val="1"/>
                <w:color w:val="auto"/>
              </w:rPr>
              <w:t>GAAP to Non-GAAP Reconciliation</w:t>
            </w: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w:t>
            </w:r>
          </w:p>
        </w:tc>
      </w:tr>
      <w:tr>
        <w:trPr>
          <w:trHeight w:val="33"/>
        </w:trPr>
        <w:tc>
          <w:tcPr>
            <w:tcW w:w="7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September 30,</w:t>
            </w:r>
          </w:p>
        </w:tc>
        <w:tc>
          <w:tcPr>
            <w:tcW w:w="3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Shareholders’ Equity</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1,253,327</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1,231,868</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380" w:type="dxa"/>
            <w:vAlign w:val="bottom"/>
          </w:tcPr>
          <w:p>
            <w:pPr>
              <w:spacing w:after="0"/>
              <w:rPr>
                <w:sz w:val="20"/>
                <w:szCs w:val="20"/>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1,221,810</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1,200,351</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Assets</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16,991,734</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17,089,052</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380" w:type="dxa"/>
            <w:vAlign w:val="bottom"/>
          </w:tcPr>
          <w:p>
            <w:pPr>
              <w:spacing w:after="0"/>
              <w:rPr>
                <w:sz w:val="20"/>
                <w:szCs w:val="20"/>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Assets</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16,960,217</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17,057,535</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020" w:type="dxa"/>
            <w:vAlign w:val="bottom"/>
          </w:tcPr>
          <w:p>
            <w:pPr>
              <w:ind w:left="40"/>
              <w:spacing w:after="0"/>
              <w:rPr>
                <w:sz w:val="20"/>
                <w:szCs w:val="20"/>
                <w:color w:val="auto"/>
              </w:rPr>
            </w:pPr>
            <w:r>
              <w:rPr>
                <w:rFonts w:ascii="Arial" w:cs="Arial" w:eastAsia="Arial" w:hAnsi="Arial"/>
                <w:sz w:val="16"/>
                <w:szCs w:val="16"/>
                <w:color w:val="auto"/>
              </w:rPr>
              <w:t>Risk-Weighted Assets, determined in accordance with prescribed regulatory requirements</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9,732,618</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9,348,296</w:t>
            </w:r>
          </w:p>
        </w:tc>
      </w:tr>
      <w:tr>
        <w:trPr>
          <w:trHeight w:val="73"/>
        </w:trPr>
        <w:tc>
          <w:tcPr>
            <w:tcW w:w="70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1"/>
        </w:trPr>
        <w:tc>
          <w:tcPr>
            <w:tcW w:w="7020" w:type="dxa"/>
            <w:vAlign w:val="bottom"/>
            <w:shd w:val="clear" w:color="auto" w:fill="BFE4FF"/>
          </w:tcPr>
          <w:p>
            <w:pPr>
              <w:spacing w:after="0"/>
              <w:rPr>
                <w:sz w:val="21"/>
                <w:szCs w:val="21"/>
                <w:color w:val="auto"/>
              </w:rPr>
            </w:pPr>
          </w:p>
        </w:tc>
        <w:tc>
          <w:tcPr>
            <w:tcW w:w="1380" w:type="dxa"/>
            <w:vAlign w:val="bottom"/>
            <w:shd w:val="clear" w:color="auto" w:fill="BFE4FF"/>
          </w:tcPr>
          <w:p>
            <w:pPr>
              <w:spacing w:after="0"/>
              <w:rPr>
                <w:sz w:val="21"/>
                <w:szCs w:val="21"/>
                <w:color w:val="auto"/>
              </w:rPr>
            </w:pPr>
          </w:p>
        </w:tc>
        <w:tc>
          <w:tcPr>
            <w:tcW w:w="1400" w:type="dxa"/>
            <w:vAlign w:val="bottom"/>
            <w:shd w:val="clear" w:color="auto" w:fill="BFE4FF"/>
          </w:tcPr>
          <w:p>
            <w:pPr>
              <w:spacing w:after="0"/>
              <w:rPr>
                <w:sz w:val="21"/>
                <w:szCs w:val="21"/>
                <w:color w:val="auto"/>
              </w:rPr>
            </w:pPr>
          </w:p>
        </w:tc>
        <w:tc>
          <w:tcPr>
            <w:tcW w:w="340" w:type="dxa"/>
            <w:vAlign w:val="bottom"/>
            <w:shd w:val="clear" w:color="auto" w:fill="BFE4FF"/>
          </w:tcPr>
          <w:p>
            <w:pPr>
              <w:spacing w:after="0"/>
              <w:rPr>
                <w:sz w:val="21"/>
                <w:szCs w:val="21"/>
                <w:color w:val="auto"/>
              </w:rPr>
            </w:pPr>
          </w:p>
        </w:tc>
        <w:tc>
          <w:tcPr>
            <w:tcW w:w="1280" w:type="dxa"/>
            <w:vAlign w:val="bottom"/>
            <w:shd w:val="clear" w:color="auto" w:fill="BFE4FF"/>
          </w:tcPr>
          <w:p>
            <w:pPr>
              <w:spacing w:after="0"/>
              <w:rPr>
                <w:sz w:val="21"/>
                <w:szCs w:val="2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Total Shareholders’ Equity to Total Assets</w:t>
            </w:r>
          </w:p>
        </w:tc>
        <w:tc>
          <w:tcPr>
            <w:tcW w:w="138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7.38%</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7.21%</w:t>
            </w:r>
          </w:p>
        </w:tc>
      </w:tr>
      <w:tr>
        <w:trPr>
          <w:trHeight w:val="33"/>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 to Tangible Assets (Non-GAAP)</w:t>
            </w:r>
          </w:p>
        </w:tc>
        <w:tc>
          <w:tcPr>
            <w:tcW w:w="138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7.20%</w:t>
            </w:r>
          </w:p>
        </w:tc>
        <w:tc>
          <w:tcPr>
            <w:tcW w:w="34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7.04%</w:t>
            </w:r>
          </w:p>
        </w:tc>
      </w:tr>
      <w:tr>
        <w:trPr>
          <w:trHeight w:val="264"/>
        </w:trPr>
        <w:tc>
          <w:tcPr>
            <w:tcW w:w="70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Tier 1 Capital Ratio</w:t>
            </w:r>
          </w:p>
        </w:tc>
        <w:tc>
          <w:tcPr>
            <w:tcW w:w="138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13.19%</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13.24%</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Tangible Common Equity to Risk-Weighted Assets (Non-GAAP)</w:t>
            </w:r>
          </w:p>
        </w:tc>
        <w:tc>
          <w:tcPr>
            <w:tcW w:w="138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12.55%</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12.84%</w:t>
            </w:r>
          </w:p>
        </w:tc>
      </w:tr>
      <w:tr>
        <w:trPr>
          <w:trHeight w:val="33"/>
        </w:trPr>
        <w:tc>
          <w:tcPr>
            <w:tcW w:w="7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10"/>
          </w:tcPr>
          <w:p>
            <w:pPr>
              <w:ind w:left="40"/>
              <w:spacing w:after="0"/>
              <w:rPr>
                <w:sz w:val="20"/>
                <w:szCs w:val="20"/>
                <w:color w:val="auto"/>
              </w:rPr>
            </w:pPr>
            <w:r>
              <w:rPr>
                <w:rFonts w:ascii="Arial" w:cs="Arial" w:eastAsia="Arial" w:hAnsi="Arial"/>
                <w:sz w:val="16"/>
                <w:szCs w:val="16"/>
                <w:b w:val="1"/>
                <w:bCs w:val="1"/>
                <w:color w:val="auto"/>
                <w:w w:val="90"/>
              </w:rPr>
              <w:t>Average Balances and Interest Rates - Taxable-Equivalent Basis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w w:val="94"/>
              </w:rPr>
              <w:t>Table 3</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5"/>
          </w:tcPr>
          <w:p>
            <w:pPr>
              <w:jc w:val="center"/>
              <w:ind w:left="261"/>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5"/>
          </w:tcPr>
          <w:p>
            <w:pPr>
              <w:jc w:val="center"/>
              <w:ind w:left="141"/>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5"/>
          </w:tcPr>
          <w:p>
            <w:pPr>
              <w:ind w:left="400"/>
              <w:spacing w:after="0"/>
              <w:rPr>
                <w:sz w:val="20"/>
                <w:szCs w:val="20"/>
                <w:color w:val="auto"/>
              </w:rPr>
            </w:pPr>
            <w:r>
              <w:rPr>
                <w:rFonts w:ascii="Arial" w:cs="Arial" w:eastAsia="Arial" w:hAnsi="Arial"/>
                <w:sz w:val="14"/>
                <w:szCs w:val="14"/>
                <w:b w:val="1"/>
                <w:bCs w:val="1"/>
                <w:color w:val="auto"/>
                <w:w w:val="97"/>
              </w:rPr>
              <w:t>Nine Months Ended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5"/>
          </w:tcPr>
          <w:p>
            <w:pPr>
              <w:ind w:left="400"/>
              <w:spacing w:after="0"/>
              <w:rPr>
                <w:sz w:val="20"/>
                <w:szCs w:val="20"/>
                <w:color w:val="auto"/>
              </w:rPr>
            </w:pPr>
            <w:r>
              <w:rPr>
                <w:rFonts w:ascii="Arial" w:cs="Arial" w:eastAsia="Arial" w:hAnsi="Arial"/>
                <w:sz w:val="14"/>
                <w:szCs w:val="14"/>
                <w:b w:val="1"/>
                <w:bCs w:val="1"/>
                <w:color w:val="auto"/>
                <w:w w:val="96"/>
              </w:rPr>
              <w:t>Nine Months Ended</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left="241"/>
              <w:spacing w:after="0"/>
              <w:rPr>
                <w:sz w:val="20"/>
                <w:szCs w:val="20"/>
                <w:color w:val="auto"/>
              </w:rPr>
            </w:pPr>
            <w:r>
              <w:rPr>
                <w:rFonts w:ascii="Arial" w:cs="Arial" w:eastAsia="Arial" w:hAnsi="Arial"/>
                <w:sz w:val="14"/>
                <w:szCs w:val="14"/>
                <w:b w:val="1"/>
                <w:bCs w:val="1"/>
                <w:color w:val="auto"/>
                <w:w w:val="91"/>
              </w:rPr>
              <w:t>September 30, 2018</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ind w:left="141"/>
              <w:spacing w:after="0"/>
              <w:rPr>
                <w:sz w:val="20"/>
                <w:szCs w:val="20"/>
                <w:color w:val="auto"/>
              </w:rPr>
            </w:pPr>
            <w:r>
              <w:rPr>
                <w:rFonts w:ascii="Arial" w:cs="Arial" w:eastAsia="Arial" w:hAnsi="Arial"/>
                <w:sz w:val="14"/>
                <w:szCs w:val="14"/>
                <w:b w:val="1"/>
                <w:bCs w:val="1"/>
                <w:color w:val="auto"/>
                <w:w w:val="91"/>
              </w:rPr>
              <w:t>September 30, 2017</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6"/>
              </w:rPr>
              <w:t>September 30, 2018</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4"/>
              </w:rPr>
              <w:t>September 30, 2017</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b w:val="1"/>
                <w:bCs w:val="1"/>
                <w:color w:val="auto"/>
              </w:rPr>
              <w:t>Average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2"/>
              </w:rPr>
              <w:t>Income/</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9"/>
              </w:rPr>
              <w:t>Yield/</w:t>
            </w: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b w:val="1"/>
                <w:bCs w:val="1"/>
                <w:color w:val="auto"/>
                <w:w w:val="88"/>
              </w:rPr>
              <w:t>Average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Income/</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7"/>
              </w:rPr>
              <w:t>Yield/</w:t>
            </w: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b w:val="1"/>
                <w:bCs w:val="1"/>
                <w:color w:val="auto"/>
              </w:rPr>
              <w:t>Average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Income/</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Yield/</w:t>
            </w: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b w:val="1"/>
                <w:bCs w:val="1"/>
                <w:color w:val="auto"/>
              </w:rPr>
              <w:t>Average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2"/>
                <w:szCs w:val="12"/>
                <w:b w:val="1"/>
                <w:bCs w:val="1"/>
                <w:color w:val="auto"/>
              </w:rPr>
              <w:t>Income/</w:t>
            </w:r>
          </w:p>
        </w:tc>
        <w:tc>
          <w:tcPr>
            <w:tcW w:w="500" w:type="dxa"/>
            <w:vAlign w:val="bottom"/>
          </w:tcPr>
          <w:p>
            <w:pPr>
              <w:jc w:val="right"/>
              <w:ind w:right="82"/>
              <w:spacing w:after="0"/>
              <w:rPr>
                <w:sz w:val="20"/>
                <w:szCs w:val="20"/>
                <w:color w:val="auto"/>
              </w:rPr>
            </w:pPr>
            <w:r>
              <w:rPr>
                <w:rFonts w:ascii="Arial" w:cs="Arial" w:eastAsia="Arial" w:hAnsi="Arial"/>
                <w:sz w:val="12"/>
                <w:szCs w:val="12"/>
                <w:b w:val="1"/>
                <w:bCs w:val="1"/>
                <w:color w:val="auto"/>
              </w:rPr>
              <w:t>Yield/</w:t>
            </w:r>
          </w:p>
        </w:tc>
        <w:tc>
          <w:tcPr>
            <w:tcW w:w="0" w:type="dxa"/>
            <w:vAlign w:val="bottom"/>
          </w:tcPr>
          <w:p>
            <w:pPr>
              <w:spacing w:after="0"/>
              <w:rPr>
                <w:sz w:val="1"/>
                <w:szCs w:val="1"/>
                <w:color w:val="auto"/>
              </w:rPr>
            </w:pPr>
          </w:p>
        </w:tc>
      </w:tr>
      <w:tr>
        <w:trPr>
          <w:trHeight w:val="270"/>
        </w:trPr>
        <w:tc>
          <w:tcPr>
            <w:tcW w:w="1720" w:type="dxa"/>
            <w:vAlign w:val="bottom"/>
          </w:tcPr>
          <w:p>
            <w:pPr>
              <w:ind w:left="40"/>
              <w:spacing w:after="0"/>
              <w:rPr>
                <w:sz w:val="20"/>
                <w:szCs w:val="20"/>
                <w:color w:val="auto"/>
              </w:rPr>
            </w:pPr>
            <w:r>
              <w:rPr>
                <w:rFonts w:ascii="Arial" w:cs="Arial" w:eastAsia="Arial" w:hAnsi="Arial"/>
                <w:sz w:val="12"/>
                <w:szCs w:val="12"/>
                <w:color w:val="auto"/>
              </w:rPr>
              <w:t>(dollars in millions)</w:t>
            </w:r>
          </w:p>
        </w:tc>
        <w:tc>
          <w:tcPr>
            <w:tcW w:w="200" w:type="dxa"/>
            <w:vAlign w:val="bottom"/>
          </w:tcPr>
          <w:p>
            <w:pPr>
              <w:spacing w:after="0"/>
              <w:rPr>
                <w:sz w:val="23"/>
                <w:szCs w:val="23"/>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b w:val="1"/>
                <w:bCs w:val="1"/>
                <w:color w:val="auto"/>
              </w:rPr>
              <w:t>Balance</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4"/>
              </w:rPr>
              <w:t>Expense</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Rate</w:t>
            </w:r>
          </w:p>
        </w:tc>
        <w:tc>
          <w:tcPr>
            <w:tcW w:w="260" w:type="dxa"/>
            <w:vAlign w:val="bottom"/>
          </w:tcPr>
          <w:p>
            <w:pPr>
              <w:spacing w:after="0"/>
              <w:rPr>
                <w:sz w:val="23"/>
                <w:szCs w:val="23"/>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b w:val="1"/>
                <w:bCs w:val="1"/>
                <w:color w:val="auto"/>
                <w:w w:val="91"/>
              </w:rPr>
              <w:t>Balance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84"/>
              </w:rPr>
              <w:t>Expense</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b w:val="1"/>
                <w:bCs w:val="1"/>
                <w:color w:val="auto"/>
              </w:rPr>
              <w:t>Balance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Expense</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b w:val="1"/>
                <w:bCs w:val="1"/>
                <w:color w:val="auto"/>
              </w:rPr>
              <w:t>Balance</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2"/>
                <w:szCs w:val="12"/>
                <w:b w:val="1"/>
                <w:bCs w:val="1"/>
                <w:color w:val="auto"/>
                <w:w w:val="97"/>
              </w:rPr>
              <w:t>Expense</w:t>
            </w:r>
          </w:p>
        </w:tc>
        <w:tc>
          <w:tcPr>
            <w:tcW w:w="500" w:type="dxa"/>
            <w:vAlign w:val="bottom"/>
          </w:tcPr>
          <w:p>
            <w:pPr>
              <w:jc w:val="right"/>
              <w:ind w:right="82"/>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rPr>
                <w:sz w:val="20"/>
                <w:szCs w:val="20"/>
                <w:color w:val="auto"/>
              </w:rPr>
            </w:pPr>
            <w:r>
              <w:rPr>
                <w:rFonts w:ascii="Arial" w:cs="Arial" w:eastAsia="Arial" w:hAnsi="Arial"/>
                <w:sz w:val="12"/>
                <w:szCs w:val="12"/>
                <w:color w:val="auto"/>
                <w:w w:val="91"/>
              </w:rPr>
              <w:t>Interest-Bearing Deposits in Other</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rPr>
                <w:sz w:val="20"/>
                <w:szCs w:val="20"/>
                <w:color w:val="auto"/>
              </w:rPr>
            </w:pPr>
            <w:r>
              <w:rPr>
                <w:rFonts w:ascii="Arial" w:cs="Arial" w:eastAsia="Arial" w:hAnsi="Arial"/>
                <w:sz w:val="12"/>
                <w:szCs w:val="12"/>
                <w:color w:val="auto"/>
              </w:rPr>
              <w:t>Banks</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3.6</w:t>
            </w:r>
          </w:p>
        </w:tc>
        <w:tc>
          <w:tcPr>
            <w:tcW w:w="2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480" w:type="dxa"/>
            <w:vAlign w:val="bottom"/>
          </w:tcPr>
          <w:p>
            <w:pPr>
              <w:ind w:left="120"/>
              <w:spacing w:after="0"/>
              <w:rPr>
                <w:sz w:val="20"/>
                <w:szCs w:val="20"/>
                <w:color w:val="auto"/>
              </w:rPr>
            </w:pPr>
            <w:r>
              <w:rPr>
                <w:rFonts w:ascii="Arial" w:cs="Arial" w:eastAsia="Arial" w:hAnsi="Arial"/>
                <w:sz w:val="12"/>
                <w:szCs w:val="12"/>
                <w:color w:val="auto"/>
                <w:w w:val="99"/>
              </w:rPr>
              <w:t>1.09%</w:t>
            </w:r>
          </w:p>
        </w:tc>
        <w:tc>
          <w:tcPr>
            <w:tcW w:w="120" w:type="dxa"/>
            <w:vAlign w:val="bottom"/>
          </w:tcPr>
          <w:p>
            <w:pPr>
              <w:spacing w:after="0"/>
              <w:rPr>
                <w:sz w:val="12"/>
                <w:szCs w:val="12"/>
                <w:color w:val="auto"/>
              </w:rPr>
            </w:pP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3.5</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0.48%</w:t>
            </w:r>
          </w:p>
        </w:tc>
        <w:tc>
          <w:tcPr>
            <w:tcW w:w="100" w:type="dxa"/>
            <w:vAlign w:val="bottom"/>
          </w:tcPr>
          <w:p>
            <w:pPr>
              <w:spacing w:after="0"/>
              <w:rPr>
                <w:sz w:val="12"/>
                <w:szCs w:val="12"/>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3.2</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Pr>
          <w:p>
            <w:pPr>
              <w:ind w:left="140"/>
              <w:spacing w:after="0"/>
              <w:rPr>
                <w:sz w:val="20"/>
                <w:szCs w:val="20"/>
                <w:color w:val="auto"/>
              </w:rPr>
            </w:pPr>
            <w:r>
              <w:rPr>
                <w:rFonts w:ascii="Arial" w:cs="Arial" w:eastAsia="Arial" w:hAnsi="Arial"/>
                <w:sz w:val="12"/>
                <w:szCs w:val="12"/>
                <w:color w:val="auto"/>
                <w:w w:val="93"/>
              </w:rPr>
              <w:t>0.99%</w:t>
            </w:r>
          </w:p>
        </w:tc>
        <w:tc>
          <w:tcPr>
            <w:tcW w:w="120" w:type="dxa"/>
            <w:vAlign w:val="bottom"/>
          </w:tcPr>
          <w:p>
            <w:pPr>
              <w:spacing w:after="0"/>
              <w:rPr>
                <w:sz w:val="12"/>
                <w:szCs w:val="12"/>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3.5</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19"/>
              <w:spacing w:after="0"/>
              <w:rPr>
                <w:sz w:val="20"/>
                <w:szCs w:val="20"/>
                <w:color w:val="auto"/>
              </w:rPr>
            </w:pPr>
            <w:r>
              <w:rPr>
                <w:rFonts w:ascii="Arial" w:cs="Arial" w:eastAsia="Arial" w:hAnsi="Arial"/>
                <w:sz w:val="12"/>
                <w:szCs w:val="12"/>
                <w:color w:val="auto"/>
              </w:rPr>
              <w:t>—</w:t>
            </w:r>
          </w:p>
        </w:tc>
        <w:tc>
          <w:tcPr>
            <w:tcW w:w="500" w:type="dxa"/>
            <w:vAlign w:val="bottom"/>
          </w:tcPr>
          <w:p>
            <w:pPr>
              <w:ind w:left="160"/>
              <w:spacing w:after="0"/>
              <w:rPr>
                <w:sz w:val="20"/>
                <w:szCs w:val="20"/>
                <w:color w:val="auto"/>
              </w:rPr>
            </w:pPr>
            <w:r>
              <w:rPr>
                <w:rFonts w:ascii="Arial" w:cs="Arial" w:eastAsia="Arial" w:hAnsi="Arial"/>
                <w:sz w:val="12"/>
                <w:szCs w:val="12"/>
                <w:color w:val="auto"/>
                <w:w w:val="93"/>
              </w:rPr>
              <w:t>0.44%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Funds Sold</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281.9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575.2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1.6</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224.3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491.1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0.85</w:t>
            </w: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Investment Securities</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Available-for-Sale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260"/>
              <w:spacing w:after="0"/>
              <w:rPr>
                <w:sz w:val="20"/>
                <w:szCs w:val="20"/>
                <w:color w:val="auto"/>
              </w:rPr>
            </w:pPr>
            <w:r>
              <w:rPr>
                <w:rFonts w:ascii="Arial" w:cs="Arial" w:eastAsia="Arial" w:hAnsi="Arial"/>
                <w:sz w:val="12"/>
                <w:szCs w:val="12"/>
                <w:color w:val="auto"/>
              </w:rPr>
              <w:t>Taxable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1,512.1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9.5</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1,658.2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8.6</w:t>
            </w:r>
          </w:p>
        </w:tc>
        <w:tc>
          <w:tcPr>
            <w:tcW w:w="260" w:type="dxa"/>
            <w:vAlign w:val="bottom"/>
          </w:tcPr>
          <w:p>
            <w:pPr>
              <w:spacing w:after="0"/>
              <w:rPr>
                <w:sz w:val="21"/>
                <w:szCs w:val="21"/>
                <w:color w:val="auto"/>
              </w:rPr>
            </w:pPr>
          </w:p>
        </w:tc>
        <w:tc>
          <w:tcPr>
            <w:tcW w:w="440" w:type="dxa"/>
            <w:vAlign w:val="bottom"/>
          </w:tcPr>
          <w:p>
            <w:pPr>
              <w:jc w:val="right"/>
              <w:ind w:right="82"/>
              <w:spacing w:after="0"/>
              <w:rPr>
                <w:sz w:val="20"/>
                <w:szCs w:val="20"/>
                <w:color w:val="auto"/>
              </w:rPr>
            </w:pPr>
            <w:r>
              <w:rPr>
                <w:rFonts w:ascii="Arial" w:cs="Arial" w:eastAsia="Arial" w:hAnsi="Arial"/>
                <w:sz w:val="12"/>
                <w:szCs w:val="12"/>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1,556.9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27.6</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1,655.8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24.6</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Non-Taxable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567.5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3.9</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5.2</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585.1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12.1</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652.0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15.9</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Held-to-Maturity</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Taxable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3,413.7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19.3</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3,631.1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18.8</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3,504.8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58.4</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3,605.8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55.4</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250"/>
        </w:trPr>
        <w:tc>
          <w:tcPr>
            <w:tcW w:w="1720" w:type="dxa"/>
            <w:vAlign w:val="bottom"/>
          </w:tcPr>
          <w:p>
            <w:pPr>
              <w:ind w:left="240"/>
              <w:spacing w:after="0"/>
              <w:rPr>
                <w:sz w:val="20"/>
                <w:szCs w:val="20"/>
                <w:color w:val="auto"/>
              </w:rPr>
            </w:pPr>
            <w:r>
              <w:rPr>
                <w:rFonts w:ascii="Arial" w:cs="Arial" w:eastAsia="Arial" w:hAnsi="Arial"/>
                <w:sz w:val="12"/>
                <w:szCs w:val="12"/>
                <w:color w:val="auto"/>
              </w:rPr>
              <w:t>Non-Taxable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236.1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3.16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239.9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2.4</w:t>
            </w:r>
          </w:p>
        </w:tc>
        <w:tc>
          <w:tcPr>
            <w:tcW w:w="260" w:type="dxa"/>
            <w:vAlign w:val="bottom"/>
          </w:tcPr>
          <w:p>
            <w:pPr>
              <w:spacing w:after="0"/>
              <w:rPr>
                <w:sz w:val="21"/>
                <w:szCs w:val="21"/>
                <w:color w:val="auto"/>
              </w:rPr>
            </w:pPr>
          </w:p>
        </w:tc>
        <w:tc>
          <w:tcPr>
            <w:tcW w:w="440" w:type="dxa"/>
            <w:vAlign w:val="bottom"/>
          </w:tcPr>
          <w:p>
            <w:pPr>
              <w:jc w:val="right"/>
              <w:ind w:right="82"/>
              <w:spacing w:after="0"/>
              <w:rPr>
                <w:sz w:val="20"/>
                <w:szCs w:val="20"/>
                <w:color w:val="auto"/>
              </w:rPr>
            </w:pPr>
            <w:r>
              <w:rPr>
                <w:rFonts w:ascii="Arial" w:cs="Arial" w:eastAsia="Arial" w:hAnsi="Arial"/>
                <w:sz w:val="12"/>
                <w:szCs w:val="12"/>
                <w:color w:val="auto"/>
              </w:rPr>
              <w:t>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237.0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5.6</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240.9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7.0</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Investment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5,729.4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34.6</w:t>
            </w: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6,165.9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35.0</w:t>
            </w: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5,883.8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103.7</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6,154.5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102.9</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2.23</w:t>
            </w:r>
          </w:p>
        </w:tc>
        <w:tc>
          <w:tcPr>
            <w:tcW w:w="0" w:type="dxa"/>
            <w:vAlign w:val="bottom"/>
          </w:tcPr>
          <w:p>
            <w:pPr>
              <w:spacing w:after="0"/>
              <w:rPr>
                <w:sz w:val="1"/>
                <w:szCs w:val="1"/>
                <w:color w:val="auto"/>
              </w:rPr>
            </w:pPr>
          </w:p>
        </w:tc>
      </w:tr>
      <w:tr>
        <w:trPr>
          <w:trHeight w:val="244"/>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Loans Held for Sale</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14.9</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0.2</w:t>
            </w:r>
          </w:p>
        </w:tc>
        <w:tc>
          <w:tcPr>
            <w:tcW w:w="2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4.45</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20.6</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0.2</w:t>
            </w: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3.88</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14.6</w:t>
            </w: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0.5</w:t>
            </w: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4.23</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24.9</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0.7</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rPr>
              <w:t>3.98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Loans and Leases </w:t>
            </w:r>
            <w:r>
              <w:rPr>
                <w:rFonts w:ascii="Arial" w:cs="Arial" w:eastAsia="Arial" w:hAnsi="Arial"/>
                <w:sz w:val="19"/>
                <w:szCs w:val="19"/>
                <w:color w:val="auto"/>
                <w:vertAlign w:val="superscript"/>
              </w:rPr>
              <w:t>1</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Commercial and Industrial</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1,279.4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13.0</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4.04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1,251.5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11.3</w:t>
            </w:r>
          </w:p>
        </w:tc>
        <w:tc>
          <w:tcPr>
            <w:tcW w:w="260" w:type="dxa"/>
            <w:vAlign w:val="bottom"/>
          </w:tcPr>
          <w:p>
            <w:pPr>
              <w:spacing w:after="0"/>
              <w:rPr>
                <w:sz w:val="21"/>
                <w:szCs w:val="21"/>
                <w:color w:val="auto"/>
              </w:rPr>
            </w:pPr>
          </w:p>
        </w:tc>
        <w:tc>
          <w:tcPr>
            <w:tcW w:w="440" w:type="dxa"/>
            <w:vAlign w:val="bottom"/>
          </w:tcPr>
          <w:p>
            <w:pPr>
              <w:jc w:val="right"/>
              <w:ind w:right="82"/>
              <w:spacing w:after="0"/>
              <w:rPr>
                <w:sz w:val="20"/>
                <w:szCs w:val="20"/>
                <w:color w:val="auto"/>
              </w:rPr>
            </w:pPr>
            <w:r>
              <w:rPr>
                <w:rFonts w:ascii="Arial" w:cs="Arial" w:eastAsia="Arial" w:hAnsi="Arial"/>
                <w:sz w:val="12"/>
                <w:szCs w:val="12"/>
                <w:color w:val="auto"/>
              </w:rPr>
              <w:t>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1,289.3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37.6</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1,255.4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32.7</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3.49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Commercial Mortgage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2,180.5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23.0</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2,015.0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19.6</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2,133.8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65.5</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1,948.1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55.5</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Construction</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187.0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2.2</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4.65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241.0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2.9</w:t>
            </w:r>
          </w:p>
        </w:tc>
        <w:tc>
          <w:tcPr>
            <w:tcW w:w="260" w:type="dxa"/>
            <w:vAlign w:val="bottom"/>
          </w:tcPr>
          <w:p>
            <w:pPr>
              <w:spacing w:after="0"/>
              <w:rPr>
                <w:sz w:val="21"/>
                <w:szCs w:val="21"/>
                <w:color w:val="auto"/>
              </w:rPr>
            </w:pPr>
          </w:p>
        </w:tc>
        <w:tc>
          <w:tcPr>
            <w:tcW w:w="440" w:type="dxa"/>
            <w:vAlign w:val="bottom"/>
          </w:tcPr>
          <w:p>
            <w:pPr>
              <w:jc w:val="right"/>
              <w:ind w:right="82"/>
              <w:spacing w:after="0"/>
              <w:rPr>
                <w:sz w:val="20"/>
                <w:szCs w:val="20"/>
                <w:color w:val="auto"/>
              </w:rPr>
            </w:pPr>
            <w:r>
              <w:rPr>
                <w:rFonts w:ascii="Arial" w:cs="Arial" w:eastAsia="Arial" w:hAnsi="Arial"/>
                <w:sz w:val="12"/>
                <w:szCs w:val="12"/>
                <w:color w:val="auto"/>
              </w:rPr>
              <w:t>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186.6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6.5</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4.64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246.7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8.6</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4.66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w w:val="96"/>
              </w:rPr>
              <w:t>Commercial Lease Financing</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178.0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2.25</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Residential Mortgage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3,563.5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34.0</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3.82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3,333.3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31.8</w:t>
            </w:r>
          </w:p>
        </w:tc>
        <w:tc>
          <w:tcPr>
            <w:tcW w:w="260" w:type="dxa"/>
            <w:vAlign w:val="bottom"/>
          </w:tcPr>
          <w:p>
            <w:pPr>
              <w:spacing w:after="0"/>
              <w:rPr>
                <w:sz w:val="21"/>
                <w:szCs w:val="21"/>
                <w:color w:val="auto"/>
              </w:rPr>
            </w:pPr>
          </w:p>
        </w:tc>
        <w:tc>
          <w:tcPr>
            <w:tcW w:w="440" w:type="dxa"/>
            <w:vAlign w:val="bottom"/>
          </w:tcPr>
          <w:p>
            <w:pPr>
              <w:jc w:val="right"/>
              <w:ind w:right="82"/>
              <w:spacing w:after="0"/>
              <w:rPr>
                <w:sz w:val="20"/>
                <w:szCs w:val="20"/>
                <w:color w:val="auto"/>
              </w:rPr>
            </w:pPr>
            <w:r>
              <w:rPr>
                <w:rFonts w:ascii="Arial" w:cs="Arial" w:eastAsia="Arial" w:hAnsi="Arial"/>
                <w:sz w:val="12"/>
                <w:szCs w:val="12"/>
                <w:color w:val="auto"/>
              </w:rPr>
              <w:t>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3,523.1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100.9</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3,269.7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93.8</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Home Equity</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1,622.4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15.7</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1,502.9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13.8</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1,610.2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45.4</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1,439.2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38.9</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3.61</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Automobile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606.3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5.9</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3.84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493.2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5.9</w:t>
            </w:r>
          </w:p>
        </w:tc>
        <w:tc>
          <w:tcPr>
            <w:tcW w:w="260" w:type="dxa"/>
            <w:vAlign w:val="bottom"/>
          </w:tcPr>
          <w:p>
            <w:pPr>
              <w:spacing w:after="0"/>
              <w:rPr>
                <w:sz w:val="21"/>
                <w:szCs w:val="21"/>
                <w:color w:val="auto"/>
              </w:rPr>
            </w:pPr>
          </w:p>
        </w:tc>
        <w:tc>
          <w:tcPr>
            <w:tcW w:w="440" w:type="dxa"/>
            <w:vAlign w:val="bottom"/>
          </w:tcPr>
          <w:p>
            <w:pPr>
              <w:jc w:val="right"/>
              <w:ind w:right="82"/>
              <w:spacing w:after="0"/>
              <w:rPr>
                <w:sz w:val="20"/>
                <w:szCs w:val="20"/>
                <w:color w:val="auto"/>
              </w:rPr>
            </w:pPr>
            <w:r>
              <w:rPr>
                <w:rFonts w:ascii="Arial" w:cs="Arial" w:eastAsia="Arial" w:hAnsi="Arial"/>
                <w:sz w:val="12"/>
                <w:szCs w:val="12"/>
                <w:color w:val="auto"/>
              </w:rPr>
              <w:t>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574.1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17.1</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476.4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17.5</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4.90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9"/>
                <w:szCs w:val="19"/>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467.8</w:t>
            </w: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9.3</w:t>
            </w:r>
          </w:p>
        </w:tc>
        <w:tc>
          <w:tcPr>
            <w:tcW w:w="2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7.90</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410.4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8.2</w:t>
            </w:r>
          </w:p>
        </w:tc>
        <w:tc>
          <w:tcPr>
            <w:tcW w:w="2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7.98</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455.4</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26.9</w:t>
            </w:r>
          </w:p>
        </w:tc>
        <w:tc>
          <w:tcPr>
            <w:tcW w:w="2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7.89</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389.0</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23.2</w:t>
            </w:r>
          </w:p>
        </w:tc>
        <w:tc>
          <w:tcPr>
            <w:tcW w:w="1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7.98</w:t>
            </w:r>
          </w:p>
        </w:tc>
        <w:tc>
          <w:tcPr>
            <w:tcW w:w="0" w:type="dxa"/>
            <w:vAlign w:val="bottom"/>
          </w:tcPr>
          <w:p>
            <w:pPr>
              <w:spacing w:after="0"/>
              <w:rPr>
                <w:sz w:val="1"/>
                <w:szCs w:val="1"/>
                <w:color w:val="auto"/>
              </w:rPr>
            </w:pPr>
          </w:p>
        </w:tc>
      </w:tr>
      <w:tr>
        <w:trPr>
          <w:trHeight w:val="244"/>
        </w:trPr>
        <w:tc>
          <w:tcPr>
            <w:tcW w:w="1720" w:type="dxa"/>
            <w:vAlign w:val="bottom"/>
          </w:tcPr>
          <w:p>
            <w:pPr>
              <w:ind w:left="40"/>
              <w:spacing w:after="0"/>
              <w:rPr>
                <w:sz w:val="20"/>
                <w:szCs w:val="20"/>
                <w:color w:val="auto"/>
              </w:rPr>
            </w:pPr>
            <w:r>
              <w:rPr>
                <w:rFonts w:ascii="Arial" w:cs="Arial" w:eastAsia="Arial" w:hAnsi="Arial"/>
                <w:sz w:val="12"/>
                <w:szCs w:val="12"/>
                <w:color w:val="auto"/>
              </w:rPr>
              <w:t>Total Loans and Leases</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10,081.9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104.1</w:t>
            </w:r>
          </w:p>
        </w:tc>
        <w:tc>
          <w:tcPr>
            <w:tcW w:w="24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4.11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9,452.0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94.7</w:t>
            </w:r>
          </w:p>
        </w:tc>
        <w:tc>
          <w:tcPr>
            <w:tcW w:w="260" w:type="dxa"/>
            <w:vAlign w:val="bottom"/>
          </w:tcPr>
          <w:p>
            <w:pPr>
              <w:spacing w:after="0"/>
              <w:rPr>
                <w:sz w:val="21"/>
                <w:szCs w:val="21"/>
                <w:color w:val="auto"/>
              </w:rPr>
            </w:pPr>
          </w:p>
        </w:tc>
        <w:tc>
          <w:tcPr>
            <w:tcW w:w="440" w:type="dxa"/>
            <w:vAlign w:val="bottom"/>
          </w:tcPr>
          <w:p>
            <w:pPr>
              <w:jc w:val="right"/>
              <w:ind w:right="82"/>
              <w:spacing w:after="0"/>
              <w:rPr>
                <w:sz w:val="20"/>
                <w:szCs w:val="20"/>
                <w:color w:val="auto"/>
              </w:rPr>
            </w:pPr>
            <w:r>
              <w:rPr>
                <w:rFonts w:ascii="Arial" w:cs="Arial" w:eastAsia="Arial" w:hAnsi="Arial"/>
                <w:sz w:val="12"/>
                <w:szCs w:val="12"/>
                <w:color w:val="auto"/>
              </w:rPr>
              <w:t>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9,950.5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302.9</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4.07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9,231.6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273.7</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3.96</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38.9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0.4</w:t>
            </w: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3.74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0.2</w:t>
            </w: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0.7</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264"/>
        </w:trPr>
        <w:tc>
          <w:tcPr>
            <w:tcW w:w="1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b w:val="1"/>
                <w:bCs w:val="1"/>
                <w:color w:val="auto"/>
              </w:rPr>
              <w:t xml:space="preserve">Total Earning Assets </w:t>
            </w:r>
            <w:r>
              <w:rPr>
                <w:rFonts w:ascii="Arial" w:cs="Arial" w:eastAsia="Arial" w:hAnsi="Arial"/>
                <w:sz w:val="19"/>
                <w:szCs w:val="19"/>
                <w:b w:val="1"/>
                <w:bCs w:val="1"/>
                <w:color w:val="auto"/>
                <w:vertAlign w:val="superscript"/>
              </w:rPr>
              <w:t>3</w:t>
            </w: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16,150.6</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rPr>
              <w:t>140.7</w:t>
            </w:r>
          </w:p>
        </w:tc>
        <w:tc>
          <w:tcPr>
            <w:tcW w:w="24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3.47</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16,257.4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131.7</w:t>
            </w:r>
          </w:p>
        </w:tc>
        <w:tc>
          <w:tcPr>
            <w:tcW w:w="2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rPr>
              <w:t>3.23</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16,116.2</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411.1</w:t>
            </w:r>
          </w:p>
        </w:tc>
        <w:tc>
          <w:tcPr>
            <w:tcW w:w="2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color w:val="auto"/>
              </w:rPr>
              <w:t>3.41</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15,946.0</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381.2</w:t>
            </w:r>
          </w:p>
        </w:tc>
        <w:tc>
          <w:tcPr>
            <w:tcW w:w="1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Cash and Due From Banks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252.1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244.0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Other Assets</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612.6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563.6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604.9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555.4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Assets</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17,015.3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16,972.2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16,965.1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16,636.2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Interest-Bearing Deposits</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Demand</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2,999.5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99"/>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2,880.0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0.5</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2,982.5</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w w:val="93"/>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2,869.7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w w:val="93"/>
              </w:rPr>
              <w:t>0.06%</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Savings</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5,482.4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3.8</w:t>
            </w:r>
          </w:p>
        </w:tc>
        <w:tc>
          <w:tcPr>
            <w:tcW w:w="24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0.28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5,374.4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1.8</w:t>
            </w:r>
          </w:p>
        </w:tc>
        <w:tc>
          <w:tcPr>
            <w:tcW w:w="260" w:type="dxa"/>
            <w:vAlign w:val="bottom"/>
          </w:tcPr>
          <w:p>
            <w:pPr>
              <w:spacing w:after="0"/>
              <w:rPr>
                <w:sz w:val="21"/>
                <w:szCs w:val="21"/>
                <w:color w:val="auto"/>
              </w:rPr>
            </w:pPr>
          </w:p>
        </w:tc>
        <w:tc>
          <w:tcPr>
            <w:tcW w:w="440" w:type="dxa"/>
            <w:vAlign w:val="bottom"/>
          </w:tcPr>
          <w:p>
            <w:pPr>
              <w:jc w:val="right"/>
              <w:ind w:right="82"/>
              <w:spacing w:after="0"/>
              <w:rPr>
                <w:sz w:val="20"/>
                <w:szCs w:val="20"/>
                <w:color w:val="auto"/>
              </w:rPr>
            </w:pPr>
            <w:r>
              <w:rPr>
                <w:rFonts w:ascii="Arial" w:cs="Arial" w:eastAsia="Arial" w:hAnsi="Arial"/>
                <w:sz w:val="12"/>
                <w:szCs w:val="12"/>
                <w:color w:val="auto"/>
              </w:rPr>
              <w:t>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5,414.1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9.1</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5,385.7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4.7</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Time</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1,683.0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5.8</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1,788.2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4.4</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1,700.6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15.7</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1,529.2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9.4</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0.82</w:t>
            </w:r>
          </w:p>
        </w:tc>
        <w:tc>
          <w:tcPr>
            <w:tcW w:w="0" w:type="dxa"/>
            <w:vAlign w:val="bottom"/>
          </w:tcPr>
          <w:p>
            <w:pPr>
              <w:spacing w:after="0"/>
              <w:rPr>
                <w:sz w:val="1"/>
                <w:szCs w:val="1"/>
                <w:color w:val="auto"/>
              </w:rPr>
            </w:pPr>
          </w:p>
        </w:tc>
      </w:tr>
      <w:tr>
        <w:trPr>
          <w:trHeight w:val="244"/>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Total Interest-Bearing Deposits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10,164.9</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10.9</w:t>
            </w:r>
          </w:p>
        </w:tc>
        <w:tc>
          <w:tcPr>
            <w:tcW w:w="2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0.43</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w w:val="89"/>
              </w:rPr>
              <w:t>10,042.6</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6.7</w:t>
            </w: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0.26</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10,097.2</w:t>
            </w: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28.0</w:t>
            </w: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0.37</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9,784.6</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15.4</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rPr>
              <w:t>0.21</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0.91</w:t>
            </w: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rPr>
                <w:sz w:val="20"/>
                <w:szCs w:val="20"/>
                <w:color w:val="auto"/>
              </w:rPr>
            </w:pPr>
            <w:r>
              <w:rPr>
                <w:rFonts w:ascii="Arial" w:cs="Arial" w:eastAsia="Arial" w:hAnsi="Arial"/>
                <w:sz w:val="12"/>
                <w:szCs w:val="12"/>
                <w:color w:val="auto"/>
                <w:w w:val="90"/>
              </w:rPr>
              <w:t>Securities Sold Under Agreements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rPr>
                <w:sz w:val="20"/>
                <w:szCs w:val="20"/>
                <w:color w:val="auto"/>
              </w:rPr>
            </w:pPr>
            <w:r>
              <w:rPr>
                <w:rFonts w:ascii="Arial" w:cs="Arial" w:eastAsia="Arial" w:hAnsi="Arial"/>
                <w:sz w:val="12"/>
                <w:szCs w:val="12"/>
                <w:color w:val="auto"/>
              </w:rPr>
              <w:t>to Repurchase</w:t>
            </w:r>
          </w:p>
        </w:tc>
        <w:tc>
          <w:tcPr>
            <w:tcW w:w="200" w:type="dxa"/>
            <w:vAlign w:val="bottom"/>
          </w:tcPr>
          <w:p>
            <w:pPr>
              <w:spacing w:after="0"/>
              <w:rPr>
                <w:sz w:val="12"/>
                <w:szCs w:val="12"/>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504.3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4.7</w:t>
            </w:r>
          </w:p>
        </w:tc>
        <w:tc>
          <w:tcPr>
            <w:tcW w:w="240" w:type="dxa"/>
            <w:vAlign w:val="bottom"/>
          </w:tcPr>
          <w:p>
            <w:pPr>
              <w:spacing w:after="0"/>
              <w:rPr>
                <w:sz w:val="12"/>
                <w:szCs w:val="12"/>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3.62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505.3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4.7</w:t>
            </w:r>
          </w:p>
        </w:tc>
        <w:tc>
          <w:tcPr>
            <w:tcW w:w="260" w:type="dxa"/>
            <w:vAlign w:val="bottom"/>
          </w:tcPr>
          <w:p>
            <w:pPr>
              <w:spacing w:after="0"/>
              <w:rPr>
                <w:sz w:val="12"/>
                <w:szCs w:val="12"/>
                <w:color w:val="auto"/>
              </w:rPr>
            </w:pPr>
          </w:p>
        </w:tc>
        <w:tc>
          <w:tcPr>
            <w:tcW w:w="440" w:type="dxa"/>
            <w:vAlign w:val="bottom"/>
          </w:tcPr>
          <w:p>
            <w:pPr>
              <w:jc w:val="right"/>
              <w:ind w:right="82"/>
              <w:spacing w:after="0"/>
              <w:rPr>
                <w:sz w:val="20"/>
                <w:szCs w:val="20"/>
                <w:color w:val="auto"/>
              </w:rPr>
            </w:pPr>
            <w:r>
              <w:rPr>
                <w:rFonts w:ascii="Arial" w:cs="Arial" w:eastAsia="Arial" w:hAnsi="Arial"/>
                <w:sz w:val="12"/>
                <w:szCs w:val="12"/>
                <w:color w:val="auto"/>
              </w:rPr>
              <w:t>3.61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504.9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13.9</w:t>
            </w:r>
          </w:p>
        </w:tc>
        <w:tc>
          <w:tcPr>
            <w:tcW w:w="200" w:type="dxa"/>
            <w:vAlign w:val="bottom"/>
          </w:tcPr>
          <w:p>
            <w:pPr>
              <w:spacing w:after="0"/>
              <w:rPr>
                <w:sz w:val="12"/>
                <w:szCs w:val="12"/>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3.62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507.7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14.9</w:t>
            </w:r>
          </w:p>
        </w:tc>
        <w:tc>
          <w:tcPr>
            <w:tcW w:w="180" w:type="dxa"/>
            <w:vAlign w:val="bottom"/>
          </w:tcPr>
          <w:p>
            <w:pPr>
              <w:spacing w:after="0"/>
              <w:rPr>
                <w:sz w:val="12"/>
                <w:szCs w:val="12"/>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Debt</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208.5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0.8</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267.9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233.6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2.7</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267.9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244"/>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2"/>
                <w:szCs w:val="12"/>
                <w:b w:val="1"/>
                <w:bCs w:val="1"/>
                <w:color w:val="auto"/>
                <w:w w:val="90"/>
              </w:rPr>
              <w:t>Total Interest-Bearing Liabilities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10,889.3</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16.5</w:t>
            </w:r>
          </w:p>
        </w:tc>
        <w:tc>
          <w:tcPr>
            <w:tcW w:w="2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0.60</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w w:val="89"/>
              </w:rPr>
              <w:t>10,815.8</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12.5</w:t>
            </w: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0.45</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10,852.9</w:t>
            </w: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44.8</w:t>
            </w: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0.55</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10,575.5</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33.7</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rPr>
              <w:t>0.42</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17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Net Interest Income</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124.2</w:t>
            </w: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119.2</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366.3</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347.5</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2"/>
                <w:szCs w:val="12"/>
                <w:color w:val="auto"/>
              </w:rPr>
              <w:t>Interest Rate Spread</w:t>
            </w: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2"/>
                <w:szCs w:val="12"/>
                <w:color w:val="auto"/>
                <w:w w:val="99"/>
              </w:rPr>
              <w:t>2.87%</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2"/>
                <w:szCs w:val="12"/>
                <w:color w:val="auto"/>
              </w:rPr>
              <w:t>2.78%</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2"/>
                <w:szCs w:val="12"/>
                <w:color w:val="auto"/>
                <w:w w:val="93"/>
              </w:rPr>
              <w:t>2.86%</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2"/>
                <w:szCs w:val="12"/>
                <w:color w:val="auto"/>
                <w:w w:val="93"/>
              </w:rPr>
              <w:t>2.77%</w:t>
            </w:r>
          </w:p>
        </w:tc>
        <w:tc>
          <w:tcPr>
            <w:tcW w:w="0" w:type="dxa"/>
            <w:vAlign w:val="bottom"/>
          </w:tcPr>
          <w:p>
            <w:pPr>
              <w:spacing w:after="0" w:line="20" w:lineRule="exact"/>
              <w:rPr>
                <w:sz w:val="1"/>
                <w:szCs w:val="1"/>
                <w:color w:val="auto"/>
              </w:rPr>
            </w:pPr>
          </w:p>
        </w:tc>
      </w:tr>
      <w:tr>
        <w:trPr>
          <w:trHeight w:val="234"/>
        </w:trPr>
        <w:tc>
          <w:tcPr>
            <w:tcW w:w="1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Net Interest Margin</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99"/>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w w:val="93"/>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w w:val="93"/>
              </w:rPr>
              <w:t>2.91%</w:t>
            </w: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rPr>
                <w:sz w:val="20"/>
                <w:szCs w:val="20"/>
                <w:color w:val="auto"/>
              </w:rPr>
            </w:pPr>
            <w:r>
              <w:rPr>
                <w:rFonts w:ascii="Arial" w:cs="Arial" w:eastAsia="Arial" w:hAnsi="Arial"/>
                <w:sz w:val="12"/>
                <w:szCs w:val="12"/>
                <w:color w:val="auto"/>
              </w:rPr>
              <w:t>Noninterest-Bearing Demand</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rPr>
                <w:sz w:val="20"/>
                <w:szCs w:val="20"/>
                <w:color w:val="auto"/>
              </w:rPr>
            </w:pPr>
            <w:r>
              <w:rPr>
                <w:rFonts w:ascii="Arial" w:cs="Arial" w:eastAsia="Arial" w:hAnsi="Arial"/>
                <w:sz w:val="12"/>
                <w:szCs w:val="12"/>
                <w:color w:val="auto"/>
              </w:rPr>
              <w:t>Deposits</w:t>
            </w:r>
          </w:p>
        </w:tc>
        <w:tc>
          <w:tcPr>
            <w:tcW w:w="200" w:type="dxa"/>
            <w:vAlign w:val="bottom"/>
          </w:tcPr>
          <w:p>
            <w:pPr>
              <w:spacing w:after="0"/>
              <w:rPr>
                <w:sz w:val="12"/>
                <w:szCs w:val="12"/>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4,655.6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4,684.9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4,653.2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4,617.1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216.4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Shareholders’ Equity</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1,250.5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1,222.9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1,242.6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1,201.9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720" w:type="dxa"/>
            <w:vAlign w:val="bottom"/>
            <w:shd w:val="clear" w:color="auto" w:fill="CCEEFF"/>
          </w:tcPr>
          <w:p>
            <w:pPr>
              <w:ind w:left="40"/>
              <w:spacing w:after="0" w:line="134" w:lineRule="exact"/>
              <w:rPr>
                <w:sz w:val="20"/>
                <w:szCs w:val="20"/>
                <w:color w:val="auto"/>
              </w:rPr>
            </w:pPr>
            <w:r>
              <w:rPr>
                <w:rFonts w:ascii="Arial" w:cs="Arial" w:eastAsia="Arial" w:hAnsi="Arial"/>
                <w:sz w:val="12"/>
                <w:szCs w:val="12"/>
                <w:b w:val="1"/>
                <w:bCs w:val="1"/>
                <w:color w:val="auto"/>
              </w:rPr>
              <w:t>Total Liabilities and</w:t>
            </w:r>
          </w:p>
        </w:tc>
        <w:tc>
          <w:tcPr>
            <w:tcW w:w="2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62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17,015.3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w w:val="89"/>
              </w:rPr>
              <w:t>16,972.2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16,965.1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16,636.2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b w:val="1"/>
                <w:bCs w:val="1"/>
                <w:color w:val="auto"/>
              </w:rPr>
              <w:t>Shareholders’ Equity</w:t>
            </w: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9"/>
          <w:szCs w:val="9"/>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8"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9"/>
          <w:szCs w:val="9"/>
          <w:color w:val="auto"/>
        </w:rPr>
      </w:pPr>
      <w:r>
        <w:rPr>
          <w:rFonts w:ascii="Arial" w:cs="Arial" w:eastAsia="Arial" w:hAnsi="Arial"/>
          <w:sz w:val="13"/>
          <w:szCs w:val="13"/>
          <w:color w:val="auto"/>
        </w:rPr>
        <w:t>Comprised of other consumer revolving credit, installment, and consumer lease financing.</w:t>
      </w:r>
    </w:p>
    <w:p>
      <w:pPr>
        <w:ind w:left="180" w:right="80" w:hanging="172"/>
        <w:spacing w:after="0" w:line="239" w:lineRule="auto"/>
        <w:tabs>
          <w:tab w:leader="none" w:pos="180" w:val="left"/>
        </w:tabs>
        <w:numPr>
          <w:ilvl w:val="0"/>
          <w:numId w:val="36"/>
        </w:numPr>
        <w:rPr>
          <w:rFonts w:ascii="Arial" w:cs="Arial" w:eastAsia="Arial" w:hAnsi="Arial"/>
          <w:sz w:val="9"/>
          <w:szCs w:val="9"/>
          <w:color w:val="auto"/>
        </w:rPr>
      </w:pPr>
      <w:r>
        <w:rPr>
          <w:rFonts w:ascii="Arial" w:cs="Arial" w:eastAsia="Arial" w:hAnsi="Arial"/>
          <w:sz w:val="13"/>
          <w:szCs w:val="13"/>
          <w:color w:val="auto"/>
        </w:rPr>
        <w:t>Interest income includes taxable-equivalent basis adjustments, based upon a federal statutory tax rate of 21% for 2018 and 35% for 2017, of $1.3 million and $3.9 million for the three and nine months ended September 30, 2018, respectively, and of $3.0 million and $9.0 million for the three and nine months ended September 30, 2017, respectively.</w:t>
      </w:r>
    </w:p>
    <w:p>
      <w:pPr>
        <w:sectPr>
          <w:pgSz w:w="11900" w:h="16838" w:orient="portrait"/>
          <w:cols w:equalWidth="0" w:num="1">
            <w:col w:w="11420"/>
          </w:cols>
          <w:pgMar w:left="240" w:top="130" w:right="239" w:bottom="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30" w:right="239" w:bottom="0" w:gutter="0" w:footer="0" w:header="0"/>
          <w:type w:val="continuous"/>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Analysis of Change in Net Interest Income - Taxable-Equivalent Basis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4</w:t>
            </w:r>
          </w:p>
        </w:tc>
      </w:tr>
      <w:tr>
        <w:trPr>
          <w:trHeight w:val="27"/>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Nine Months Ended September 30, 2018</w:t>
            </w:r>
          </w:p>
        </w:tc>
        <w:tc>
          <w:tcPr>
            <w:tcW w:w="800" w:type="dxa"/>
            <w:vAlign w:val="bottom"/>
          </w:tcPr>
          <w:p>
            <w:pPr>
              <w:spacing w:after="0"/>
              <w:rPr>
                <w:sz w:val="20"/>
                <w:szCs w:val="20"/>
                <w:color w:val="auto"/>
              </w:rPr>
            </w:pPr>
          </w:p>
        </w:tc>
      </w:tr>
      <w:tr>
        <w:trPr>
          <w:trHeight w:val="270"/>
        </w:trPr>
        <w:tc>
          <w:tcPr>
            <w:tcW w:w="6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40" w:type="dxa"/>
            <w:vAlign w:val="bottom"/>
            <w:gridSpan w:val="3"/>
          </w:tcPr>
          <w:p>
            <w:pPr>
              <w:jc w:val="right"/>
              <w:spacing w:after="0"/>
              <w:rPr>
                <w:sz w:val="20"/>
                <w:szCs w:val="20"/>
                <w:color w:val="auto"/>
              </w:rPr>
            </w:pPr>
            <w:r>
              <w:rPr>
                <w:rFonts w:ascii="Arial" w:cs="Arial" w:eastAsia="Arial" w:hAnsi="Arial"/>
                <w:sz w:val="16"/>
                <w:szCs w:val="16"/>
                <w:b w:val="1"/>
                <w:bCs w:val="1"/>
                <w:color w:val="auto"/>
              </w:rPr>
              <w:t>Compared to September 30, 2017</w:t>
            </w: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3"/>
        </w:trPr>
        <w:tc>
          <w:tcPr>
            <w:tcW w:w="6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8"/>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7"/>
                <w:szCs w:val="17"/>
                <w:color w:val="auto"/>
                <w:vertAlign w:val="superscript"/>
              </w:rPr>
              <w:t>1</w:t>
            </w:r>
          </w:p>
        </w:tc>
        <w:tc>
          <w:tcPr>
            <w:tcW w:w="6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17"/>
                <w:szCs w:val="17"/>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Income: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(2.4)</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2.2</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Available-for-Sale</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Taxable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(1.5)</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4.5</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6660" w:type="dxa"/>
            <w:vAlign w:val="bottom"/>
          </w:tcPr>
          <w:p>
            <w:pPr>
              <w:ind w:left="360"/>
              <w:spacing w:after="0"/>
              <w:rPr>
                <w:sz w:val="20"/>
                <w:szCs w:val="20"/>
                <w:color w:val="auto"/>
              </w:rPr>
            </w:pPr>
            <w:r>
              <w:rPr>
                <w:rFonts w:ascii="Arial" w:cs="Arial" w:eastAsia="Arial" w:hAnsi="Arial"/>
                <w:sz w:val="16"/>
                <w:szCs w:val="16"/>
                <w:color w:val="auto"/>
              </w:rPr>
              <w:t>Non-Taxable</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(1.5)</w:t>
            </w:r>
          </w:p>
        </w:tc>
        <w:tc>
          <w:tcPr>
            <w:tcW w:w="64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(2.3)</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Held-to-Maturity</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320"/>
              <w:spacing w:after="0"/>
              <w:rPr>
                <w:sz w:val="20"/>
                <w:szCs w:val="20"/>
                <w:color w:val="auto"/>
              </w:rPr>
            </w:pPr>
            <w:r>
              <w:rPr>
                <w:rFonts w:ascii="Arial" w:cs="Arial" w:eastAsia="Arial" w:hAnsi="Arial"/>
                <w:sz w:val="16"/>
                <w:szCs w:val="16"/>
                <w:color w:val="auto"/>
              </w:rPr>
              <w:t>Taxable</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(1.6)</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4.6</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Non-Taxable</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(0.1)</w:t>
            </w: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(4.7)</w:t>
            </w: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5.5</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(0.3)</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and Industrial</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0.9</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4.0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Commercial Mortgage</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5.5</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4.5</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Commercial Lease Financing</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(0.5)</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7.2</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Home Equity</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4.8</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Automobile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3.2</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(3.6)</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70"/>
        </w:trPr>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5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3.9</w:t>
            </w:r>
          </w:p>
        </w:tc>
        <w:tc>
          <w:tcPr>
            <w:tcW w:w="6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(0.2)</w:t>
            </w: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22.9</w:t>
            </w: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6.3</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0.3</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15.5</w:t>
            </w: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14.4</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r>
      <w:tr>
        <w:trPr>
          <w:trHeight w:val="264"/>
        </w:trPr>
        <w:tc>
          <w:tcPr>
            <w:tcW w:w="66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Interest-Bearing Deposits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Demand</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0.1</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1.8</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Savings</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4.4</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Time</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1.1</w:t>
            </w: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Interest-Bearing Deposits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1.2</w:t>
            </w: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11.4</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64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(0.9)</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(0.2)</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Expense</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0.7</w:t>
            </w: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10.4</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6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Change in Net Interest Income</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14.8</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4.0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18.8</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9"/>
          <w:szCs w:val="9"/>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line="13"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9"/>
          <w:szCs w:val="9"/>
          <w:color w:val="auto"/>
        </w:rPr>
      </w:pPr>
      <w:r>
        <w:rPr>
          <w:rFonts w:ascii="Arial" w:cs="Arial" w:eastAsia="Arial" w:hAnsi="Arial"/>
          <w:sz w:val="14"/>
          <w:szCs w:val="14"/>
          <w:color w:val="auto"/>
        </w:rPr>
        <w:t>Comprised of other consumer revolving credit, installment, and consumer lease financing.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ectPr>
          <w:pgSz w:w="11900" w:h="16838" w:orient="portrait"/>
          <w:cols w:equalWidth="0" w:num="1">
            <w:col w:w="11420"/>
          </w:cols>
          <w:pgMar w:left="240" w:top="130"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30" w:right="2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Net interest income was $122.9 million for the third quarter of 2018, an increase of $6.6 million or 6% compared to the same period in 2017. On a taxable-equivalent basis, net interest income was $124.2 million for the third quarter of 2018, an increase of $5.0 million or 4% compared to the same period in 2017. The increase was primarily due to the shift in the mix of our earning assets to loans, which generally have higher yields. Net interest income was $362.4 million for the first nine months of 2018, an increase of $23.9 million or 7% compared to the same period in 2017. On a taxable-equivalent basis, net interest income was $366.3 million for the first nine months of 2018, an increase of $18.8 million or 5% compared to the same period in 2017. This increase was primarily due to a higher level of earning assets, including growth in both our commercial and consumer lending portfolios, and higher net interest margin. The higher level of earning assets was primarily funded by higher deposit balances. Net interest margin was 3.07% for the third quarter of 2018, an increase of 15 basis points compared to the same period in 2017. Net interest margin was 3.04% for the first nine months of 2018, an increase of 13 basis points compared to the same period in 2017. The higher margin in 2018 was primarily due to our loans, which generally have higher yields than our investment securities, comprising a larger percentage of our earning assets compared to 2017.</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Yields on our earning assets increased by 24 basis points in the third quarter of 2018 and by 22 basis points in the first nine months of 2018 compared to the same periods in 2017 primarily due to the aforementioned shift in the mix of our earning assets from investment securities to loans, which generally have higher yields. Yield increases in our commercial and industrial, commercial mortgage, and home equity loans were primarily due to higher yields on floating rate loans. Yields on our commercial and industrial loans increased by 46 basis points in the third quarter of 2018 and by 41 basis points in the first nine months of 2018 compared to the same periods in 2017. Yields on our commercial mortgage loans increased by 32 basis points in the third quarter of 2018 and by 29 basis points in the first nine months of 2018 compared to the same periods in 2017. In addition, yields on our home equity loans also increased by 18 basis points in the third quarter of 2018 and by 16 basis points in the first nine months of 2018 compared to the same periods in 2017. Yields on our investment securities portfolio increased by 14 basis points in the third quarter of 2018 and by 12 basis points in the first nine months of 2018 compared to the same periods in 2017 primarily due to the higher interest rate environment and lower premium amortization. These yield increases were partially offset by an 87 basis point decrease in our automobile loan portfolios in the third quarter of 2018 and by 91 basis points in the first nine months of 2018 compared to the same periods in 2017.</w:t>
      </w:r>
    </w:p>
    <w:p>
      <w:pPr>
        <w:spacing w:after="0" w:line="1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Interest rates paid on our interest-bearing liabilities increased by 15 basis points in the third quarter of 2018 compared to the same period in 2017. Increases to our funding costs were primarily due to higher rates paid on our interest-bearing deposits, a reflection of the higher rate environment. The increase in our funding costs was partially offset by a lower average balance of our public time deposits, which decreased by $338.4 million in the third quarter of 2018 compared to the same period in 2017. Interest rates paid on our interest-bearing liabilities increased by 13 basis points in the first nine months of 2018 compared to the same period in 2017. Increases to our funding costs were primarily due to higher rates paid on our interest-bearing deposits, a reflection of the higher rate environment. The higher funding costs were partially offset by lower rates paid on our securities sold under agreements to repurchase. Interest rates paid on our repurchase agreements decreased by 26 basis points in the first nine months of 2018 compared to the same period in 2017 primarily due to the restructuring of three repurchase agreements with private institutions with an aggregate total of $200.0 million. These repurchase agreements had a weighted-average interest rate of 3.94%. The restructuring of the agreements lowered the weighted-average interest rate to 2.70% effective June 2017.</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Average balances of our earning assets decreased by $106.8 million or 1% in the third quarter of 2018 compared to the same period in 2017 primarily due to lower average balances in our federal funds sold and investment securities portfolio, offset by loan growth. The average balance of our federal funds sold and investment securities portfolio decreased by $293.3 million and $436.5 million, respectively, in the third quarter of 2018 primarily due to the shift in the mix of our earning assets to loans. Offsetting this decrease in the average balances of our federal funds sold and investment securities portfolio was a $629.9 million increase in the average balance of our loans and leases portfolio in the third quarter of 2018. The average balance in our residential mortgage portfolio increased by $230.2 million in the third quarter of 2018 compared to the same period in 2017 primarily due to a relatively constant level of loan originations combined with a slowdown in payoff activity. The average balance of our commercial mortgage portfolio increased by $165.5 million in the third quarter of 2018 compared to the same period in 2017 as a result of continued demand from new and existing customers as a result of a healthy Hawaii economy. The average balance of our home equity portfolio increased by $119.5 million in the third quarter of 2018 compared to the same period in 2017 due in large part to continued loan demand in light of a healthy Hawaii economy and stable real estate market conditions. In addition, utilization on new and existing home equity lines remained steady during the third quarter of 2018. Average balances of our earning assets increased by $170.2 million or 1% in the first nine months of 2018 compared to the same period in 2017 primarily due to loan growth as the average balances of our loan and lease portfolio increased by $718.9 million in the first nine months of 2018 compared to the same period in 2017, offset by lower average balances in our federal funds sold and investment securities portfolio. The average balance in the residential mortgage portfolio increased by $253.4 million in the first nine months of 2018 compared to the same period in 2017 primarily due to relatively constant level of loan originations combined with a slowdown in payoff activity. The average balance in our commercial mortgage portfolio increased by $185.7 million in the first nine months of 2018 compared to the same period in 2017 primarily due to continued demand from new and existing customers as a result of a healthy Hawaii economy. The average balance of our home equity portfolio increased by $171.0 million in the first nine months of 2018 compared to the same period in 2017 due in large part to the continued loan demand in light of a healthy Hawaii economy and stable real estate market conditions. In addition, utilization on new and existing home equity lines remained steady during the first nine months of 2018.</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Average balances of our interest-bearing liabilities increased by $73.5 million or 1% in the third quarter of 2018 compared to the same period in 2017 primarily due to growth in our relationship checking and savings products, offset by the aforementioned lower average balance in our public time deposit products. Average balance in our core deposit products increased by $227.5 million in the third quarter of 2018 compared to the same period in 2017. Offsetting the increase in the average balance of our core deposit products, the average balance of our time deposits and other interest-bearing liabilities decreased by $105.2 million and $48.8 million, respectively, in the third quarter of 2018 compared to the same period in 2017. The decrease in the average balance of our time deposits was primarily due to a $338.4 million decrease in our public time deposits, offset by a $239.6 million increase in the average balance of our consumer time deposits. Average balances in our interest-bearing liabilities increased by $277.4 million or 3% in the first nine months of 2018 compared to the same periods in 2017 primarily due to the growth in our time deposits, along with continued growth in our relationship checking and savings products. Average balances in our time deposits and interest-bearing accounts increased by $171.4 million and $112.8 million, respectively, for the first nine months of 2018 compared to the same period in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provision for credit losses (the “Provision”) reflects our judgment of the expense or benefit necessary to achieve the appropriate amount of the Allowance. We maintain the Allowance at levels we believe adequate to cover our estimate of probable credit losses as of the end of the reporting period. The Allowance is determined through detailed quarterly analyses of the loan and lease portfolio. The Allowance is based on our loss experience and changes in the economic environment, as well as an ongoing assessment of credit quality. Additional factors that are considered in determining the amount of the Allowance are the level of net charge-offs, non-performing assets, risk-rating migration, as well as changes in our portfolio size and composition. We recorded a provision of $3.8 million in the third quarter of 2018 compared to a $4.0 million provision in the same period in 2017. Our decision to record a provision is reflective of our evaluation of the adequacy of the Allowance. For further discussion on the Allowance, see “Corporate Risk Profile - Reserve for Credit Losses” in this Management’s Discussion and Analysis of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Noninterest income decreased by $0.9 million or 2% in the third quarter of 2018 and by $16.7 million or 12% for the first nine months of 2018 compared to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the components of noninterest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5</w:t>
            </w:r>
          </w:p>
        </w:tc>
      </w:tr>
      <w:tr>
        <w:trPr>
          <w:trHeight w:val="33"/>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8"/>
        </w:trPr>
        <w:tc>
          <w:tcPr>
            <w:tcW w:w="4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Change</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Trust and Asset Management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10,782</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11,050</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(268)</w:t>
            </w:r>
          </w:p>
        </w:tc>
        <w:tc>
          <w:tcPr>
            <w:tcW w:w="2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33,319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34,325</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Banking</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1,965</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3,237</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6,289</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10,356</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(4,067)</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Service Charges on Deposit Accounts</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7,255</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8,188</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21,249</w:t>
            </w:r>
          </w:p>
        </w:tc>
        <w:tc>
          <w:tcPr>
            <w:tcW w:w="3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24,522</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(3,273)</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Fees, Exchange, and Other Service Charges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14,173</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13,764</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42,906</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41,061</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Investment Securities Gains (Losses), Net</w:t>
            </w:r>
          </w:p>
        </w:tc>
        <w:tc>
          <w:tcPr>
            <w:tcW w:w="30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(729)</w:t>
            </w:r>
          </w:p>
        </w:tc>
        <w:tc>
          <w:tcPr>
            <w:tcW w:w="4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(566)</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(3,097)</w:t>
            </w:r>
          </w:p>
        </w:tc>
        <w:tc>
          <w:tcPr>
            <w:tcW w:w="3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11,047</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(14,144)</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Annuity and Insurance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1,360</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1,429</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4,413</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5,585</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Bank-Owned Life Insurance</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1,620</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1,861</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5,258</w:t>
            </w:r>
          </w:p>
        </w:tc>
        <w:tc>
          <w:tcPr>
            <w:tcW w:w="3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4,908</w:t>
            </w:r>
          </w:p>
        </w:tc>
        <w:tc>
          <w:tcPr>
            <w:tcW w:w="3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350</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5,056</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3,447</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1,609</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16,478</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11,758</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4,720</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41,482</w:t>
            </w:r>
          </w:p>
        </w:tc>
        <w:tc>
          <w:tcPr>
            <w:tcW w:w="4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42,410</w:t>
            </w:r>
          </w:p>
        </w:tc>
        <w:tc>
          <w:tcPr>
            <w:tcW w:w="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126,815</w:t>
            </w:r>
          </w:p>
        </w:tc>
        <w:tc>
          <w:tcPr>
            <w:tcW w:w="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143,562</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(16,747)</w:t>
            </w:r>
          </w:p>
        </w:tc>
      </w:tr>
      <w:tr>
        <w:trPr>
          <w:trHeight w:val="33"/>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$9.7 billion and $9.0 billion as of September 30, 2018 and 2017, respectively. Trust and asset management income decreased by $0.3 million or 2% in the third quarter of 2018 and by $1.0 million or 3% for the first nine months of 2018 compared to the same periods in 2017 due to a decrease in termination, transfer, and real estate service fees.</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Mortgage banking income is highly influenced by mortgage interest rates, the housing market, the amount of our loan sales, and our valuation of mortgage servicing rights. Mortgage banking income decreased by $1.3 million or 39% in the third quarter of 2018 and by $4.1 million or 39% for the first nine months of 2018 compared to the same periods in 2017. This decrease was primarily due to reduced sales of conforming saleable loans from our mortgage loan portfolio.</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Service charges on deposit accounts decreased by $0.9 million or 11% in the third quarter of 2018 compared to the same period in 2017. This decrease was primarily due to a $0.6 million decrease in account analysis fees and a $0.4 million decrease in overdraft fees. Service charges on deposit accounts decreased by $3.3 million or 13% for the first nine months of 2018 compared to the same periods in 2017 primarily due to a $1.8 million decrease in account analysis fees and a $1.6 million decrease in overdraft fees, partially offset by an increase in other service and monthly fees.</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Fees, exchange, and other service charges are primarily comprised of debit and credit card income, fees from ATMs, merchant service activity, and other loan fees and service charges. Fees, exchange, and other service charges increased by $0.4 million or 3% in the third quarter of 2018 and by $1.8 million or 4% for the first nine months of 2018 compared to the same periods in 2017. This year-to-date increase was primarily due to $1.8 million in merchant income, which was recorded as a reduction of other noninterest expense in 2017. This accounting change was related to the 2018 adoption of the new revenue recognition accounting guidance.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Investment securities gains (losses), net totaled $(0.7) million in the third quarter of 2018 compared to $(0.6) million during the same period in 2017. The net losses in the third quarters of 2018 and 2017 were due to quarterly fees paid to the counterparties of our prior Visa Class B share sale transactions. Investment securities gains (losses), net totaled $(3.1) million in the first nine months of 2018 compared to net gains on sales of investment securities of $11.0 million during the same period in 2017. The net loss in 2018 was primarily due to fees paid to the counterparties of our prior Visa Class B share sale transactions. In addition, in June 2018, Visa announced a reduction of the conversion ratio of its Class B shares from 1.6483 to 1.6298 effective June 28, 2018. As a result, the Company recorded a $1.0 million liability in June 2018, which was paid to previous buyers of our Visa Class B shares in July 2018. The net gain in 2017 was primarily due to a gain on the sale of 90,000 Visa Class B shares.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Concurrent with each sale of Visa Class B shares, we entered into an agreement with the buyer that requires payment to the buyer in the event Visa further reduces the conversion ratio. Based on the existing transfer restriction and the uncertainty of the covered litigation, the remaining 83,014 Visa Class B shares (135,296 Class A equivalents) that we own are carried at a zero cost basis. We also contributed 3,600 Visa Class B shares to the Bank of Hawaii Foundation in the second quarter of 2018.</w:t>
      </w:r>
    </w:p>
    <w:p>
      <w:pPr>
        <w:spacing w:after="0" w:line="17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Annuity and insurance income decreased by $0.1 million or 5% in the third quarter of 2018 and by $1.2 million or 21% for the first nine months of 2018 compared to the same periods in 2017. This decrease was primarily due to lower sales of our annuity products.</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Bank-owned life insurance decreased by $0.2 million or 13% in the third quarter of 2018 compared to the same period in 2017. This decrease was primarily due to death benefits received in the third quarter of 2017. Bank-owned life insurance increased by $0.4 million or 7% for the first nine months of 2018 compared to the same period in 2017. This increase was primarily due to death benefits received in the first quarter of 2018.</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noninterest income increased by $1.6 million or 47% in the third quarter of 2018 compared to the same period in 2017 primarily due to $0.8 million in gains on sales of leased assets and a $0.5 million increase in fees for our customer interest rate swap derivatives. Other noninterest income increased by $4.7 million or 40% for the first nine months of 2018 compared to the same period in 2017 primarily due to a distribution received in the first quarter of 2018 from a low-income housing investment sale totaling $2.8 million combined with the aforementioned $0.8 million gain on sale of leased assets and $0.5 million increase in fees for our customer interest rate swap derivatives.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Noninterest expense increased by $1.9 million or 2% in the third quarter of 2018 and by $10.4 million or 4% for the first nine months of 2018 compared to the same periods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6 presents the components of noninterest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Noninterest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6</w:t>
            </w: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6"/>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6"/>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20"/>
                <w:szCs w:val="20"/>
                <w:color w:val="auto"/>
              </w:rPr>
            </w:pPr>
          </w:p>
        </w:tc>
        <w:tc>
          <w:tcPr>
            <w:tcW w:w="3120" w:type="dxa"/>
            <w:vAlign w:val="bottom"/>
            <w:gridSpan w:val="5"/>
          </w:tcPr>
          <w:p>
            <w:pPr>
              <w:jc w:val="right"/>
              <w:ind w:right="37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Salaries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33,308</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31,224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99,281</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91,202</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Incentive Compensation</w:t>
            </w:r>
          </w:p>
        </w:tc>
        <w:tc>
          <w:tcPr>
            <w:tcW w:w="2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5,378</w:t>
            </w:r>
          </w:p>
        </w:tc>
        <w:tc>
          <w:tcPr>
            <w:tcW w:w="38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4,857</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14,972</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15,756</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2,153</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1,962</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6,657</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7,144</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Commission Expense</w:t>
            </w:r>
          </w:p>
        </w:tc>
        <w:tc>
          <w:tcPr>
            <w:tcW w:w="2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1,034</w:t>
            </w:r>
          </w:p>
        </w:tc>
        <w:tc>
          <w:tcPr>
            <w:tcW w:w="38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1,439</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3,260</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5,066</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(1,806)</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and Other Benefits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3,925</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3,843</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12,944</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12,169</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Payroll Taxes</w:t>
            </w:r>
          </w:p>
        </w:tc>
        <w:tc>
          <w:tcPr>
            <w:tcW w:w="2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2,372</w:t>
            </w:r>
          </w:p>
        </w:tc>
        <w:tc>
          <w:tcPr>
            <w:tcW w:w="38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2,353</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9,112</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8,724</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388</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Dental, and Life Insurance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3,616</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3,444</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10,897</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9,859</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Separation Expense</w:t>
            </w: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8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2,068</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1,229</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2,111</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Salaries and Benefits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51,782</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51,190</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158,352</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152,031</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6,321</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Occupancy</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8,702</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7,727</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975</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25,824</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24,026</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1,798</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Equipment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6,116</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5,417</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17,488</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16,624</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Data Processing</w:t>
            </w:r>
          </w:p>
        </w:tc>
        <w:tc>
          <w:tcPr>
            <w:tcW w:w="2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4,241</w:t>
            </w:r>
          </w:p>
        </w:tc>
        <w:tc>
          <w:tcPr>
            <w:tcW w:w="38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3,882</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12,695</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11,173</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1,522</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2,206</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3,044</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8,415</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FDIC Insurance</w:t>
            </w:r>
          </w:p>
        </w:tc>
        <w:tc>
          <w:tcPr>
            <w:tcW w:w="2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2,057</w:t>
            </w:r>
          </w:p>
        </w:tc>
        <w:tc>
          <w:tcPr>
            <w:tcW w:w="38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2,107</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6,396</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6,413</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Delivery and Postage Services</w:t>
            </w:r>
          </w:p>
        </w:tc>
        <w:tc>
          <w:tcPr>
            <w:tcW w:w="2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1,989</w:t>
            </w:r>
          </w:p>
        </w:tc>
        <w:tc>
          <w:tcPr>
            <w:tcW w:w="38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2,186</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6,410</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6,726</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Mileage Program Travel</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1,180</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1,250</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3,523</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3,585</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Merchant Transaction and Card Processing Fees</w:t>
            </w:r>
          </w:p>
        </w:tc>
        <w:tc>
          <w:tcPr>
            <w:tcW w:w="2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1,359</w:t>
            </w:r>
          </w:p>
        </w:tc>
        <w:tc>
          <w:tcPr>
            <w:tcW w:w="38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946</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3,883</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2,982</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901</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1,455</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1,423</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3,963</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3,974</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Amortization of Solar Energy Partnership Investments</w:t>
            </w:r>
          </w:p>
        </w:tc>
        <w:tc>
          <w:tcPr>
            <w:tcW w:w="2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916</w:t>
            </w:r>
          </w:p>
        </w:tc>
        <w:tc>
          <w:tcPr>
            <w:tcW w:w="38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848</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2,748</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2,544</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204</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8,535</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8,578</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26,906</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26,862</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Expense</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15,434</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15,231</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47,433</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46,673</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760</w:t>
            </w: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90,538</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88,598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275,713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265,355</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10,358</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Total salaries and benefits expense increased by $0.6 million or 1% in the third quarter of 2018 compared to the same period in 2017 primarily due to merit and minimum wage increases. These increases were offset by a $2.1 million decrease in separation expense. Total salaries and benefits expense increased by $6.3 million or 4% for the first nine months of 2018 compared to the same period in 2017. This increase was primarily due to merit and minimum wage increases. This increase was partially offset by a $1.8 million decrease in commission expense due to a decrease in loan origination and refinancing activity coupled with lower sales of annuity products. In addition, separation expense decreased by $0.9 million.</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occupancy increased by $1.0 million or 13% in the third quarter of 2018 compared to the same period in 2017. This increase was primarily due to a $0.4 million gain on sale of real estate property on the island of Oahu during the third quarter of 2017 coupled with a $0.3 million increase due to ATM lease space rental costs in 2018. These ATM lease space rental costs were recorded as a reduction of ATM fee income in 2017. This accounting change was related to the 2018 adoption of the new revenue recognition accounting guidance. Net occupancy increased by $1.8 million or 7% for the first nine months of 2018 compared to the same period in 2017. This increase was due to the aforementioned ATM lease space rental cost ($0.8 million for the first nine months of 2018 compared to the same period in 2017) and $0.4 million gain on sale of real estate property in the third quarter of 2017. In addition, this increase was due to the increases in utilities and parking services expenses by $0.3 million and $0.2 million, respectively.</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equipment increased by $0.7 million or 13% in the third quarter of 2018 and by $0.9 million or 5% for the first nine months of 2018 compared to the same periods in 2017. These increases were due to higher depreciation expense.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Data processing increased by $0.4 million or 9% in the third quarter of 2018 and by $1.5 million or 14% for the first nine months of 2018 compared to the same periods in 2017 due to ongoing information technology projects.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30" w:right="2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Professional fees decreased by $0.8 million or 28% in the third quarter of 2018 compared to the same period in 2017 primarily due to a $0.5 million decrease in professional services primarily in our mortgage division and a $0.3 million decrease in legal fees. Professional fees decreased by $0.9 million or 11% for the first nine months of 2018 compared to the same period in 2017 primarily due to a $0.7 million decrease in professional services in our mortgage division.</w:t>
      </w:r>
    </w:p>
    <w:p>
      <w:pPr>
        <w:spacing w:after="0" w:line="14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Total other expense remained relatively unchanged in the third quarter of 2018 compared to the same period in 2017. Total other expense increased by $0.8 million or 2% for the first nine months of 2018 compared to the same periods in 2017 primarily due to a $2.0 million legal reserve recorded in first quarter 2018, partially offset by decreases in business travel ($0.6 million) and temporary services ($0.6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our provision for income taxes and effective tax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w w:val="97"/>
              </w:rPr>
              <w:t>Table 7</w:t>
            </w:r>
          </w:p>
        </w:tc>
      </w:tr>
      <w:tr>
        <w:trPr>
          <w:trHeight w:val="33"/>
        </w:trPr>
        <w:tc>
          <w:tcPr>
            <w:tcW w:w="6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r>
      <w:tr>
        <w:trPr>
          <w:trHeight w:val="209"/>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92"/>
              </w:rPr>
              <w:t>Three Months Ended</w:t>
            </w:r>
          </w:p>
        </w:tc>
        <w:tc>
          <w:tcPr>
            <w:tcW w:w="340" w:type="dxa"/>
            <w:vAlign w:val="bottom"/>
          </w:tcPr>
          <w:p>
            <w:pPr>
              <w:spacing w:after="0"/>
              <w:rPr>
                <w:sz w:val="18"/>
                <w:szCs w:val="18"/>
                <w:color w:val="auto"/>
              </w:rPr>
            </w:pPr>
          </w:p>
        </w:tc>
        <w:tc>
          <w:tcPr>
            <w:tcW w:w="22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left="319"/>
              <w:spacing w:after="0"/>
              <w:rPr>
                <w:sz w:val="20"/>
                <w:szCs w:val="20"/>
                <w:color w:val="auto"/>
              </w:rPr>
            </w:pPr>
            <w:r>
              <w:rPr>
                <w:rFonts w:ascii="Arial" w:cs="Arial" w:eastAsia="Arial" w:hAnsi="Arial"/>
                <w:sz w:val="16"/>
                <w:szCs w:val="16"/>
                <w:b w:val="1"/>
                <w:bCs w:val="1"/>
                <w:color w:val="auto"/>
                <w:w w:val="89"/>
              </w:rPr>
              <w:t>September 30,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left="319"/>
              <w:spacing w:after="0"/>
              <w:rPr>
                <w:sz w:val="20"/>
                <w:szCs w:val="20"/>
                <w:color w:val="auto"/>
              </w:rPr>
            </w:pPr>
            <w:r>
              <w:rPr>
                <w:rFonts w:ascii="Arial" w:cs="Arial" w:eastAsia="Arial" w:hAnsi="Arial"/>
                <w:sz w:val="16"/>
                <w:szCs w:val="16"/>
                <w:b w:val="1"/>
                <w:bCs w:val="1"/>
                <w:color w:val="auto"/>
                <w:w w:val="89"/>
              </w:rPr>
              <w:t>September 30,</w:t>
            </w:r>
          </w:p>
        </w:tc>
        <w:tc>
          <w:tcPr>
            <w:tcW w:w="72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8"/>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13,138</w:t>
            </w:r>
          </w:p>
        </w:tc>
        <w:tc>
          <w:tcPr>
            <w:tcW w:w="5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20,248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36,365</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62,306</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Effective Tax Rates</w:t>
            </w:r>
          </w:p>
        </w:tc>
        <w:tc>
          <w:tcPr>
            <w:tcW w:w="3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18.75%</w:t>
            </w:r>
          </w:p>
        </w:tc>
        <w:tc>
          <w:tcPr>
            <w:tcW w:w="5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30.62%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18.00%</w:t>
            </w:r>
          </w:p>
        </w:tc>
        <w:tc>
          <w:tcPr>
            <w:tcW w:w="5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30.54%</w:t>
            </w:r>
          </w:p>
        </w:tc>
      </w:tr>
    </w:tbl>
    <w:p>
      <w:pPr>
        <w:spacing w:after="0" w:line="23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effective tax rate for the third quarter of 2018 was 18.75% down from 30.62% for the same period in 2017. The lower effective rate in the third quarter of 2018 was primarily due to the federal corporate tax rate changing from 35% to 21% as a result of the passage of the Tax Act. Also favorably impacting our effective tax rate in 2018 was a $0.7 million tax benefit from an early buyout of our equity interest in a leveraged lease. These were partially offset by the reduced tax benefit from municipal bonds due to the lower corporate tax rate and by a $0.5 million release of reserves in the third quarter of 2017.</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effective tax rate for the first nine months of 2018 was 18.00%, down from 30.54% for the same period in 2017. The effective tax rate for the first nine months of 2018 was favorably impacted by the aforementioned reduction in the federal corporate tax rate and a $1.3 million benefit from early buyouts of our equity interest in leverage leases. The tax rate was also favorably impacted by a $2.0 million basis adjustment to the company’s low income housing investments in the first quarter of 2018. These were partially offset by the tax benefits from the exercise of stock options and the vesting of restricted stock being $1.2 million higher in first nine months of 2017 compared to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The carrying value of our investment securities portfolio was $5.7 billion as of September 30, 2018, a decrease of $447.0 million or 7% compared to December 31, 2017. As of September 30, 2018, our investment securities portfolio was comprised of securities with an average base duration of approximately 3.6 years.</w:t>
      </w:r>
    </w:p>
    <w:p>
      <w:pPr>
        <w:spacing w:after="0" w:line="18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first nine months of 2018, we reduced our positions in mortgage-backed securities issued by Ginnie Mae and Freddie Mac. We re-invested these proceeds primarily into higher yielding loan products. In addition, we increased our holdings in Small Business Administration securities. Ginnie Mae mortgage-backed securities continue to be the largest concentration in our portfolio. As of September 30, 2018, our portfolio of Ginnie Mae mortgage-backed securities was primarily comprised of securities issued in 2008 or later. As of September 30, 2018, these mortgage-backed securities were all AAA-rated, with a low probability of a change in their credit ratings in the near future. As of September 30, 2018, our available-for-sale investment securities portfolio was comprised of securities with an average base duration of approximately 2.5 years.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Gross unrealized gains in our investment securities portfolio were $15.6 million as of September 30, 2018 and $36.6 million as of December 31, 2017. Gross unrealized losses on our temporarily impaired investment securities were $159.8 million as of September 30, 2018 and $73.9 million as of December 31, 2017. The higher unrealized losses were primarily caused by the higher interest rate environment. The gross unrealized loss positions were primarily related to mortgage-backed securities issued by Ginnie Mae, Fannie Mae and Freddie Mac, and corporate debt securities. See Note 3 to the Consolidated Financial Statements for more information.</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2018, included in our investment securities portfolio were debt securities issued by political subdivisions within the State of Hawaii of $463.3 million, representing 57% of the total fair value of the Company’s municipal debt securities. Of the entire Hawaii municipal bond portfolio, 96% were credit-rated Aa2 or better by Moody’s while the remaining Hawaii municipal bonds were credit-rated A1 or better by at least one nationally recognized statistical rating organization. Approximately 80% of our Hawaii municipal bond holdings were general obligation issuances. As of September 30, 2018, there were no other holdings of municipal debt securities that were issued by a single state or political subdivision which comprised more than 10% of the total fair value of our municipal debt securities.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Loan and Lease Portfolio Balances</w:t>
            </w:r>
          </w:p>
        </w:tc>
        <w:tc>
          <w:tcPr>
            <w:tcW w:w="3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8</w:t>
            </w:r>
          </w:p>
        </w:tc>
      </w:tr>
      <w:tr>
        <w:trPr>
          <w:trHeight w:val="33"/>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5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1,314,609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1,279,347</w:t>
            </w:r>
          </w:p>
        </w:tc>
      </w:tr>
      <w:tr>
        <w:trPr>
          <w:trHeight w:val="33"/>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2,237,020</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2,103,967</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176,447</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202,253</w:t>
            </w:r>
          </w:p>
        </w:tc>
      </w:tr>
      <w:tr>
        <w:trPr>
          <w:trHeight w:val="33"/>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172,232</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180,931</w:t>
            </w:r>
          </w:p>
        </w:tc>
      </w:tr>
      <w:tr>
        <w:trPr>
          <w:trHeight w:val="231"/>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3,900,308</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33"/>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3,596,627</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3,466,773</w:t>
            </w:r>
          </w:p>
        </w:tc>
      </w:tr>
      <w:tr>
        <w:trPr>
          <w:trHeight w:val="33"/>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1,625,208</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1,585,455</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625,086</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528,474</w:t>
            </w:r>
          </w:p>
        </w:tc>
      </w:tr>
      <w:tr>
        <w:trPr>
          <w:trHeight w:val="33"/>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483,833</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449,747</w:t>
            </w:r>
          </w:p>
        </w:tc>
      </w:tr>
      <w:tr>
        <w:trPr>
          <w:trHeight w:val="231"/>
        </w:trPr>
        <w:tc>
          <w:tcPr>
            <w:tcW w:w="52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6,330,754</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6,030,449</w:t>
            </w:r>
          </w:p>
        </w:tc>
      </w:tr>
      <w:tr>
        <w:trPr>
          <w:trHeight w:val="33"/>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10,231,062</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9,796,947</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loans and leases as of September 30, 2018 increased by $434.1 million or 4% from December 31, 2017 primarily due to growth in both our commercial and consumer lending portfolios.</w:t>
      </w:r>
    </w:p>
    <w:p>
      <w:pPr>
        <w:spacing w:after="0" w:line="17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Commercial loans and leases as of September 30, 2018 increased by $133.8 million or 4% from December 31, 2017. Commercial and industrial loans increased by $35.3 million or 3% from December 31, 2017. Commercial mortgage loans increased by $133.1 million or 6% from December 31, 2017 primarily due to continued demand from new and existing customers as the Hawaii economy continues to be strong. Construction loans decreased by $25.8 million or 13% from December 31, 2017 primarily due to paydowns and successful completion of construction projects such as condominiums and low-income housing, partially offset by increased activity in our portfolio. Lease financing decreased by $8.7 million or 5% from December 31, 2017 primarily due to two lessees exercising their early buy-out option on equipment leases in the third quarter of 2018.</w:t>
      </w:r>
    </w:p>
    <w:p>
      <w:pPr>
        <w:spacing w:after="0" w:line="17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Consumer loans and leases as of September 30, 2018 increased by $300.3 million or 5% from December 31, 2017. Residential mortgage loans increased by $129.9 million or 4% from December 31, 2017 primarily due to a relatively constant level of loan originations combined with a slowdown in payoff activity. Home equity lines and loans increased by $39.8 million or 3% from December 31, 2017 as a result of continued loan demand in light of a healthy Hawaii economy and stable real estate market conditions. Additionally, utilization on new and existing home equity lines remained steady during 2018. Automobile loans increased by $96.6 million or 18% from December 31, 2017 primarily driven by steady automobile loan demand and competitive loan programs. Other consumer loans increased by $34.1 million or 8% from December 31, 2017, primarily due to growth in our installment loans.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66"/>
        </w:trPr>
        <w:tc>
          <w:tcPr>
            <w:tcW w:w="8520" w:type="dxa"/>
            <w:vAlign w:val="bottom"/>
            <w:gridSpan w:val="10"/>
          </w:tcPr>
          <w:p>
            <w:pPr>
              <w:spacing w:after="0"/>
              <w:rPr>
                <w:sz w:val="20"/>
                <w:szCs w:val="20"/>
                <w:color w:val="auto"/>
              </w:rPr>
            </w:pPr>
            <w:r>
              <w:rPr>
                <w:rFonts w:ascii="Arial" w:cs="Arial" w:eastAsia="Arial" w:hAnsi="Arial"/>
                <w:sz w:val="18"/>
                <w:szCs w:val="18"/>
                <w:color w:val="auto"/>
                <w:w w:val="97"/>
              </w:rPr>
              <w:t>Table 9 presents the composition of our loan and lease portfolio by geographic area and by major categories.</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13"/>
        </w:trPr>
        <w:tc>
          <w:tcPr>
            <w:tcW w:w="4140" w:type="dxa"/>
            <w:vAlign w:val="bottom"/>
            <w:gridSpan w:val="4"/>
          </w:tcPr>
          <w:p>
            <w:pPr>
              <w:ind w:left="40"/>
              <w:spacing w:after="0"/>
              <w:rPr>
                <w:sz w:val="20"/>
                <w:szCs w:val="20"/>
                <w:color w:val="auto"/>
              </w:rPr>
            </w:pPr>
            <w:r>
              <w:rPr>
                <w:rFonts w:ascii="Arial" w:cs="Arial" w:eastAsia="Arial" w:hAnsi="Arial"/>
                <w:sz w:val="18"/>
                <w:szCs w:val="18"/>
                <w:b w:val="1"/>
                <w:bCs w:val="1"/>
                <w:color w:val="auto"/>
                <w:w w:val="91"/>
              </w:rPr>
              <w:t>Geographic Distribution of Loan and Lease Portfolio</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9</w:t>
            </w:r>
          </w:p>
        </w:tc>
      </w:tr>
      <w:tr>
        <w:trPr>
          <w:trHeight w:val="27"/>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2"/>
        </w:trPr>
        <w:tc>
          <w:tcPr>
            <w:tcW w:w="2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(dollars in thousands)</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Hawaii</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 xml:space="preserve">U.S. Mainland </w:t>
            </w:r>
            <w:r>
              <w:rPr>
                <w:rFonts w:ascii="Arial" w:cs="Arial" w:eastAsia="Arial" w:hAnsi="Arial"/>
                <w:sz w:val="17"/>
                <w:szCs w:val="17"/>
                <w:b w:val="1"/>
                <w:bCs w:val="1"/>
                <w:color w:val="auto"/>
                <w:w w:val="95"/>
                <w:vertAlign w:val="superscript"/>
              </w:rPr>
              <w:t>1</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Guam</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Pacific Islands</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Foreign </w:t>
            </w:r>
            <w:r>
              <w:rPr>
                <w:rFonts w:ascii="Arial" w:cs="Arial" w:eastAsia="Arial" w:hAnsi="Arial"/>
                <w:sz w:val="17"/>
                <w:szCs w:val="17"/>
                <w:b w:val="1"/>
                <w:bCs w:val="1"/>
                <w:color w:val="auto"/>
                <w:vertAlign w:val="superscript"/>
              </w:rPr>
              <w:t>2</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5"/>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2018</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1,132,636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101,543</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1,038</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1,314,609</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1,887,415</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86,594</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262,535</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476</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2,237,020</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176,447</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176,447</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55,011</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112,210</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847</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4,164</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172,232</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3,251,509</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300,347</w:t>
            </w: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342,746</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1,514</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4,192</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3,900,308</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3,518,414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76,648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1,565</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3,596,627</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1,587,977</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281</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35,741</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1,209</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1,625,208</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490,209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124,819</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10,058</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625,086</w:t>
            </w:r>
          </w:p>
        </w:tc>
      </w:tr>
      <w:tr>
        <w:trPr>
          <w:trHeight w:val="269"/>
        </w:trPr>
        <w:tc>
          <w:tcPr>
            <w:tcW w:w="24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6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403,288</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52,277</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28,268</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483,833</w:t>
            </w: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5,999,888</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281</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289,485</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41,100</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6,330,754</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9,251,397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300,628</w:t>
            </w:r>
          </w:p>
        </w:tc>
        <w:tc>
          <w:tcPr>
            <w:tcW w:w="5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632,231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42,614</w:t>
            </w:r>
          </w:p>
        </w:tc>
        <w:tc>
          <w:tcPr>
            <w:tcW w:w="4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4,192</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10,231,062</w:t>
            </w:r>
          </w:p>
        </w:tc>
      </w:tr>
      <w:tr>
        <w:trPr>
          <w:trHeight w:val="73"/>
        </w:trPr>
        <w:tc>
          <w:tcPr>
            <w:tcW w:w="1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51"/>
        </w:trPr>
        <w:tc>
          <w:tcPr>
            <w:tcW w:w="1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1,119,348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99,099</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59,233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762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1,279,347</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1,837,831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57,331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208,805</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2,103,967</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189,401</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12,852</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202,253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53,329</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123,619</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1,071</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2,912</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180,931</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3,199,909</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280,049</w:t>
            </w: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269,109</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13,614</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3,817</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3,766,498</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3,382,961</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82,026</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1,786</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3,466,773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1,547,619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867</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35,718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1,585,455</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423,364</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101,680</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3,430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528,474</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9"/>
        </w:trPr>
        <w:tc>
          <w:tcPr>
            <w:tcW w:w="240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6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373,941</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46,703</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29,103</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449,747</w:t>
            </w:r>
          </w:p>
        </w:tc>
      </w:tr>
      <w:tr>
        <w:trPr>
          <w:trHeight w:val="232"/>
        </w:trPr>
        <w:tc>
          <w:tcPr>
            <w:tcW w:w="2400" w:type="dxa"/>
            <w:vAlign w:val="bottom"/>
            <w:gridSpan w:val="2"/>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5,727,885</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867</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266,127</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35,570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6,030,449</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8,927,794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280,916</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535,236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49,184</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9,796,947</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180" w:hanging="172"/>
        <w:spacing w:after="0" w:line="250" w:lineRule="auto"/>
        <w:tabs>
          <w:tab w:leader="none" w:pos="180" w:val="left"/>
        </w:tabs>
        <w:numPr>
          <w:ilvl w:val="0"/>
          <w:numId w:val="39"/>
        </w:numPr>
        <w:rPr>
          <w:rFonts w:ascii="Arial" w:cs="Arial" w:eastAsia="Arial" w:hAnsi="Arial"/>
          <w:sz w:val="9"/>
          <w:szCs w:val="9"/>
          <w:color w:val="auto"/>
        </w:rPr>
      </w:pPr>
      <w:r>
        <w:rPr>
          <w:rFonts w:ascii="Arial" w:cs="Arial" w:eastAsia="Arial" w:hAnsi="Arial"/>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Loans and leases classified as Foreign represent those which are recorded in the Company’s international business units.</w:t>
      </w:r>
    </w:p>
    <w:p>
      <w:pPr>
        <w:spacing w:after="0" w:line="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leveraged lease financing and participation in Shared National Credits. Our consumer loan and lease portfolio includes limited lending activities on the U.S. Mainland.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$323.6 million or 4% from December 31, 2017, reflective of a healthy Hawaii economy.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the major components of other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10</w:t>
            </w:r>
          </w:p>
        </w:tc>
      </w:tr>
      <w:tr>
        <w:trPr>
          <w:trHeight w:val="33"/>
        </w:trPr>
        <w:tc>
          <w:tcPr>
            <w:tcW w:w="60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and Federal Reserve Bank Stock</w:t>
            </w:r>
          </w:p>
        </w:tc>
        <w:tc>
          <w:tcPr>
            <w:tcW w:w="2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37,858</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Derivative Financial Instruments</w:t>
            </w:r>
          </w:p>
        </w:tc>
        <w:tc>
          <w:tcPr>
            <w:tcW w:w="240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16,793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10,518</w:t>
            </w:r>
          </w:p>
        </w:tc>
      </w:tr>
      <w:tr>
        <w:trPr>
          <w:trHeight w:val="33"/>
        </w:trPr>
        <w:tc>
          <w:tcPr>
            <w:tcW w:w="6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Low-Income Housing and Other Equity Investments</w:t>
            </w:r>
          </w:p>
        </w:tc>
        <w:tc>
          <w:tcPr>
            <w:tcW w:w="2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81,213</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87,632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Deferred Compensation Plan Assets</w:t>
            </w:r>
          </w:p>
        </w:tc>
        <w:tc>
          <w:tcPr>
            <w:tcW w:w="240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33,497</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29,230</w:t>
            </w:r>
          </w:p>
        </w:tc>
      </w:tr>
      <w:tr>
        <w:trPr>
          <w:trHeight w:val="33"/>
        </w:trPr>
        <w:tc>
          <w:tcPr>
            <w:tcW w:w="6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11,181</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40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41,910</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43,195</w:t>
            </w:r>
          </w:p>
        </w:tc>
      </w:tr>
      <w:tr>
        <w:trPr>
          <w:trHeight w:val="33"/>
        </w:trPr>
        <w:tc>
          <w:tcPr>
            <w:tcW w:w="6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41,407</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33,432</w:t>
            </w:r>
          </w:p>
        </w:tc>
      </w:tr>
      <w:tr>
        <w:trPr>
          <w:trHeight w:val="231"/>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Other Assets</w:t>
            </w:r>
          </w:p>
        </w:tc>
        <w:tc>
          <w:tcPr>
            <w:tcW w:w="2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263,859</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252,596</w:t>
            </w:r>
          </w:p>
        </w:tc>
      </w:tr>
      <w:tr>
        <w:trPr>
          <w:trHeight w:val="33"/>
        </w:trPr>
        <w:tc>
          <w:tcPr>
            <w:tcW w:w="60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Total other assets increased by $11.3 million or 4% from December 31, 2017. The increase was primarily due to a $6.3 million increase in derivative financial instruments mainly related to the fair value increase of our interest rate swap agreement assets, which is affected by prevailing interest rates. Due to our risk mitigating strategies in structuring these agreements, fair value changes to our swap agreement assets are offset with similar fair value changes to our swap agreement liabilities. In addition, other assets increased primarily due to a $4.9 million increase in principal receivables, mainly due to matured securities in the third quarter of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composition of our deposits by major customer categories.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Deposits</w:t>
            </w:r>
          </w:p>
        </w:tc>
        <w:tc>
          <w:tcPr>
            <w:tcW w:w="3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11</w:t>
            </w:r>
          </w:p>
        </w:tc>
      </w:tr>
      <w:tr>
        <w:trPr>
          <w:trHeight w:val="33"/>
        </w:trPr>
        <w:tc>
          <w:tcPr>
            <w:tcW w:w="47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7,627,527</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7,478,228</w:t>
            </w: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68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5,967,343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5,973,763</w:t>
            </w:r>
          </w:p>
        </w:tc>
      </w:tr>
      <w:tr>
        <w:trPr>
          <w:trHeight w:val="33"/>
        </w:trPr>
        <w:tc>
          <w:tcPr>
            <w:tcW w:w="47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and Other</w:t>
            </w:r>
          </w:p>
        </w:tc>
        <w:tc>
          <w:tcPr>
            <w:tcW w:w="36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1,248,465</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1,431,977</w:t>
            </w:r>
          </w:p>
        </w:tc>
      </w:tr>
      <w:tr>
        <w:trPr>
          <w:trHeight w:val="231"/>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Deposits</w:t>
            </w:r>
          </w:p>
        </w:tc>
        <w:tc>
          <w:tcPr>
            <w:tcW w:w="3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14,843,335</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14,883,968</w:t>
            </w:r>
          </w:p>
        </w:tc>
      </w:tr>
      <w:tr>
        <w:trPr>
          <w:trHeight w:val="33"/>
        </w:trPr>
        <w:tc>
          <w:tcPr>
            <w:tcW w:w="47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Total deposits were $14.8 billion as of September 30, 2018, a decrease of $40.6 million or less than 1% from December 31, 2017. Public and other deposits decreased by $183.5 million due to a decrease in public time deposits of $164.2 million. This decrease was partially offset by a $149.3 million increase in consumer deposits, primarily due to an increase in consumer time deposits.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composition of our savings deposits.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Savings Deposits</w:t>
            </w:r>
          </w:p>
        </w:tc>
        <w:tc>
          <w:tcPr>
            <w:tcW w:w="3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12</w:t>
            </w:r>
          </w:p>
        </w:tc>
      </w:tr>
      <w:tr>
        <w:trPr>
          <w:trHeight w:val="33"/>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1,897,950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1,827,090</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Regular Savings</w:t>
            </w:r>
          </w:p>
        </w:tc>
        <w:tc>
          <w:tcPr>
            <w:tcW w:w="354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3,546,103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3,561,923</w:t>
            </w:r>
          </w:p>
        </w:tc>
      </w:tr>
      <w:tr>
        <w:trPr>
          <w:trHeight w:val="33"/>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Savings Deposits</w:t>
            </w:r>
          </w:p>
        </w:tc>
        <w:tc>
          <w:tcPr>
            <w:tcW w:w="3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5,444,053</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5,389,013</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2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13</w:t>
            </w:r>
          </w:p>
        </w:tc>
      </w:tr>
      <w:tr>
        <w:trPr>
          <w:trHeight w:val="33"/>
        </w:trPr>
        <w:tc>
          <w:tcPr>
            <w:tcW w:w="60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Institutions</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Government Entities</w:t>
            </w:r>
          </w:p>
        </w:tc>
        <w:tc>
          <w:tcPr>
            <w:tcW w:w="24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4,293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5,293</w:t>
            </w:r>
          </w:p>
        </w:tc>
      </w:tr>
      <w:tr>
        <w:trPr>
          <w:trHeight w:val="33"/>
        </w:trPr>
        <w:tc>
          <w:tcPr>
            <w:tcW w:w="60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504,293</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505,293</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Securities sold under agreements to repurchase was $504.3 million and $505.3 million as of September 30, 2018 and December 31, 2017, respectively. As of September 30, 2018, the weighted-average maturity was 150 days for our repurchase agreements with government entities and 2.9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2.2 years. As of September 30, 2018, the weighted-average interest rate for outstanding agreements with government entities and private institutions was 1.19% and 3.64%, respectively, with all rates being fixed. Each of our repurchase agreements is accounted for as a collateralized financing arrangement (i.e., a secured borrowing) and not as a sale and subsequent repurchase of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14 presents the composition of our other debt.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Other Debt</w:t>
            </w: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14</w:t>
            </w:r>
          </w:p>
        </w:tc>
      </w:tr>
      <w:tr>
        <w:trPr>
          <w:trHeight w:val="33"/>
        </w:trPr>
        <w:tc>
          <w:tcPr>
            <w:tcW w:w="53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3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175,000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318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10,662</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10,716</w:t>
            </w:r>
          </w:p>
        </w:tc>
      </w:tr>
      <w:tr>
        <w:trPr>
          <w:trHeight w:val="33"/>
        </w:trPr>
        <w:tc>
          <w:tcPr>
            <w:tcW w:w="53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185,662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260,716</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debt was $185.7 million as of September 30, 2018, a decrease of $75.1 million or 29% from December 31, 2017. This decrease was primarily due to three FHLB advances totaling $75.0 million which matured during 2018. As of September 30, 2018, our FHLB advances had a weighted-average interest rate of 1.29% with maturity dates ranging from 2018 to 2020. These advances were primarily for asset/liability management purposes. As of September 30, 2018, our remaining unused line of credit with the FHLB was $2.2 billion.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business segments are defined as Retail Banking, Commercial Banking, Investment Services and Private Banking, and Treasury and Other.</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15 summarizes net income from our business segments. Additional information about segment performance is presented in Note 10 to the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Business Segment Net Income</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15</w:t>
            </w:r>
          </w:p>
        </w:tc>
      </w:tr>
      <w:tr>
        <w:trPr>
          <w:trHeight w:val="33"/>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Nine Months Ended</w:t>
            </w:r>
          </w:p>
        </w:tc>
        <w:tc>
          <w:tcPr>
            <w:tcW w:w="860" w:type="dxa"/>
            <w:vAlign w:val="bottom"/>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10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9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Banking</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23,763</w:t>
            </w:r>
          </w:p>
        </w:tc>
        <w:tc>
          <w:tcPr>
            <w:tcW w:w="10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21,488</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65,204</w:t>
            </w:r>
          </w:p>
        </w:tc>
        <w:tc>
          <w:tcPr>
            <w:tcW w:w="9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62,243</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Commercial Banking</w:t>
            </w:r>
          </w:p>
        </w:tc>
        <w:tc>
          <w:tcPr>
            <w:tcW w:w="56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24,952</w:t>
            </w:r>
          </w:p>
        </w:tc>
        <w:tc>
          <w:tcPr>
            <w:tcW w:w="10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19,998</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69,605</w:t>
            </w:r>
          </w:p>
        </w:tc>
        <w:tc>
          <w:tcPr>
            <w:tcW w:w="9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57,957</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Services and Private Banking</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6,217</w:t>
            </w: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3,776</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18,206</w:t>
            </w:r>
          </w:p>
        </w:tc>
        <w:tc>
          <w:tcPr>
            <w:tcW w:w="9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11,591</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5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54,932</w:t>
            </w:r>
          </w:p>
        </w:tc>
        <w:tc>
          <w:tcPr>
            <w:tcW w:w="10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45,262</w:t>
            </w:r>
          </w:p>
        </w:tc>
        <w:tc>
          <w:tcPr>
            <w:tcW w:w="2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153,015</w:t>
            </w:r>
          </w:p>
        </w:tc>
        <w:tc>
          <w:tcPr>
            <w:tcW w:w="9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131,791</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and Other</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2,001</w:t>
            </w: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12,676</w:t>
            </w:r>
          </w:p>
        </w:tc>
        <w:tc>
          <w:tcPr>
            <w:tcW w:w="9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9,928</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Total</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56,933</w:t>
            </w:r>
          </w:p>
        </w:tc>
        <w:tc>
          <w:tcPr>
            <w:tcW w:w="100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45,881</w:t>
            </w:r>
          </w:p>
        </w:tc>
        <w:tc>
          <w:tcPr>
            <w:tcW w:w="2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165,691</w:t>
            </w:r>
          </w:p>
        </w:tc>
        <w:tc>
          <w:tcPr>
            <w:tcW w:w="9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141,719</w:t>
            </w:r>
          </w:p>
        </w:tc>
      </w:tr>
      <w:tr>
        <w:trPr>
          <w:trHeight w:val="33"/>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Net income increased by $2.3 million or 11% in the third quarter of 2018 compared to the same period in 2017 primarily due to a decrease in the effective income tax rate used to allocate the provision for income taxes and a decrease in the Provision. This was partially offset by decreases in noninterest income and net interest income, and an increase in noninterest expense. The decrease in the Provision was primarily due to lower net charge-offs in the segment’s installment loan, small business, and mortgage portfolios, partially offset by higher net charge-offs in the segment’s home equity and auto loan portfolios. Noninterest income decreased primarily due to reduced sales of conforming saleable loans from our mortgage portfolio and lower margins on those sales. In addition, overdraft fees decreased in the third quarter of 2018 compared to the same period in 2017. The decrease in net interest income was primarily due to lower average rates in the segment’s loan portfolio and lower average balances in the segment’s deposit portfolio, the latter primarily due to the transfer of deposits to the Investment Services and Private Banking segment. This was partially offset by higher average rates in the segment’s deposit portfolio and higher average balances in the segment’s loan portfolio. The increase in noninterest expense was primarily due to higher allocated technology and allocated operations expense. This was partially offset by the reclassification in the first half of 2018 of certain ATM and debit transaction processing fees as contra revenue, and a decrease in professional fees.</w:t>
      </w:r>
    </w:p>
    <w:p>
      <w:pPr>
        <w:spacing w:after="0" w:line="18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Net income increased by $3.0 million or 5% in the first nine months of 2018 compared to the same period in 2017 primarily due to a decrease in the effective income tax rate used to allocate the provision for income taxes. This was partially offset by decreases in noninterest income and net interest income and an increase in noninterest expense. The decrease in noninterest income was primarily due to reduced sales of conforming saleable loans from our mortgage portfolio and lower margins on those sales. In addition, overdraft fees decreased in the first nine months of 2018 compared to the same period in 2017. The decrease in net interest income was primarily due to lower average rates in the segment’s loan portfolio and lower average balances in the segment’s deposit portfolio, the latter primarily due to the transfer of deposits to the Investment Services and Private Banking segment. This was partially offset by higher average rates in the segment’s deposit portfolio and higher average balances in the segment’s loan portfolio. Noninterest expense increased primarily due to a $2.0 million increase in legal reserves recorded in the first quarter of 2018 and higher allocated technology expense and allocated finance expense. This was partially offset by the reclassification in the first half of 2018 of certain ATM and debit transaction processing fees as contra revenue, and a decrease in professional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income increased by $5.0 million or 25% in the third quarter of 2018 compared to the same period in 2017 primarily due to increases in net interest income and noninterest income and to a decrease in the provision for income taxes. This was partially offset by an increase in noninterest expense. The increase in net interest income was primarily due to higher earnings credits on the segment’s deposit portfolio. The increase in noninterest income was due to higher net gains on sale of equipment leases and to higher fees related to our customer interest rate swap derivative program. The increase in noninterest expense was primarily due to higher salaries, operating and allocated expenses. The decrease in the provision for income taxes was due to the lower effective tax rate allocated to the segment.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Net income increased by $11.6 million or 20% for the first nine months of 2018 compared to the same period in 2017 primarily related to increases in net interest income and noninterest income, and to a decrease in the provision for income taxes. This was partially offset by an increase in noninterest expense. The increase in net interest income was primarily due to higher earnings credits on the segment’s deposit portfolio, and partially due to growth in the segment’s loan portfolio. The increase in noninterest expense was primarily due to higher salaries, operating and allocated expenses. The decrease in the provision for income taxes was due to the lower effective tax rate allocated to the segment.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w:t>
      </w:r>
      <w:r>
        <w:rPr>
          <w:rFonts w:ascii="Arial" w:cs="Arial" w:eastAsia="Arial" w:hAnsi="Arial"/>
          <w:sz w:val="18"/>
          <w:szCs w:val="18"/>
          <w:i w:val="1"/>
          <w:iCs w:val="1"/>
          <w:color w:val="auto"/>
        </w:rPr>
        <w:t>nvestment Services and Private Banking</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by $2.4 million or 65% in the third quarter of 2018 compared to the same period in 2017 primarily due to an increase in net interest income which was partially offset by higher noninterest expense. The increase in net interest income was primarily driven by the transfer of deposits and loans from the Retail Banking segment and growth of the segment’s deposit portfolio. The increase in noninterest expense was primarily due to higher allocated expenses.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increased by $6.6 million or 57% for the first nine months of 2018 compared to the same period in 2017 primarily due to an increase in net interest income offset by an increase in noninterest expense and a decrease in noninterest revenue. The increase in net interest income was primarily driven by the transfer of deposits and loans from the Retail Banking segment and growth of the segment’s deposit portfolio. The increase in noninterest expense was primarily due to higher salaries and benefits expense and higher allocated expenses. The decrease in noninterest revenue was driven by lower annuity sales and lower trust service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income increased by $1.3 million or 223% in the third quarter of 2018 compared to the same period in 2017 primarily due to a reduction in noninterest expenses, an increase in net interest income and a reduction in the provision for income taxes partially offset by lower noninterest income. The decrease in noninterest expense was due to a reduction in separation expenses. The increase in net interest income was primarily due to an increase in funding income related to lending activities and interest income from investment securities resulting from an increase in associated yields. This was partially offset by higher deposit funding costs. The decrease in noninterest income was primarily due to a reduction in income from Bank Owned Life Insurance resulting from death benefits received in the third quarter of 2017. Additionally, quarterly fees paid to the counterparties of our prior Visa Class B share sale transactions were higher in the third quarter of 2018 compared to the third quarter of 2017. The provision for income taxes in this business segment represents the residual amount to arrive at the total tax expense for the Company. The overall effective tax rate decreased to 18.75% in the third quarter of 2018 compared to 30.62% in the third quarter of 2017.</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income increased by $2.7 million or 28% for the first nine months of 2018 compared to the same period in 2017 primarily due to an increase in net interest income and a decrease in the Provision. This was partially offset by a decrease in noninterest income and an increase in the provision for income taxes. The increase in net interest income was primarily due to an increase in funding income related to lending activities and interest income from investment securities resulting from an increase in associated yields. This was partially offset by higher deposit funding costs. The Provision in this business segment represents the residual provision for credit losses to arrive at the total Provision for the Company. The decrease in noninterest income was primarily due to the sale of 90,000 Visa Class B shares amounting to $12.5 million in the first quarter of 2017. Partially offsetting this was a $2.8 million distribution from a low-income housing partnership in the first quarter of 2018. The provision for income taxes in this business segment represents the residual amount to arrive at the total tax expense for the Company. The overall effective tax rate decreased to 18.00% in 2018 compared to 30.54% in 2017.</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As of September 30, 2018, our overall credit risk profile reflects a healthy Hawaii economy as our levels of non-performing assets and credit losses remain well controlled. The underlying risk profile of our lending portfolio continued to remain strong during the first nine months of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130" w:right="47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 and Accruing Loans and Leases Past Due 90 Days or 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16 presents information on non-performing assets (“NPAs”) and accruing loans and leases past due 90 days or more.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Non-Performing Assets and Accruing Loans and Leases Past Due 90 Days or More</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16</w:t>
            </w:r>
          </w:p>
        </w:tc>
      </w:tr>
      <w:tr>
        <w:trPr>
          <w:trHeight w:val="27"/>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September 30,</w:t>
            </w:r>
          </w:p>
        </w:tc>
        <w:tc>
          <w:tcPr>
            <w:tcW w:w="4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2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12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Non-Performing Assets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Non-Accrual Loans and Leases</w:t>
            </w: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820"/>
              <w:spacing w:after="0"/>
              <w:rPr>
                <w:sz w:val="20"/>
                <w:szCs w:val="20"/>
                <w:color w:val="auto"/>
              </w:rPr>
            </w:pPr>
            <w:r>
              <w:rPr>
                <w:rFonts w:ascii="Arial" w:cs="Arial" w:eastAsia="Arial" w:hAnsi="Arial"/>
                <w:sz w:val="16"/>
                <w:szCs w:val="16"/>
                <w:color w:val="auto"/>
              </w:rPr>
              <w:t>Commercial and Industrial</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1,205</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448</w:t>
            </w:r>
          </w:p>
        </w:tc>
      </w:tr>
      <w:tr>
        <w:trPr>
          <w:trHeight w:val="33"/>
        </w:trPr>
        <w:tc>
          <w:tcPr>
            <w:tcW w:w="7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Commercial Mortgage</w:t>
            </w:r>
          </w:p>
        </w:tc>
        <w:tc>
          <w:tcPr>
            <w:tcW w:w="1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652</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1,398</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Commercial</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1,857</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1,846</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820"/>
              <w:spacing w:after="0"/>
              <w:rPr>
                <w:sz w:val="20"/>
                <w:szCs w:val="20"/>
                <w:color w:val="auto"/>
              </w:rPr>
            </w:pPr>
            <w:r>
              <w:rPr>
                <w:rFonts w:ascii="Arial" w:cs="Arial" w:eastAsia="Arial" w:hAnsi="Arial"/>
                <w:sz w:val="16"/>
                <w:szCs w:val="16"/>
                <w:color w:val="auto"/>
              </w:rPr>
              <w:t>Residential Mortgage</w:t>
            </w:r>
          </w:p>
        </w:tc>
        <w:tc>
          <w:tcPr>
            <w:tcW w:w="11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6,359</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9,243</w:t>
            </w: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Home Equity</w:t>
            </w:r>
          </w:p>
        </w:tc>
        <w:tc>
          <w:tcPr>
            <w:tcW w:w="1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3,673</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3,991</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Consumer</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10,032</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13,234</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Non-Accrual Loans and Leases</w:t>
            </w:r>
          </w:p>
        </w:tc>
        <w:tc>
          <w:tcPr>
            <w:tcW w:w="1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11,889</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15,080</w:t>
            </w: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Foreclosed Real Estate</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1,909</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1,040</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Non-Performing Assets</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13,798</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16,120</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Consumer</w:t>
            </w: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2,426</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2,703</w:t>
            </w: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11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3,112</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1,624</w:t>
            </w: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829</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886</w:t>
            </w:r>
          </w:p>
        </w:tc>
      </w:tr>
      <w:tr>
        <w:trPr>
          <w:trHeight w:val="264"/>
        </w:trPr>
        <w:tc>
          <w:tcPr>
            <w:tcW w:w="72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1,727</w:t>
            </w: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1,934</w:t>
            </w:r>
          </w:p>
        </w:tc>
      </w:tr>
      <w:tr>
        <w:trPr>
          <w:trHeight w:val="27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1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8,094</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7,147</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Accruing Loans and Leases Past Due 90 Days or More</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8,094</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7,147</w:t>
            </w:r>
          </w:p>
        </w:tc>
      </w:tr>
      <w:tr>
        <w:trPr>
          <w:trHeight w:val="73"/>
        </w:trPr>
        <w:tc>
          <w:tcPr>
            <w:tcW w:w="7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Restructured Loans on Accrual Status and Not Past Due 90 Days or More</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49,462</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55,672</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10,231,062</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9,796,947</w:t>
            </w:r>
          </w:p>
        </w:tc>
      </w:tr>
      <w:tr>
        <w:trPr>
          <w:trHeight w:val="73"/>
        </w:trPr>
        <w:tc>
          <w:tcPr>
            <w:tcW w:w="7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Non-Accrual Loans and Leases to Total Loans and Leases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Non-Performing Assets to Total Loans and Leases and Foreclosed Real Estate</w:t>
            </w:r>
          </w:p>
        </w:tc>
        <w:tc>
          <w:tcPr>
            <w:tcW w:w="1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0.16%</w:t>
            </w: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Commercial Non-Performing Assets to Total Commercial Loans and Leases</w:t>
            </w: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4"/>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and Commercial Foreclosed Real Estate</w:t>
            </w:r>
          </w:p>
        </w:tc>
        <w:tc>
          <w:tcPr>
            <w:tcW w:w="1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Consumer Non-Performing Assets to Total Consumer Loans and Leases</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06"/>
        </w:trPr>
        <w:tc>
          <w:tcPr>
            <w:tcW w:w="7280" w:type="dxa"/>
            <w:vAlign w:val="bottom"/>
          </w:tcPr>
          <w:p>
            <w:pPr>
              <w:ind w:left="160"/>
              <w:spacing w:after="0"/>
              <w:rPr>
                <w:sz w:val="20"/>
                <w:szCs w:val="20"/>
                <w:color w:val="auto"/>
              </w:rPr>
            </w:pPr>
            <w:r>
              <w:rPr>
                <w:rFonts w:ascii="Arial" w:cs="Arial" w:eastAsia="Arial" w:hAnsi="Arial"/>
                <w:sz w:val="16"/>
                <w:szCs w:val="16"/>
                <w:color w:val="auto"/>
              </w:rPr>
              <w:t>and Consumer Foreclosed Real Estate</w:t>
            </w:r>
          </w:p>
        </w:tc>
        <w:tc>
          <w:tcPr>
            <w:tcW w:w="1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0.19%</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0.24%</w:t>
            </w: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Non-Performing Assets and Accruing Loans and Leases Past Due 90 Days</w:t>
            </w: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4"/>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or More to Total Loans and Leases and Foreclosed Real Estate</w:t>
            </w:r>
          </w:p>
        </w:tc>
        <w:tc>
          <w:tcPr>
            <w:tcW w:w="1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Changes in Non-Performing Assets</w:t>
            </w:r>
          </w:p>
        </w:tc>
        <w:tc>
          <w:tcPr>
            <w:tcW w:w="1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3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16,120</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Additions</w:t>
            </w:r>
          </w:p>
        </w:tc>
        <w:tc>
          <w:tcPr>
            <w:tcW w:w="11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6,311</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Payments</w:t>
            </w:r>
          </w:p>
        </w:tc>
        <w:tc>
          <w:tcPr>
            <w:tcW w:w="112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(3,513)</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to Accrual Status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(2,816)</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Sales of Foreclosed Real Estate</w:t>
            </w:r>
          </w:p>
        </w:tc>
        <w:tc>
          <w:tcPr>
            <w:tcW w:w="112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(1,722)</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Charge-offs/Write-downs</w:t>
            </w:r>
          </w:p>
        </w:tc>
        <w:tc>
          <w:tcPr>
            <w:tcW w:w="1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(582)</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Reductions</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(8,633)</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September 30, 2018</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13,798</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spacing w:after="0"/>
        <w:tabs>
          <w:tab w:leader="none" w:pos="16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Comprised of other revolving credit, installment, and lease financing.</w:t>
      </w:r>
    </w:p>
    <w:p>
      <w:pPr>
        <w:sectPr>
          <w:pgSz w:w="11900" w:h="16838" w:orient="portrait"/>
          <w:cols w:equalWidth="0" w:num="1">
            <w:col w:w="11420"/>
          </w:cols>
          <w:pgMar w:left="240" w:top="130"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30" w:right="239" w:bottom="1440" w:gutter="0" w:footer="0" w:header="0"/>
          <w:type w:val="continuous"/>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NPAs were $13.8 million as of September 30, 2018, a decrease of $2.3 million or 14% from December 31, 2017. The ratio of our NPAs to total loans and leases and foreclosed real estate was 0.13% as of September 30, 2018 and 0.16% as of December 31, 2017.</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Commercial and industrial non-accrual loans increased by $0.8 million or 169% from December 31, 2017 primarily due to the addition of two borrowers. We have evaluated the borrowers for impairment and recorded a partial charge-off of $0.2 million in the first nine months of 2018.</w:t>
      </w:r>
    </w:p>
    <w:p>
      <w:pPr>
        <w:spacing w:after="0" w:line="17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Commercial mortgage non-accrual loans were $0.7 million as of September 30, 2018, a decrease of $0.7 million or 53% from December 31, 2017 due to payoff of two loans. We have evaluated the remaining commercial mortgage non-accrual loans for impairment and recorded no charge-offs.</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largest component of our NPAs continues to be residential mortgage loans. Residential mortgage non-accrual loans decreased by $2.9 million or 31% from December 31, 2017 primarily due to transfers to foreclosed real estate, loans returning to accrual status, and payments. Residential mortgage non-accrual loans remain at elevated levels due mainly to the lengthy judicial foreclosure process as well as residential mortgage loan modifications the Bank entered into to assist borrowers wishing to remain in their residences despite having financial challenges. As of September 30, 2018, our residential mortgage non-accrual loans were comprised of 24 loans with a weighted average current loan-to-value ratio of 55%.</w:t>
      </w:r>
    </w:p>
    <w:p>
      <w:pPr>
        <w:spacing w:after="0" w:line="1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increased by $0.9 million or 84% from December 31, 2017 due to the addition of four residential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$8.1 million as of September 30, 2018, a $0.9 million or 13% increase from December 31, 2017. The increase was primarily due to home equity loans past due 90 days or more.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Impaired loans are defined as loans for which we believe it is probable we will not collect all amounts due according to the contractual terms of the loan agreement. Included in impaired loans are all classes of commercial non-accruing loans (except lease financing and small business loans), all loans modified in a TDR (including accruing TDRs), and other loans where we believe that we will be unable to collect all amounts due according to the contractual terms of the loan agreement. Impaired loans exclude lease financing and smaller balance homogeneous loans (consumer and small business non-accruing loans) that are collectively evaluated for impairment. Impaired loans were $54.4 million as of September 30, 2018 and $61.2 million as of December 31, 2017, and had a related Allowance of $3.9 million as of September 30, 2018 and December 31, 2017. As of September 30, 2018, we have recorded cumulative charge-offs of $12.5 million related to our total impaired loans. Our impaired loans are considered in management’s assessment of the overall adequacy of the Allowance.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30" w:right="25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with terms that have been modified in a TDR.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ind w:left="40"/>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17</w:t>
            </w:r>
          </w:p>
        </w:tc>
      </w:tr>
      <w:tr>
        <w:trPr>
          <w:trHeight w:val="33"/>
        </w:trPr>
        <w:tc>
          <w:tcPr>
            <w:tcW w:w="58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6,518</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8,486</w:t>
            </w:r>
          </w:p>
        </w:tc>
      </w:tr>
      <w:tr>
        <w:trPr>
          <w:trHeight w:val="33"/>
        </w:trPr>
        <w:tc>
          <w:tcPr>
            <w:tcW w:w="5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2,701</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9,205</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58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1,348</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1,416</w:t>
            </w:r>
          </w:p>
        </w:tc>
      </w:tr>
      <w:tr>
        <w:trPr>
          <w:trHeight w:val="33"/>
        </w:trPr>
        <w:tc>
          <w:tcPr>
            <w:tcW w:w="58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25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10,567</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19,107</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25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2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20,523</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21,581</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258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2,902</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1,965</w:t>
            </w:r>
          </w:p>
        </w:tc>
      </w:tr>
      <w:tr>
        <w:trPr>
          <w:trHeight w:val="33"/>
        </w:trPr>
        <w:tc>
          <w:tcPr>
            <w:tcW w:w="5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2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16,006</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14,811</w:t>
            </w:r>
          </w:p>
        </w:tc>
      </w:tr>
      <w:tr>
        <w:trPr>
          <w:trHeight w:val="270"/>
        </w:trPr>
        <w:tc>
          <w:tcPr>
            <w:tcW w:w="58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5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2,787</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2,645</w:t>
            </w: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25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42,218</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41,002</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52,785</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60,109</w:t>
            </w:r>
          </w:p>
        </w:tc>
      </w:tr>
      <w:tr>
        <w:trPr>
          <w:trHeight w:val="33"/>
        </w:trPr>
        <w:tc>
          <w:tcPr>
            <w:tcW w:w="58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Loans modified in a TDR decreased by $7.3 million or 12% from December 31, 2017. The decrease was primarily due to the full repayments of commercial mortgage loans during the second quarter of 2018. Residential mortgage loans remain our largest TDR loan class.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i w:val="1"/>
                <w:iCs w:val="1"/>
                <w:color w:val="auto"/>
              </w:rPr>
              <w:t>Reserve for Credit Losses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Table 18 presents the activity in our reserve for credit losses.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1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Reserve for Credit Losses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18</w:t>
            </w:r>
          </w:p>
        </w:tc>
      </w:tr>
      <w:tr>
        <w:trPr>
          <w:trHeight w:val="27"/>
        </w:trPr>
        <w:tc>
          <w:tcPr>
            <w:tcW w:w="5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r>
      <w:tr>
        <w:trPr>
          <w:trHeight w:val="231"/>
        </w:trPr>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0"/>
                <w:szCs w:val="20"/>
                <w:color w:val="auto"/>
              </w:rPr>
            </w:pPr>
          </w:p>
        </w:tc>
        <w:tc>
          <w:tcPr>
            <w:tcW w:w="252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5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23"/>
                <w:szCs w:val="23"/>
                <w:color w:val="auto"/>
              </w:rPr>
            </w:pPr>
          </w:p>
        </w:tc>
      </w:tr>
      <w:tr>
        <w:trPr>
          <w:trHeight w:val="33"/>
        </w:trPr>
        <w:tc>
          <w:tcPr>
            <w:tcW w:w="5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115,010</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113,175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114,168</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110,845</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Loans and Leases Charged-Off</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26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(449)</w:t>
            </w:r>
          </w:p>
        </w:tc>
        <w:tc>
          <w:tcPr>
            <w:tcW w:w="5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(611)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(1,140)</w:t>
            </w:r>
          </w:p>
        </w:tc>
        <w:tc>
          <w:tcPr>
            <w:tcW w:w="5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(909)</w:t>
            </w:r>
          </w:p>
        </w:tc>
      </w:tr>
      <w:tr>
        <w:trPr>
          <w:trHeight w:val="3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26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(725)</w:t>
            </w:r>
          </w:p>
        </w:tc>
      </w:tr>
      <w:tr>
        <w:trPr>
          <w:trHeight w:val="3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(124)</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(259)</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w:t>
            </w:r>
          </w:p>
        </w:tc>
      </w:tr>
      <w:tr>
        <w:trPr>
          <w:trHeight w:val="237"/>
        </w:trPr>
        <w:tc>
          <w:tcPr>
            <w:tcW w:w="558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26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(2,114)</w:t>
            </w:r>
          </w:p>
        </w:tc>
        <w:tc>
          <w:tcPr>
            <w:tcW w:w="5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(1,921)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(5,883)</w:t>
            </w:r>
          </w:p>
        </w:tc>
        <w:tc>
          <w:tcPr>
            <w:tcW w:w="5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(5,723)</w:t>
            </w:r>
          </w:p>
        </w:tc>
      </w:tr>
      <w:tr>
        <w:trPr>
          <w:trHeight w:val="3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9"/>
        </w:trPr>
        <w:tc>
          <w:tcPr>
            <w:tcW w:w="55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(3,340)</w:t>
            </w:r>
          </w:p>
        </w:tc>
        <w:tc>
          <w:tcPr>
            <w:tcW w:w="5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(3,521)</w:t>
            </w:r>
          </w:p>
        </w:tc>
        <w:tc>
          <w:tcPr>
            <w:tcW w:w="2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(10,294)</w:t>
            </w:r>
          </w:p>
        </w:tc>
        <w:tc>
          <w:tcPr>
            <w:tcW w:w="5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(9,278)</w:t>
            </w:r>
          </w:p>
        </w:tc>
      </w:tr>
      <w:tr>
        <w:trPr>
          <w:trHeight w:val="232"/>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rPr>
              <w:t>Total Loans and Leases Charged-Off</w:t>
            </w:r>
          </w:p>
        </w:tc>
        <w:tc>
          <w:tcPr>
            <w:tcW w:w="26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(6,027)</w:t>
            </w:r>
          </w:p>
        </w:tc>
        <w:tc>
          <w:tcPr>
            <w:tcW w:w="5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(6,218)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(17,676)</w:t>
            </w:r>
          </w:p>
        </w:tc>
        <w:tc>
          <w:tcPr>
            <w:tcW w:w="5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(17,409)</w:t>
            </w:r>
          </w:p>
        </w:tc>
      </w:tr>
      <w:tr>
        <w:trPr>
          <w:trHeight w:val="33"/>
        </w:trPr>
        <w:tc>
          <w:tcPr>
            <w:tcW w:w="5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Recoveries on Loans and Leases Previously Charged-Off</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380"/>
              <w:spacing w:after="0"/>
              <w:rPr>
                <w:sz w:val="20"/>
                <w:szCs w:val="20"/>
                <w:color w:val="auto"/>
              </w:rPr>
            </w:pPr>
            <w:r>
              <w:rPr>
                <w:rFonts w:ascii="Arial" w:cs="Arial" w:eastAsia="Arial" w:hAnsi="Arial"/>
                <w:sz w:val="16"/>
                <w:szCs w:val="16"/>
                <w:color w:val="auto"/>
              </w:rPr>
              <w:t>Commercial</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542</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1,236</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1,198</w:t>
            </w:r>
          </w:p>
        </w:tc>
      </w:tr>
      <w:tr>
        <w:trPr>
          <w:trHeight w:val="237"/>
        </w:trPr>
        <w:tc>
          <w:tcPr>
            <w:tcW w:w="5580" w:type="dxa"/>
            <w:vAlign w:val="bottom"/>
          </w:tcPr>
          <w:p>
            <w:pPr>
              <w:ind w:left="500"/>
              <w:spacing w:after="0"/>
              <w:rPr>
                <w:sz w:val="20"/>
                <w:szCs w:val="20"/>
                <w:color w:val="auto"/>
              </w:rPr>
            </w:pPr>
            <w:r>
              <w:rPr>
                <w:rFonts w:ascii="Arial" w:cs="Arial" w:eastAsia="Arial" w:hAnsi="Arial"/>
                <w:sz w:val="16"/>
                <w:szCs w:val="16"/>
                <w:color w:val="auto"/>
              </w:rPr>
              <w:t>Lease Financing</w:t>
            </w:r>
          </w:p>
        </w:tc>
        <w:tc>
          <w:tcPr>
            <w:tcW w:w="26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w:t>
            </w:r>
          </w:p>
        </w:tc>
      </w:tr>
      <w:tr>
        <w:trPr>
          <w:trHeight w:val="3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26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261</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695</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457</w:t>
            </w:r>
          </w:p>
        </w:tc>
      </w:tr>
      <w:tr>
        <w:trPr>
          <w:trHeight w:val="3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558</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1,634</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2,183</w:t>
            </w:r>
          </w:p>
        </w:tc>
      </w:tr>
      <w:tr>
        <w:trPr>
          <w:trHeight w:val="237"/>
        </w:trPr>
        <w:tc>
          <w:tcPr>
            <w:tcW w:w="558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26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616</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692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1,953</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1,919</w:t>
            </w:r>
          </w:p>
        </w:tc>
      </w:tr>
      <w:tr>
        <w:trPr>
          <w:trHeight w:val="3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9"/>
        </w:trPr>
        <w:tc>
          <w:tcPr>
            <w:tcW w:w="55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752</w:t>
            </w:r>
          </w:p>
        </w:tc>
        <w:tc>
          <w:tcPr>
            <w:tcW w:w="5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530</w:t>
            </w:r>
          </w:p>
        </w:tc>
        <w:tc>
          <w:tcPr>
            <w:tcW w:w="2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2,077</w:t>
            </w:r>
          </w:p>
        </w:tc>
        <w:tc>
          <w:tcPr>
            <w:tcW w:w="5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1,608</w:t>
            </w:r>
          </w:p>
        </w:tc>
      </w:tr>
      <w:tr>
        <w:trPr>
          <w:trHeight w:val="232"/>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rPr>
              <w:t>Total Recoveries on Loans and Leases Previously Charged-Off</w:t>
            </w:r>
          </w:p>
        </w:tc>
        <w:tc>
          <w:tcPr>
            <w:tcW w:w="26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2,729</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2,746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7,595</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7,367</w:t>
            </w:r>
          </w:p>
        </w:tc>
      </w:tr>
      <w:tr>
        <w:trPr>
          <w:trHeight w:val="33"/>
        </w:trPr>
        <w:tc>
          <w:tcPr>
            <w:tcW w:w="5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Loans and Leases Charged-Off</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(3,298)</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(10,081)</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(10,042)</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26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3,800</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11,425</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12,650</w:t>
            </w:r>
          </w:p>
        </w:tc>
      </w:tr>
      <w:tr>
        <w:trPr>
          <w:trHeight w:val="3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Unfunded Commitments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w:t>
            </w:r>
          </w:p>
        </w:tc>
      </w:tr>
      <w:tr>
        <w:trPr>
          <w:trHeight w:val="297"/>
        </w:trPr>
        <w:tc>
          <w:tcPr>
            <w:tcW w:w="5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7"/>
                <w:szCs w:val="17"/>
                <w:b w:val="1"/>
                <w:bCs w:val="1"/>
                <w:color w:val="auto"/>
                <w:vertAlign w:val="superscript"/>
              </w:rPr>
              <w:t>2</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115,512</w:t>
            </w:r>
          </w:p>
        </w:tc>
        <w:tc>
          <w:tcPr>
            <w:tcW w:w="5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113,703</w:t>
            </w:r>
          </w:p>
        </w:tc>
        <w:tc>
          <w:tcPr>
            <w:tcW w:w="2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115,512</w:t>
            </w:r>
          </w:p>
        </w:tc>
        <w:tc>
          <w:tcPr>
            <w:tcW w:w="5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113,703</w:t>
            </w:r>
          </w:p>
        </w:tc>
      </w:tr>
      <w:tr>
        <w:trPr>
          <w:trHeight w:val="122"/>
        </w:trPr>
        <w:tc>
          <w:tcPr>
            <w:tcW w:w="5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rPr>
              <w:t>Components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and Lease Losses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108,690</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106,881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108,690</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106,881</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Reserve for Unfunded Commitments</w:t>
            </w:r>
          </w:p>
        </w:tc>
        <w:tc>
          <w:tcPr>
            <w:tcW w:w="26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6,822</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6,822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6,822</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6,822</w:t>
            </w:r>
          </w:p>
        </w:tc>
      </w:tr>
      <w:tr>
        <w:trPr>
          <w:trHeight w:val="33"/>
        </w:trPr>
        <w:tc>
          <w:tcPr>
            <w:tcW w:w="5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115,512</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113,703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115,512</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113,703</w:t>
            </w:r>
          </w:p>
        </w:tc>
      </w:tr>
      <w:tr>
        <w:trPr>
          <w:trHeight w:val="20"/>
        </w:trPr>
        <w:tc>
          <w:tcPr>
            <w:tcW w:w="5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Loans and Leases Outstanding</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10,081,886</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9,451,972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9,950,518</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9,231,615</w:t>
            </w:r>
          </w:p>
        </w:tc>
      </w:tr>
      <w:tr>
        <w:trPr>
          <w:trHeight w:val="20"/>
        </w:trPr>
        <w:tc>
          <w:tcPr>
            <w:tcW w:w="5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2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Net Loans and Leases Charged-Off to</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5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Average Loans and Leases Outstanding (annualized)</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0.13%</w:t>
            </w: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0.14%</w:t>
            </w: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20"/>
        </w:trPr>
        <w:tc>
          <w:tcPr>
            <w:tcW w:w="5580" w:type="dxa"/>
            <w:vAlign w:val="bottom"/>
          </w:tcPr>
          <w:p>
            <w:pPr>
              <w:ind w:left="40"/>
              <w:spacing w:after="0"/>
              <w:rPr>
                <w:sz w:val="20"/>
                <w:szCs w:val="20"/>
                <w:color w:val="auto"/>
              </w:rPr>
            </w:pPr>
            <w:r>
              <w:rPr>
                <w:rFonts w:ascii="Arial" w:cs="Arial" w:eastAsia="Arial" w:hAnsi="Arial"/>
                <w:sz w:val="16"/>
                <w:szCs w:val="16"/>
                <w:color w:val="auto"/>
              </w:rPr>
              <w:t>Ratio of Allowance for Loan and Lease Losses to</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5580" w:type="dxa"/>
            <w:vAlign w:val="bottom"/>
          </w:tcPr>
          <w:p>
            <w:pPr>
              <w:ind w:left="160"/>
              <w:spacing w:after="0"/>
              <w:rPr>
                <w:sz w:val="20"/>
                <w:szCs w:val="20"/>
                <w:color w:val="auto"/>
              </w:rPr>
            </w:pPr>
            <w:r>
              <w:rPr>
                <w:rFonts w:ascii="Arial" w:cs="Arial" w:eastAsia="Arial" w:hAnsi="Arial"/>
                <w:sz w:val="16"/>
                <w:szCs w:val="16"/>
                <w:color w:val="auto"/>
              </w:rPr>
              <w:t>Loans and Leases Outstanding</w:t>
            </w:r>
          </w:p>
        </w:tc>
        <w:tc>
          <w:tcPr>
            <w:tcW w:w="2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1.06%</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1.06%</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w:t>
            </w:r>
          </w:p>
        </w:tc>
      </w:tr>
    </w:tbl>
    <w:p>
      <w:pPr>
        <w:spacing w:after="0" w:line="68" w:lineRule="exact"/>
        <w:rPr>
          <w:sz w:val="20"/>
          <w:szCs w:val="20"/>
          <w:color w:val="auto"/>
        </w:rPr>
      </w:pPr>
    </w:p>
    <w:p>
      <w:pPr>
        <w:ind w:left="260" w:hanging="171"/>
        <w:spacing w:after="0"/>
        <w:tabs>
          <w:tab w:leader="none" w:pos="260" w:val="left"/>
        </w:tabs>
        <w:numPr>
          <w:ilvl w:val="0"/>
          <w:numId w:val="42"/>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260" w:hanging="171"/>
        <w:spacing w:after="0"/>
        <w:tabs>
          <w:tab w:leader="none" w:pos="260" w:val="left"/>
        </w:tabs>
        <w:numPr>
          <w:ilvl w:val="0"/>
          <w:numId w:val="43"/>
        </w:numPr>
        <w:rPr>
          <w:rFonts w:ascii="Arial" w:cs="Arial" w:eastAsia="Arial" w:hAnsi="Arial"/>
          <w:sz w:val="8"/>
          <w:szCs w:val="8"/>
          <w:color w:val="auto"/>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maintain a reserve for credit losses that consists of two components, the Allowance and a reserve for unfunded commitments (the “Unfunded Reserve”). The reserve for credit losses provides for the risk of credit losses inherent in the loan and lease portfolio and is based on loss estimates derived from a comprehensive quarterly evaluation. The evaluation reflects analyses of individual borrowers and historical loss experience, supplemented as necessary by credit judgment that considers observable trends, conditions, and other relevant environmental and economic factors. The level of the Allowance is adjusted by recording an expense or recovery through the Provision. The level of the Unfunded Reserve is adjusted by recording an expense or recovery in other noninterest expense.</w:t>
      </w:r>
    </w:p>
    <w:p>
      <w:pPr>
        <w:sectPr>
          <w:pgSz w:w="11900" w:h="16838" w:orient="portrait"/>
          <w:cols w:equalWidth="0" w:num="1">
            <w:col w:w="11420"/>
          </w:cols>
          <w:pgMar w:left="240" w:top="130"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30" w:right="239" w:bottom="1440" w:gutter="0" w:footer="0" w:header="0"/>
          <w:type w:val="continuous"/>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September 30, 2018, the Allowance was $108.7 million or 1.06% of total loans and leases outstanding, compared with an Allowance of $107.3 million or 1.10% of total loans and leases outstanding as of December 31, 2017. The decrease in the ratio of Allowance to loans and leases outstanding was commensurate with the Company’s credit risk profile, loan growth, and a healthy Hawaii economy.</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charge-offs on loans and leases were $3.3 million or 0.13% of total average loans and leases, on an annualized basis, in the third quarter of 2018 compared to net charge-offs of $3.5 million or 0.15% of total average loans and leases, on an annualized basis, in the third quarter of 2017. Net charge-offs on loans and leases were $10.1 million or 0.14% of total average loans and leases, on an annualized basis, for the first nine months of 2018 compared to net charge-offs of $10.0 million or 0.15% of total average loans and leases, on an annualized basis, in the first nine months of 2017. Net charge-offs were primarily reflected in our consumer portfolios, totaling $10.2 million and $10.3 million for the first nine months of 2018 and 2017, respectively.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September 30, 2018, based on our ongoing analysis of estimated probable credit losses, credit risk profiles, economic conditions, coverage ratios, and other relevant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Reserve for Unfunded Commitments</w:t>
      </w:r>
    </w:p>
    <w:p>
      <w:pPr>
        <w:spacing w:after="0" w:line="22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Unfunded Reserve was $6.8 million as of September 30, 2018, unchanged from December 31, 2017. The process used to determine the Unfunded Reserve is consistent with the process for determining the Allowance, as adjusted for estimated funding probabilities.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30" w:right="25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2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adjusting the balance sheet mix or altering the interest rate characteristics of assets and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use of derivative financial instruments, as detailed in Note 12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30" w:right="27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utilize net interest income simulations to analyze short-term income sensitivities to changes in interest rates. Table 19 presents, for the twelve months subsequent to September 30, 2018 and December 31, 2017,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September 30, 2018,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Based on our net interest income simulation as of September 30, 2018, net interest income sensitivity to changes in interest rates for the twelve months subsequent to September 30, 2018 was slightly less sensitive in comparison to the sensitivity profile for the twelve months subsequent to December 31, 2017.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Net Interest Income Sensitivity Profile</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Table 19</w:t>
            </w:r>
          </w:p>
        </w:tc>
      </w:tr>
      <w:tr>
        <w:trPr>
          <w:trHeight w:val="33"/>
        </w:trPr>
        <w:tc>
          <w:tcPr>
            <w:tcW w:w="5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Impact on Future Annual Net Interest Income</w:t>
            </w:r>
          </w:p>
        </w:tc>
        <w:tc>
          <w:tcPr>
            <w:tcW w:w="82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September 30, 2018</w:t>
            </w:r>
          </w:p>
        </w:tc>
        <w:tc>
          <w:tcPr>
            <w:tcW w:w="8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2017</w:t>
            </w:r>
          </w:p>
        </w:tc>
        <w:tc>
          <w:tcPr>
            <w:tcW w:w="820" w:type="dxa"/>
            <w:vAlign w:val="bottom"/>
            <w:tcBorders>
              <w:bottom w:val="single" w:sz="8" w:color="auto"/>
            </w:tcBorders>
          </w:tcPr>
          <w:p>
            <w:pPr>
              <w:spacing w:after="0"/>
              <w:rPr>
                <w:sz w:val="22"/>
                <w:szCs w:val="2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Gradual Change in Interest Rates (basis points)</w:t>
            </w:r>
          </w:p>
        </w:tc>
        <w:tc>
          <w:tcPr>
            <w:tcW w:w="4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+200</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059"/>
              <w:spacing w:after="0"/>
              <w:rPr>
                <w:sz w:val="20"/>
                <w:szCs w:val="20"/>
                <w:color w:val="auto"/>
              </w:rPr>
            </w:pPr>
            <w:r>
              <w:rPr>
                <w:rFonts w:ascii="Arial" w:cs="Arial" w:eastAsia="Arial" w:hAnsi="Arial"/>
                <w:sz w:val="16"/>
                <w:szCs w:val="16"/>
                <w:color w:val="auto"/>
              </w:rPr>
              <w:t>10,233</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2.0 %</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12,420</w:t>
            </w:r>
          </w:p>
        </w:tc>
        <w:tc>
          <w:tcPr>
            <w:tcW w:w="82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33"/>
        </w:trPr>
        <w:tc>
          <w:tcPr>
            <w:tcW w:w="5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5,512</w:t>
            </w:r>
          </w:p>
        </w:tc>
        <w:tc>
          <w:tcPr>
            <w:tcW w:w="8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1.1</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6,622</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960" w:type="dxa"/>
            <w:vAlign w:val="bottom"/>
          </w:tcPr>
          <w:p>
            <w:pPr>
              <w:jc w:val="right"/>
              <w:ind w:right="999"/>
              <w:spacing w:after="0"/>
              <w:rPr>
                <w:sz w:val="20"/>
                <w:szCs w:val="20"/>
                <w:color w:val="auto"/>
              </w:rPr>
            </w:pPr>
            <w:r>
              <w:rPr>
                <w:rFonts w:ascii="Arial" w:cs="Arial" w:eastAsia="Arial" w:hAnsi="Arial"/>
                <w:sz w:val="16"/>
                <w:szCs w:val="16"/>
                <w:color w:val="auto"/>
              </w:rPr>
              <w:t>(6,137)</w:t>
            </w: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(1.2)</w:t>
            </w:r>
          </w:p>
        </w:tc>
        <w:tc>
          <w:tcPr>
            <w:tcW w:w="600" w:type="dxa"/>
            <w:vAlign w:val="bottom"/>
          </w:tcPr>
          <w:p>
            <w:pPr>
              <w:spacing w:after="0"/>
              <w:rPr>
                <w:sz w:val="19"/>
                <w:szCs w:val="19"/>
                <w:color w:val="auto"/>
              </w:rPr>
            </w:pPr>
          </w:p>
        </w:tc>
        <w:tc>
          <w:tcPr>
            <w:tcW w:w="1760" w:type="dxa"/>
            <w:vAlign w:val="bottom"/>
          </w:tcPr>
          <w:p>
            <w:pPr>
              <w:jc w:val="right"/>
              <w:ind w:right="819"/>
              <w:spacing w:after="0"/>
              <w:rPr>
                <w:sz w:val="20"/>
                <w:szCs w:val="20"/>
                <w:color w:val="auto"/>
              </w:rPr>
            </w:pPr>
            <w:r>
              <w:rPr>
                <w:rFonts w:ascii="Arial" w:cs="Arial" w:eastAsia="Arial" w:hAnsi="Arial"/>
                <w:sz w:val="16"/>
                <w:szCs w:val="16"/>
                <w:color w:val="auto"/>
              </w:rPr>
              <w:t>(6,789)</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(1.4)</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5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22,628</w:t>
            </w: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4.5 %</w:t>
            </w:r>
          </w:p>
        </w:tc>
        <w:tc>
          <w:tcPr>
            <w:tcW w:w="6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29,876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960" w:type="dxa"/>
            <w:vAlign w:val="bottom"/>
          </w:tcPr>
          <w:p>
            <w:pPr>
              <w:jc w:val="right"/>
              <w:ind w:right="1059"/>
              <w:spacing w:after="0"/>
              <w:rPr>
                <w:sz w:val="20"/>
                <w:szCs w:val="20"/>
                <w:color w:val="auto"/>
              </w:rPr>
            </w:pPr>
            <w:r>
              <w:rPr>
                <w:rFonts w:ascii="Arial" w:cs="Arial" w:eastAsia="Arial" w:hAnsi="Arial"/>
                <w:sz w:val="16"/>
                <w:szCs w:val="16"/>
                <w:color w:val="auto"/>
              </w:rPr>
              <w:t>12,227</w:t>
            </w:r>
          </w:p>
        </w:tc>
        <w:tc>
          <w:tcPr>
            <w:tcW w:w="800" w:type="dxa"/>
            <w:vAlign w:val="bottom"/>
          </w:tcPr>
          <w:p>
            <w:pPr>
              <w:jc w:val="right"/>
              <w:ind w:right="299"/>
              <w:spacing w:after="0"/>
              <w:rPr>
                <w:sz w:val="20"/>
                <w:szCs w:val="20"/>
                <w:color w:val="auto"/>
              </w:rPr>
            </w:pPr>
            <w:r>
              <w:rPr>
                <w:rFonts w:ascii="Arial" w:cs="Arial" w:eastAsia="Arial" w:hAnsi="Arial"/>
                <w:sz w:val="16"/>
                <w:szCs w:val="16"/>
                <w:color w:val="auto"/>
              </w:rPr>
              <w:t>2.4</w:t>
            </w:r>
          </w:p>
        </w:tc>
        <w:tc>
          <w:tcPr>
            <w:tcW w:w="600" w:type="dxa"/>
            <w:vAlign w:val="bottom"/>
          </w:tcPr>
          <w:p>
            <w:pPr>
              <w:spacing w:after="0"/>
              <w:rPr>
                <w:sz w:val="19"/>
                <w:szCs w:val="19"/>
                <w:color w:val="auto"/>
              </w:rPr>
            </w:pP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16,328</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3.4</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24"/>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(17,063)</w:t>
            </w:r>
          </w:p>
        </w:tc>
        <w:tc>
          <w:tcPr>
            <w:tcW w:w="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w:t>
            </w:r>
          </w:p>
        </w:tc>
        <w:tc>
          <w:tcPr>
            <w:tcW w:w="6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(21,653)</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r>
      <w:tr>
        <w:trPr>
          <w:trHeight w:val="47"/>
        </w:trPr>
        <w:tc>
          <w:tcPr>
            <w:tcW w:w="50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9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9" w:lineRule="exact"/>
        <w:rPr>
          <w:sz w:val="20"/>
          <w:szCs w:val="20"/>
          <w:color w:val="auto"/>
        </w:rPr>
      </w:pPr>
    </w:p>
    <w:p>
      <w:pPr>
        <w:ind w:right="2240"/>
        <w:spacing w:after="0" w:line="291" w:lineRule="auto"/>
        <w:rPr>
          <w:sz w:val="20"/>
          <w:szCs w:val="20"/>
          <w:color w:val="auto"/>
        </w:rPr>
      </w:pPr>
      <w:r>
        <w:rPr>
          <w:rFonts w:ascii="Arial" w:cs="Arial" w:eastAsia="Arial" w:hAnsi="Arial"/>
          <w:sz w:val="16"/>
          <w:szCs w:val="16"/>
          <w:color w:val="auto"/>
        </w:rPr>
        <w:t>In an effort to satisfy our liquidity needs, we actively manage our assets and liabilities. We have access to immediate liquid resources in the form of cash which is primarily on deposit with the FRB. Potential sources of liquidity also include investment</w:t>
      </w:r>
    </w:p>
    <w:p>
      <w:pPr>
        <w:ind w:right="120"/>
        <w:spacing w:after="0" w:line="254" w:lineRule="auto"/>
        <w:rPr>
          <w:sz w:val="20"/>
          <w:szCs w:val="20"/>
          <w:color w:val="auto"/>
        </w:rPr>
      </w:pPr>
      <w:r>
        <w:rPr>
          <w:rFonts w:ascii="Arial" w:cs="Arial" w:eastAsia="Arial" w:hAnsi="Arial"/>
          <w:sz w:val="18"/>
          <w:szCs w:val="18"/>
          <w:color w:val="auto"/>
        </w:rPr>
        <w:t>securities in our available-for-sale securities portfolio, our ability to sell loans in the secondary market, and to secure borrowings from the FRB and FHLB.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9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 enhanced by our ability to pledge loans to access secured borrowings from the FHLB and FRB. As of September 30, 2018, we had additional borrowing capacity of $2.2 billion from the FHLB and $558.9 million from the FRB based on the amount of collateral pledged.</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continued our focus on maintaining a strong liquidity position throughout the first nine months of 2018. As of September 30, 2018, cash and cash equivalents were $335.0 million, the carrying value of our available-for-sale investment securities was $2.0 billion, and total deposits were $14.8 billion. As of September 30, 2018, our available-for-sale investment securities portfolio was comprised of securities with an average base duration of approximately 2.5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September 30, 2018, the Company and the Bank were considered “well capitalized” under this regulatory framework. The Company’s regulatory capital ratios are presented in Table 20 below. There have been no conditions or events since September 30, 2018 that management believes have changed either the Company’s or the Bank’s capital classifications.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September 30, 2018, shareholders’ equity was $1.3 billion, an increase of $21.5 million or 2% from December 31, 2017. For the first nine months of 2018, net income of $165.7 million, common stock issuances of $6.2 million, share-based compensation of $6.2 million were partially offset by other comprehensive loss of $17.0 million, cash dividends paid of $72.6 million, and common stock repurchased of $67.0 million. In the first nine months of 2018, we repurchased 754,020 shares under our share repurchase program. These shares were repurchased at an average cost per share of $84.03 and a total cost of $63.4 million. From the beginning of our share repurchase program in July 2001 through September 30, 2018, we repurchased a total of 54.9 million shares of common stock and returned a total of $2.14 billion to our shareholders at an average cost of $38.92 per share.</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October 1, 2018 through October 16, 2018, the Parent repurchased an additional 57,000 shares of common stock at an average cost of $79.34 per share for a total of $4.5 million. Remaining buyback authority under our share repurchase program was $52.1 million as of October 16, 2018. The actual amount and timing of future share repurchases, if any, will depend on market and economic conditions, regulatory rules, applicable SEC rules, and various other factors.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October 2018, the Parent’s Board of Directors declared a quarterly cash dividend of $0.62 per share on the Parent’s outstanding shares. The dividend will be payable on December 14, 2018 to shareholders of record at the close of business on November 30, 2018.</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final rules implementing the Basel Committee on Banking Supervision’s (“BCBS”) capital guidelines for U.S. banks became effective for the Company on January 1, 2015, with full compliance with all of the final rule’s requirements phased in over a multi-year schedule, to be fully phased-in by January 1, 2019. As of September 30, 2018, the Company’s capital levels remained characterized as “well-capitalized” under the new rules. See the “Regulatory Initiatives Affecting the Banking Industry” section below for further discussion on Basel III.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Table 20 presents our regulatory capital and ratios as of September 30, 2018 and December 31, 2017.</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5"/>
          </w:tcPr>
          <w:p>
            <w:pPr>
              <w:ind w:left="40"/>
              <w:spacing w:after="0"/>
              <w:rPr>
                <w:sz w:val="20"/>
                <w:szCs w:val="20"/>
                <w:color w:val="auto"/>
              </w:rPr>
            </w:pPr>
            <w:r>
              <w:rPr>
                <w:rFonts w:ascii="Arial" w:cs="Arial" w:eastAsia="Arial" w:hAnsi="Arial"/>
                <w:sz w:val="16"/>
                <w:szCs w:val="16"/>
                <w:b w:val="1"/>
                <w:bCs w:val="1"/>
                <w:color w:val="auto"/>
              </w:rPr>
              <w:t>Regulatory Capital and Ratios</w:t>
            </w: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Table 20</w:t>
            </w:r>
          </w:p>
        </w:tc>
      </w:tr>
      <w:tr>
        <w:trPr>
          <w:trHeight w:val="33"/>
        </w:trPr>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r>
      <w:tr>
        <w:trPr>
          <w:trHeight w:val="237"/>
        </w:trPr>
        <w:tc>
          <w:tcPr>
            <w:tcW w:w="6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(dollars in thousands)</w:t>
            </w:r>
          </w:p>
        </w:tc>
        <w:tc>
          <w:tcPr>
            <w:tcW w:w="1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0"/>
                <w:szCs w:val="20"/>
                <w:color w:val="auto"/>
              </w:rPr>
            </w:pPr>
          </w:p>
        </w:tc>
      </w:tr>
      <w:tr>
        <w:trPr>
          <w:trHeight w:val="202"/>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Regulatory Capital</w:t>
            </w:r>
          </w:p>
        </w:tc>
        <w:tc>
          <w:tcPr>
            <w:tcW w:w="19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Shareholders’ Equity</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1,253,327</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1,231,868</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1</w:t>
            </w:r>
          </w:p>
        </w:tc>
        <w:tc>
          <w:tcPr>
            <w:tcW w:w="19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28,718</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28,718</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Postretirement Benefit Liability Adjustments</w:t>
            </w:r>
          </w:p>
        </w:tc>
        <w:tc>
          <w:tcPr>
            <w:tcW w:w="19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(33,037)</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(27,715)</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Net Unrealized Gains (Losses) on Investment Securities </w:t>
            </w:r>
            <w:r>
              <w:rPr>
                <w:rFonts w:ascii="Arial" w:cs="Arial" w:eastAsia="Arial" w:hAnsi="Arial"/>
                <w:sz w:val="21"/>
                <w:szCs w:val="21"/>
                <w:color w:val="auto"/>
                <w:vertAlign w:val="superscript"/>
              </w:rPr>
              <w:t>2</w:t>
            </w:r>
          </w:p>
        </w:tc>
        <w:tc>
          <w:tcPr>
            <w:tcW w:w="19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(26,201)</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Other</w:t>
            </w:r>
          </w:p>
        </w:tc>
        <w:tc>
          <w:tcPr>
            <w:tcW w:w="19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(198)</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19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1,284,045</w:t>
            </w: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1,238,063</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169"/>
        </w:trPr>
        <w:tc>
          <w:tcPr>
            <w:tcW w:w="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402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r>
      <w:tr>
        <w:trPr>
          <w:trHeight w:val="244"/>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w:t>
            </w:r>
          </w:p>
        </w:tc>
        <w:tc>
          <w:tcPr>
            <w:tcW w:w="1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1,284,045</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1,238,063</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Allowable Reserve for Credit Losses</w:t>
            </w:r>
          </w:p>
        </w:tc>
        <w:tc>
          <w:tcPr>
            <w:tcW w:w="19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115,512</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114,168</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Total Regulatory Capital</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1,399,557</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1,352,231</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Risk-Weighted Assets</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9,732,618</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9,348,296</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3"/>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Key Regulatory Capital Ratios</w:t>
            </w:r>
          </w:p>
        </w:tc>
        <w:tc>
          <w:tcPr>
            <w:tcW w:w="19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24"/>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Common Equity Tier 1 Capital Ratio</w:t>
            </w:r>
          </w:p>
        </w:tc>
        <w:tc>
          <w:tcPr>
            <w:tcW w:w="19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13.19</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1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Total Capital Ratio</w:t>
            </w:r>
          </w:p>
        </w:tc>
        <w:tc>
          <w:tcPr>
            <w:tcW w:w="19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14.38</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14.46</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19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7.55</w:t>
            </w: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220" w:type="dxa"/>
            <w:vAlign w:val="bottom"/>
            <w:shd w:val="clear" w:color="auto" w:fill="CCEEFF"/>
          </w:tcPr>
          <w:p>
            <w:pPr>
              <w:spacing w:after="0"/>
              <w:rPr>
                <w:sz w:val="20"/>
                <w:szCs w:val="20"/>
                <w:color w:val="auto"/>
              </w:rPr>
            </w:pPr>
          </w:p>
        </w:tc>
      </w:tr>
      <w:tr>
        <w:trPr>
          <w:trHeight w:val="33"/>
        </w:trPr>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80" w:hanging="72"/>
        <w:spacing w:after="0"/>
        <w:tabs>
          <w:tab w:leader="none" w:pos="80" w:val="left"/>
        </w:tabs>
        <w:numPr>
          <w:ilvl w:val="0"/>
          <w:numId w:val="45"/>
        </w:numPr>
        <w:rPr>
          <w:rFonts w:ascii="Arial" w:cs="Arial" w:eastAsia="Arial" w:hAnsi="Arial"/>
          <w:sz w:val="9"/>
          <w:szCs w:val="9"/>
          <w:color w:val="auto"/>
        </w:rPr>
      </w:pPr>
      <w:r>
        <w:rPr>
          <w:rFonts w:ascii="Arial" w:cs="Arial" w:eastAsia="Arial" w:hAnsi="Arial"/>
          <w:sz w:val="14"/>
          <w:szCs w:val="14"/>
          <w:color w:val="auto"/>
        </w:rPr>
        <w:t>Calculated net of deferred tax liabilities.</w:t>
      </w:r>
    </w:p>
    <w:p>
      <w:pPr>
        <w:spacing w:after="0" w:line="13" w:lineRule="exact"/>
        <w:rPr>
          <w:sz w:val="20"/>
          <w:szCs w:val="20"/>
          <w:color w:val="auto"/>
        </w:rPr>
      </w:pPr>
    </w:p>
    <w:p>
      <w:pPr>
        <w:ind w:left="80" w:hanging="72"/>
        <w:spacing w:after="0"/>
        <w:tabs>
          <w:tab w:leader="none" w:pos="80" w:val="left"/>
        </w:tabs>
        <w:numPr>
          <w:ilvl w:val="0"/>
          <w:numId w:val="46"/>
        </w:numPr>
        <w:rPr>
          <w:rFonts w:ascii="Arial" w:cs="Arial" w:eastAsia="Arial" w:hAnsi="Arial"/>
          <w:sz w:val="9"/>
          <w:szCs w:val="9"/>
          <w:color w:val="auto"/>
        </w:rPr>
      </w:pPr>
      <w:r>
        <w:rPr>
          <w:rFonts w:ascii="Arial" w:cs="Arial" w:eastAsia="Arial" w:hAnsi="Arial"/>
          <w:sz w:val="14"/>
          <w:szCs w:val="14"/>
          <w:color w:val="auto"/>
        </w:rPr>
        <w:t>Includes unrealized gains and losses related to the Company’s reclassification of available-for-sale investment securities to the held-to-maturity category.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FRB and the FDIC approved the final rules implementing the BCBS’s capital guidelines for U.S. banks. Under the final rules, minimum requirements increased for both the quantity and quality of capital held by the Company. The rules include a new common equity Tier 1 capital to risk-weighted assets minimum ratio of 4.5%, raise the minimum ratio of Tier 1 capital to risk-weighted assets from 4.0% to 6.0%, require a minimum ratio of Total Capital to risk-weighted assets of 8.0%, and require a minimum Tier 1 leverage ratio of 4.0%. A new capital conservation buffer, comprised of common equity Tier 1 capital, was also established above the regulatory minimum capital requirements. This capital conservation buffer began phasing in beginning January 1, 2016 at 0.625% of risk-weighted assets and will increase each subsequent year by an additional 0.625% until reaching its final level of 2.5% on January 1, 2019. Strict eligibility criteria for regulatory capital instruments were also implemented under the final rules. The final rules also revised the definition and calculation of Tier 1 capital, Total Capital, and risk-weighted assets.</w:t>
      </w:r>
    </w:p>
    <w:p>
      <w:pPr>
        <w:spacing w:after="0" w:line="17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to be fully implemented by January 1, 2019. As of September 30, 2018, the Company’s capital levels remained characterized as “well-capitalized” under the new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Enactment of the Economic Growth, Regulatory Relief, and Consumer Protection Act in May 2018 significantly altered several provisions of the Dodd-Frank Act, including how stress tests are run. Bank holding companies with assets of less than $100 billion, such as the Company, are no longer subject to company-run stress testing requirements in section 165(i)(2) of the Dodd-Frank Act, including publishing a summary of results. The Company continues to run internal stress tests as a component of our comprehensive risk management and capital planning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Insurance Fund Assessment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March 2016, the FDIC approved a final rule that imposes on banks with at least $10 billion in assets, such as the Company, a surcharge of 4.5 cents per</w:t>
      </w:r>
    </w:p>
    <w:p>
      <w:pPr>
        <w:spacing w:after="0" w:line="46"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$100 of their assessment base, after making certain adjustments. The surcharge took effect at the same time that the regular FDIC insurance assessment rates for all banks declined under a rule adopted by the FDIC in 2011. The surcharge is scheduled to end on December 31, 2018 unless the deposit insurance fund’s reserve ratio reaches a specified benchmark before then. If the reserve ratio does not meet the benchmark by December 31, 2018, a special assessment will be applied in March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Credit Commitments,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hold interests in several unconsolidated variable interest entities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Contractual Obligations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credit commitments and contractual obligations have not changed materially since previously reported in our Annual Report on Form 10-K for the year ended December 31, 2017.</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30" w:right="25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“Market Risk” of this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September 30, 2018.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September 30,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September 30, 2018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80"/>
          </w:cols>
          <w:pgMar w:left="240" w:top="130" w:right="37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are no material changes from the risk factors set forth under Part I, Item 1A. “Risk Factors” in the Company’s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Parent’s repurchases of its common stock during the third quarter of 2018 were as follows:</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22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Number of Shares</w:t>
            </w: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203"/>
        </w:trPr>
        <w:tc>
          <w:tcPr>
            <w:tcW w:w="2240" w:type="dxa"/>
            <w:vAlign w:val="bottom"/>
          </w:tcPr>
          <w:p>
            <w:pPr>
              <w:spacing w:after="0"/>
              <w:rPr>
                <w:sz w:val="17"/>
                <w:szCs w:val="17"/>
                <w:color w:val="auto"/>
              </w:rPr>
            </w:pPr>
          </w:p>
        </w:tc>
        <w:tc>
          <w:tcPr>
            <w:tcW w:w="218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 Number of</w:t>
            </w:r>
          </w:p>
        </w:tc>
        <w:tc>
          <w:tcPr>
            <w:tcW w:w="17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Average Price Paid</w:t>
            </w: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rPr>
              <w:t>Purchased as Part of Publicly</w:t>
            </w:r>
          </w:p>
        </w:tc>
        <w:tc>
          <w:tcPr>
            <w:tcW w:w="118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Purchased Under the</w:t>
            </w:r>
          </w:p>
        </w:tc>
      </w:tr>
      <w:tr>
        <w:trPr>
          <w:trHeight w:val="242"/>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17"/>
                <w:szCs w:val="17"/>
                <w:b w:val="1"/>
                <w:bCs w:val="1"/>
                <w:color w:val="auto"/>
                <w:vertAlign w:val="superscript"/>
              </w:rPr>
              <w:t>1</w:t>
            </w: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 Share</w:t>
            </w:r>
          </w:p>
        </w:tc>
        <w:tc>
          <w:tcPr>
            <w:tcW w:w="2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7"/>
              </w:rPr>
              <w:t>Announced Plans or Programs</w:t>
            </w:r>
          </w:p>
        </w:tc>
        <w:tc>
          <w:tcPr>
            <w:tcW w:w="1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 xml:space="preserve">Plans or Programs </w:t>
            </w:r>
            <w:r>
              <w:rPr>
                <w:rFonts w:ascii="Arial" w:cs="Arial" w:eastAsia="Arial" w:hAnsi="Arial"/>
                <w:sz w:val="17"/>
                <w:szCs w:val="17"/>
                <w:b w:val="1"/>
                <w:bCs w:val="1"/>
                <w:color w:val="auto"/>
                <w:w w:val="99"/>
                <w:vertAlign w:val="superscript"/>
              </w:rPr>
              <w:t>2</w:t>
            </w:r>
          </w:p>
        </w:tc>
      </w:tr>
      <w:tr>
        <w:trPr>
          <w:trHeight w:val="245"/>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1 - 31, 2018</w:t>
            </w:r>
          </w:p>
        </w:tc>
        <w:tc>
          <w:tcPr>
            <w:tcW w:w="2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96,901</w:t>
            </w:r>
          </w:p>
        </w:tc>
        <w:tc>
          <w:tcPr>
            <w:tcW w:w="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83.84</w:t>
            </w:r>
          </w:p>
        </w:tc>
        <w:tc>
          <w:tcPr>
            <w:tcW w:w="2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95,500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73,274,327</w:t>
            </w:r>
          </w:p>
        </w:tc>
      </w:tr>
      <w:tr>
        <w:trPr>
          <w:trHeight w:val="237"/>
        </w:trPr>
        <w:tc>
          <w:tcPr>
            <w:tcW w:w="2240" w:type="dxa"/>
            <w:vAlign w:val="bottom"/>
          </w:tcPr>
          <w:p>
            <w:pPr>
              <w:ind w:left="40"/>
              <w:spacing w:after="0"/>
              <w:rPr>
                <w:sz w:val="20"/>
                <w:szCs w:val="20"/>
                <w:color w:val="auto"/>
              </w:rPr>
            </w:pPr>
            <w:r>
              <w:rPr>
                <w:rFonts w:ascii="Arial" w:cs="Arial" w:eastAsia="Arial" w:hAnsi="Arial"/>
                <w:sz w:val="16"/>
                <w:szCs w:val="16"/>
                <w:color w:val="auto"/>
              </w:rPr>
              <w:t>August 1 - 31, 2018</w:t>
            </w:r>
          </w:p>
        </w:tc>
        <w:tc>
          <w:tcPr>
            <w:tcW w:w="2180" w:type="dxa"/>
            <w:vAlign w:val="bottom"/>
          </w:tcPr>
          <w:p>
            <w:pPr>
              <w:jc w:val="right"/>
              <w:ind w:right="99"/>
              <w:spacing w:after="0"/>
              <w:rPr>
                <w:sz w:val="20"/>
                <w:szCs w:val="20"/>
                <w:color w:val="auto"/>
              </w:rPr>
            </w:pPr>
            <w:r>
              <w:rPr>
                <w:rFonts w:ascii="Arial" w:cs="Arial" w:eastAsia="Arial" w:hAnsi="Arial"/>
                <w:sz w:val="16"/>
                <w:szCs w:val="16"/>
                <w:color w:val="auto"/>
              </w:rPr>
              <w:t>106,500</w:t>
            </w:r>
          </w:p>
        </w:tc>
        <w:tc>
          <w:tcPr>
            <w:tcW w:w="5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83.37</w:t>
            </w: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106,500</w:t>
            </w:r>
          </w:p>
        </w:tc>
        <w:tc>
          <w:tcPr>
            <w:tcW w:w="1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64,395,525</w:t>
            </w:r>
          </w:p>
        </w:tc>
      </w:tr>
      <w:tr>
        <w:trPr>
          <w:trHeight w:val="33"/>
        </w:trPr>
        <w:tc>
          <w:tcPr>
            <w:tcW w:w="2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1 - 30, 2018</w:t>
            </w:r>
          </w:p>
        </w:tc>
        <w:tc>
          <w:tcPr>
            <w:tcW w:w="2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94,759</w:t>
            </w: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81.85</w:t>
            </w:r>
          </w:p>
        </w:tc>
        <w:tc>
          <w:tcPr>
            <w:tcW w:w="2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94,520</w:t>
            </w:r>
          </w:p>
        </w:tc>
        <w:tc>
          <w:tcPr>
            <w:tcW w:w="1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56,658,624</w:t>
            </w:r>
          </w:p>
        </w:tc>
      </w:tr>
      <w:tr>
        <w:trPr>
          <w:trHeight w:val="231"/>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298,160</w:t>
            </w:r>
          </w:p>
        </w:tc>
        <w:tc>
          <w:tcPr>
            <w:tcW w:w="5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83.04</w:t>
            </w:r>
          </w:p>
        </w:tc>
        <w:tc>
          <w:tcPr>
            <w:tcW w:w="2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296,520</w:t>
            </w:r>
          </w:p>
        </w:tc>
        <w:tc>
          <w:tcPr>
            <w:tcW w:w="1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2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right="80" w:hanging="172"/>
        <w:spacing w:after="0" w:line="288" w:lineRule="auto"/>
        <w:tabs>
          <w:tab w:leader="none" w:pos="180" w:val="left"/>
        </w:tabs>
        <w:numPr>
          <w:ilvl w:val="0"/>
          <w:numId w:val="47"/>
        </w:numPr>
        <w:rPr>
          <w:rFonts w:ascii="Arial" w:cs="Arial" w:eastAsia="Arial" w:hAnsi="Arial"/>
          <w:sz w:val="8"/>
          <w:szCs w:val="8"/>
          <w:color w:val="auto"/>
        </w:rPr>
      </w:pPr>
      <w:r>
        <w:rPr>
          <w:rFonts w:ascii="Arial" w:cs="Arial" w:eastAsia="Arial" w:hAnsi="Arial"/>
          <w:sz w:val="12"/>
          <w:szCs w:val="12"/>
          <w:color w:val="auto"/>
        </w:rPr>
        <w:t>During the third quarter of 2018, 1,640 shares were acquired from employees in connection with income tax withholdings related to the vesting of restricted stock and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w:t>
      </w:r>
    </w:p>
    <w:p>
      <w:pPr>
        <w:spacing w:after="0" w:line="1" w:lineRule="exact"/>
        <w:rPr>
          <w:sz w:val="20"/>
          <w:szCs w:val="20"/>
          <w:color w:val="auto"/>
        </w:rPr>
      </w:pPr>
    </w:p>
    <w:p>
      <w:pPr>
        <w:ind w:left="180"/>
        <w:spacing w:after="0" w:line="260" w:lineRule="auto"/>
        <w:rPr>
          <w:sz w:val="20"/>
          <w:szCs w:val="20"/>
          <w:color w:val="auto"/>
        </w:rPr>
      </w:pPr>
      <w:r>
        <w:rPr>
          <w:rFonts w:ascii="Arial" w:cs="Arial" w:eastAsia="Arial" w:hAnsi="Arial"/>
          <w:sz w:val="13"/>
          <w:szCs w:val="13"/>
          <w:color w:val="auto"/>
        </w:rPr>
        <w:t>Act”) by Section 4(a)(2) thereof. The trustee under the trust and the participants under the DDCP are “Accredited Investors”, as defined in Rule 501(a) under the Securities Act. These transactions did not involve a public offering and occurred without general solicitation or advertising. The shares were purchased at the closing price of the Parent’s common stock on the dates of purchase.</w:t>
      </w:r>
    </w:p>
    <w:p>
      <w:pPr>
        <w:ind w:left="180" w:right="280" w:hanging="172"/>
        <w:spacing w:after="0" w:line="255" w:lineRule="auto"/>
        <w:tabs>
          <w:tab w:leader="none" w:pos="180" w:val="left"/>
        </w:tabs>
        <w:numPr>
          <w:ilvl w:val="0"/>
          <w:numId w:val="48"/>
        </w:numPr>
        <w:rPr>
          <w:rFonts w:ascii="Arial" w:cs="Arial" w:eastAsia="Arial" w:hAnsi="Arial"/>
          <w:sz w:val="9"/>
          <w:szCs w:val="9"/>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30" w:right="2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520" w:type="dxa"/>
            <w:vAlign w:val="bottom"/>
          </w:tcPr>
          <w:p>
            <w:pPr>
              <w:ind w:left="140"/>
              <w:spacing w:after="0"/>
              <w:rPr>
                <w:sz w:val="20"/>
                <w:szCs w:val="20"/>
                <w:color w:val="auto"/>
              </w:rPr>
            </w:pPr>
            <w:r>
              <w:rPr>
                <w:rFonts w:ascii="Arial" w:cs="Arial" w:eastAsia="Arial" w:hAnsi="Arial"/>
                <w:sz w:val="18"/>
                <w:szCs w:val="18"/>
                <w:color w:val="auto"/>
              </w:rPr>
              <w:t>October 22, 2018</w:t>
            </w:r>
          </w:p>
        </w:tc>
        <w:tc>
          <w:tcPr>
            <w:tcW w:w="5180" w:type="dxa"/>
            <w:vAlign w:val="bottom"/>
          </w:tcPr>
          <w:p>
            <w:pPr>
              <w:ind w:left="20"/>
              <w:spacing w:after="0"/>
              <w:rPr>
                <w:sz w:val="20"/>
                <w:szCs w:val="20"/>
                <w:color w:val="auto"/>
              </w:rPr>
            </w:pPr>
            <w:r>
              <w:rPr>
                <w:rFonts w:ascii="Arial" w:cs="Arial" w:eastAsia="Arial" w:hAnsi="Arial"/>
                <w:sz w:val="18"/>
                <w:szCs w:val="18"/>
                <w:color w:val="auto"/>
              </w:rPr>
              <w:t>Bank of Hawaii Corporation</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Peter S. Ho</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Peter S. Ho</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Chairman of the Board,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Executive Officer, and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President</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Dean Y. Shigemura</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Dean Y. Shigemura</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80"/>
          </w:cols>
          <w:pgMar w:left="240" w:top="130" w:right="37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77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gridSpan w:val="2"/>
          </w:tcPr>
          <w:p>
            <w:pPr>
              <w:jc w:val="right"/>
              <w:ind w:right="360"/>
              <w:spacing w:after="0"/>
              <w:rPr>
                <w:rFonts w:ascii="Arial" w:cs="Arial" w:eastAsia="Arial" w:hAnsi="Arial"/>
                <w:sz w:val="18"/>
                <w:szCs w:val="18"/>
                <w:color w:val="0000FF"/>
                <w:w w:val="85"/>
              </w:rPr>
            </w:pPr>
            <w:hyperlink w:anchor="page9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620" w:type="dxa"/>
            <w:vAlign w:val="bottom"/>
          </w:tcPr>
          <w:p>
            <w:pPr>
              <w:ind w:left="380"/>
              <w:spacing w:after="0"/>
              <w:rPr>
                <w:sz w:val="20"/>
                <w:szCs w:val="20"/>
                <w:color w:val="auto"/>
              </w:rPr>
            </w:pPr>
            <w:r>
              <w:rPr>
                <w:rFonts w:ascii="Arial" w:cs="Arial" w:eastAsia="Arial" w:hAnsi="Arial"/>
                <w:sz w:val="18"/>
                <w:szCs w:val="18"/>
                <w:color w:val="auto"/>
                <w:w w:val="92"/>
              </w:rPr>
              <w:t>Certification of Chief Executive Officer Pursuant to Rule 13a-14(a) of the Securities Exchange Act of 1934, as Amended, Adopted Pursuant</w:t>
            </w:r>
          </w:p>
        </w:tc>
      </w:tr>
      <w:tr>
        <w:trPr>
          <w:trHeight w:val="237"/>
        </w:trPr>
        <w:tc>
          <w:tcPr>
            <w:tcW w:w="30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to Section 302 of the Sarbanes Oxley Act of 2002</w:t>
            </w:r>
          </w:p>
        </w:tc>
      </w:tr>
      <w:tr>
        <w:trPr>
          <w:trHeight w:val="500"/>
        </w:trPr>
        <w:tc>
          <w:tcPr>
            <w:tcW w:w="680" w:type="dxa"/>
            <w:vAlign w:val="bottom"/>
            <w:gridSpan w:val="2"/>
          </w:tcPr>
          <w:p>
            <w:pPr>
              <w:jc w:val="right"/>
              <w:ind w:right="360"/>
              <w:spacing w:after="0"/>
              <w:rPr>
                <w:rFonts w:ascii="Arial" w:cs="Arial" w:eastAsia="Arial" w:hAnsi="Arial"/>
                <w:sz w:val="18"/>
                <w:szCs w:val="18"/>
                <w:color w:val="0000FF"/>
                <w:w w:val="85"/>
              </w:rPr>
            </w:pPr>
            <w:hyperlink w:anchor="page9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620" w:type="dxa"/>
            <w:vAlign w:val="bottom"/>
          </w:tcPr>
          <w:p>
            <w:pPr>
              <w:ind w:left="38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Amended, Adopted Pursuant to</w:t>
            </w:r>
          </w:p>
        </w:tc>
      </w:tr>
      <w:tr>
        <w:trPr>
          <w:trHeight w:val="237"/>
        </w:trPr>
        <w:tc>
          <w:tcPr>
            <w:tcW w:w="30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Section 302 of the Sarbanes Oxley Act of 2002</w:t>
            </w:r>
          </w:p>
        </w:tc>
      </w:tr>
    </w:tbl>
    <w:p>
      <w:pPr>
        <w:spacing w:after="0" w:line="310" w:lineRule="exact"/>
        <w:rPr>
          <w:sz w:val="20"/>
          <w:szCs w:val="20"/>
          <w:color w:val="auto"/>
        </w:rPr>
      </w:pPr>
    </w:p>
    <w:p>
      <w:pPr>
        <w:ind w:left="1100" w:right="60" w:hanging="1065"/>
        <w:spacing w:after="0" w:line="277" w:lineRule="auto"/>
        <w:tabs>
          <w:tab w:leader="none" w:pos="1100" w:val="left"/>
        </w:tabs>
        <w:numPr>
          <w:ilvl w:val="0"/>
          <w:numId w:val="49"/>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79" w:lineRule="exact"/>
        <w:rPr>
          <w:sz w:val="20"/>
          <w:szCs w:val="20"/>
          <w:color w:val="auto"/>
        </w:rPr>
      </w:pPr>
    </w:p>
    <w:p>
      <w:pPr>
        <w:ind w:left="40"/>
        <w:spacing w:after="0"/>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40"/>
          </w:cols>
          <w:pgMar w:left="240" w:top="130" w:right="3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144"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22, 2018</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14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22, 2018</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Quarterly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of Bank of Hawaii Corporation (the “Company”) for the quarter ended September 30, 2018 (the “Report”):</w:t>
      </w:r>
    </w:p>
    <w:p>
      <w:pPr>
        <w:spacing w:after="0" w:line="13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as applicable, of the Securities Exchange Act of 1934, as amended;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22, 2018</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1"/>
      <w:numFmt w:val="bullet"/>
      <w:start w:val="1"/>
    </w:lvl>
  </w:abstractNum>
  <w:abstractNum w:abstractNumId="3">
    <w:nsid w:val="2CA88611"/>
    <w:multiLevelType w:val="hybridMultilevel"/>
    <w:lvl w:ilvl="0">
      <w:lvlJc w:val="left"/>
      <w:lvlText w:val="1"/>
      <w:numFmt w:val="bullet"/>
      <w:start w:val="1"/>
    </w:lvl>
  </w:abstractNum>
  <w:abstractNum w:abstractNumId="4">
    <w:nsid w:val="836C40E"/>
    <w:multiLevelType w:val="hybridMultilevel"/>
    <w:lvl w:ilvl="0">
      <w:lvlJc w:val="left"/>
      <w:lvlText w:val="1"/>
      <w:numFmt w:val="bullet"/>
      <w:start w:val="1"/>
    </w:lvl>
  </w:abstractNum>
  <w:abstractNum w:abstractNumId="5">
    <w:nsid w:val="2901D82"/>
    <w:multiLevelType w:val="hybridMultilevel"/>
    <w:lvl w:ilvl="0">
      <w:lvlJc w:val="left"/>
      <w:lvlText w:val="2"/>
      <w:numFmt w:val="bullet"/>
      <w:start w:val="1"/>
    </w:lvl>
  </w:abstractNum>
  <w:abstractNum w:abstractNumId="6">
    <w:nsid w:val="3A95F874"/>
    <w:multiLevelType w:val="hybridMultilevel"/>
    <w:lvl w:ilvl="0">
      <w:lvlJc w:val="left"/>
      <w:lvlText w:val="1"/>
      <w:numFmt w:val="bullet"/>
      <w:start w:val="1"/>
    </w:lvl>
  </w:abstractNum>
  <w:abstractNum w:abstractNumId="7">
    <w:nsid w:val="8138641"/>
    <w:multiLevelType w:val="hybridMultilevel"/>
    <w:lvl w:ilvl="0">
      <w:lvlJc w:val="left"/>
      <w:lvlText w:val="1"/>
      <w:numFmt w:val="bullet"/>
      <w:start w:val="1"/>
    </w:lvl>
  </w:abstractNum>
  <w:abstractNum w:abstractNumId="8">
    <w:nsid w:val="1E7FF521"/>
    <w:multiLevelType w:val="hybridMultilevel"/>
    <w:lvl w:ilvl="0">
      <w:lvlJc w:val="left"/>
      <w:lvlText w:val="1"/>
      <w:numFmt w:val="bullet"/>
      <w:start w:val="1"/>
    </w:lvl>
  </w:abstractNum>
  <w:abstractNum w:abstractNumId="9">
    <w:nsid w:val="7C3DBD3D"/>
    <w:multiLevelType w:val="hybridMultilevel"/>
    <w:lvl w:ilvl="0">
      <w:lvlJc w:val="left"/>
      <w:lvlText w:val="1"/>
      <w:numFmt w:val="bullet"/>
      <w:start w:val="1"/>
    </w:lvl>
  </w:abstractNum>
  <w:abstractNum w:abstractNumId="10">
    <w:nsid w:val="737B8DDC"/>
    <w:multiLevelType w:val="hybridMultilevel"/>
    <w:lvl w:ilvl="0">
      <w:lvlJc w:val="left"/>
      <w:lvlText w:val="1"/>
      <w:numFmt w:val="bullet"/>
      <w:start w:val="1"/>
    </w:lvl>
  </w:abstractNum>
  <w:abstractNum w:abstractNumId="11">
    <w:nsid w:val="6CEAF087"/>
    <w:multiLevelType w:val="hybridMultilevel"/>
    <w:lvl w:ilvl="0">
      <w:lvlJc w:val="left"/>
      <w:lvlText w:val="2"/>
      <w:numFmt w:val="bullet"/>
      <w:start w:val="1"/>
    </w:lvl>
  </w:abstractNum>
  <w:abstractNum w:abstractNumId="12">
    <w:nsid w:val="22221A70"/>
    <w:multiLevelType w:val="hybridMultilevel"/>
    <w:lvl w:ilvl="0">
      <w:lvlJc w:val="left"/>
      <w:lvlText w:val="1"/>
      <w:numFmt w:val="bullet"/>
      <w:start w:val="1"/>
    </w:lvl>
  </w:abstractNum>
  <w:abstractNum w:abstractNumId="13">
    <w:nsid w:val="4516DDE9"/>
    <w:multiLevelType w:val="hybridMultilevel"/>
    <w:lvl w:ilvl="0">
      <w:lvlJc w:val="left"/>
      <w:lvlText w:val="1"/>
      <w:numFmt w:val="bullet"/>
      <w:start w:val="1"/>
    </w:lvl>
  </w:abstractNum>
  <w:abstractNum w:abstractNumId="14">
    <w:nsid w:val="3006C83E"/>
    <w:multiLevelType w:val="hybridMultilevel"/>
    <w:lvl w:ilvl="0">
      <w:lvlJc w:val="left"/>
      <w:lvlText w:val="1"/>
      <w:numFmt w:val="bullet"/>
      <w:start w:val="1"/>
    </w:lvl>
  </w:abstractNum>
  <w:abstractNum w:abstractNumId="15">
    <w:nsid w:val="614FD4A1"/>
    <w:multiLevelType w:val="hybridMultilevel"/>
    <w:lvl w:ilvl="0">
      <w:lvlJc w:val="left"/>
      <w:lvlText w:val="2"/>
      <w:numFmt w:val="bullet"/>
      <w:start w:val="1"/>
    </w:lvl>
  </w:abstractNum>
  <w:abstractNum w:abstractNumId="16">
    <w:nsid w:val="419AC241"/>
    <w:multiLevelType w:val="hybridMultilevel"/>
    <w:lvl w:ilvl="0">
      <w:lvlJc w:val="left"/>
      <w:lvlText w:val="1"/>
      <w:numFmt w:val="bullet"/>
      <w:start w:val="1"/>
    </w:lvl>
  </w:abstractNum>
  <w:abstractNum w:abstractNumId="17">
    <w:nsid w:val="5577F8E1"/>
    <w:multiLevelType w:val="hybridMultilevel"/>
    <w:lvl w:ilvl="0">
      <w:lvlJc w:val="left"/>
      <w:lvlText w:val="1"/>
      <w:numFmt w:val="bullet"/>
      <w:start w:val="1"/>
    </w:lvl>
  </w:abstractNum>
  <w:abstractNum w:abstractNumId="18">
    <w:nsid w:val="440BADFC"/>
    <w:multiLevelType w:val="hybridMultilevel"/>
    <w:lvl w:ilvl="0">
      <w:lvlJc w:val="left"/>
      <w:lvlText w:val="1"/>
      <w:numFmt w:val="bullet"/>
      <w:start w:val="1"/>
    </w:lvl>
  </w:abstractNum>
  <w:abstractNum w:abstractNumId="19">
    <w:nsid w:val="5072367"/>
    <w:multiLevelType w:val="hybridMultilevel"/>
    <w:lvl w:ilvl="0">
      <w:lvlJc w:val="left"/>
      <w:lvlText w:val="2"/>
      <w:numFmt w:val="bullet"/>
      <w:start w:val="1"/>
    </w:lvl>
  </w:abstractNum>
  <w:abstractNum w:abstractNumId="20">
    <w:nsid w:val="3804823E"/>
    <w:multiLevelType w:val="hybridMultilevel"/>
    <w:lvl w:ilvl="0">
      <w:lvlJc w:val="left"/>
      <w:lvlText w:val="1"/>
      <w:numFmt w:val="bullet"/>
      <w:start w:val="1"/>
    </w:lvl>
  </w:abstractNum>
  <w:abstractNum w:abstractNumId="21">
    <w:nsid w:val="77465F01"/>
    <w:multiLevelType w:val="hybridMultilevel"/>
    <w:lvl w:ilvl="0">
      <w:lvlJc w:val="left"/>
      <w:lvlText w:val="2"/>
      <w:numFmt w:val="bullet"/>
      <w:start w:val="1"/>
    </w:lvl>
  </w:abstractNum>
  <w:abstractNum w:abstractNumId="22">
    <w:nsid w:val="7724C67E"/>
    <w:multiLevelType w:val="hybridMultilevel"/>
    <w:lvl w:ilvl="0">
      <w:lvlJc w:val="left"/>
      <w:lvlText w:val="1"/>
      <w:numFmt w:val="bullet"/>
      <w:start w:val="1"/>
    </w:lvl>
  </w:abstractNum>
  <w:abstractNum w:abstractNumId="23">
    <w:nsid w:val="5C482A97"/>
    <w:multiLevelType w:val="hybridMultilevel"/>
    <w:lvl w:ilvl="0">
      <w:lvlJc w:val="left"/>
      <w:lvlText w:val="2"/>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bullet"/>
      <w:start w:val="1"/>
    </w:lvl>
  </w:abstractNum>
  <w:abstractNum w:abstractNumId="30">
    <w:nsid w:val="3855585C"/>
    <w:multiLevelType w:val="hybridMultilevel"/>
    <w:lvl w:ilvl="0">
      <w:lvlJc w:val="left"/>
      <w:lvlText w:val="2"/>
      <w:numFmt w:val="bullet"/>
      <w:start w:val="1"/>
    </w:lvl>
  </w:abstractNum>
  <w:abstractNum w:abstractNumId="31">
    <w:nsid w:val="70A64E2A"/>
    <w:multiLevelType w:val="hybridMultilevel"/>
    <w:lvl w:ilvl="0">
      <w:lvlJc w:val="left"/>
      <w:lvlText w:val="3"/>
      <w:numFmt w:val="bullet"/>
      <w:start w:val="1"/>
    </w:lvl>
  </w:abstractNum>
  <w:abstractNum w:abstractNumId="32">
    <w:nsid w:val="6A2342EC"/>
    <w:multiLevelType w:val="hybridMultilevel"/>
    <w:lvl w:ilvl="0">
      <w:lvlJc w:val="left"/>
      <w:lvlText w:val="4"/>
      <w:numFmt w:val="bullet"/>
      <w:start w:val="1"/>
    </w:lvl>
  </w:abstractNum>
  <w:abstractNum w:abstractNumId="33">
    <w:nsid w:val="2A487CB0"/>
    <w:multiLevelType w:val="hybridMultilevel"/>
    <w:lvl w:ilvl="0">
      <w:lvlJc w:val="left"/>
      <w:lvlText w:val="1"/>
      <w:numFmt w:val="bullet"/>
      <w:start w:val="1"/>
    </w:lvl>
  </w:abstractNum>
  <w:abstractNum w:abstractNumId="34">
    <w:nsid w:val="1D4ED43B"/>
    <w:multiLevelType w:val="hybridMultilevel"/>
    <w:lvl w:ilvl="0">
      <w:lvlJc w:val="left"/>
      <w:lvlText w:val="2"/>
      <w:numFmt w:val="bullet"/>
      <w:start w:val="1"/>
    </w:lvl>
  </w:abstractNum>
  <w:abstractNum w:abstractNumId="35">
    <w:nsid w:val="725A06FB"/>
    <w:multiLevelType w:val="hybridMultilevel"/>
    <w:lvl w:ilvl="0">
      <w:lvlJc w:val="left"/>
      <w:lvlText w:val="3"/>
      <w:numFmt w:val="bullet"/>
      <w:start w:val="1"/>
    </w:lvl>
  </w:abstractNum>
  <w:abstractNum w:abstractNumId="36">
    <w:nsid w:val="2CD89A32"/>
    <w:multiLevelType w:val="hybridMultilevel"/>
    <w:lvl w:ilvl="0">
      <w:lvlJc w:val="left"/>
      <w:lvlText w:val="1"/>
      <w:numFmt w:val="bullet"/>
      <w:start w:val="1"/>
    </w:lvl>
  </w:abstractNum>
  <w:abstractNum w:abstractNumId="37">
    <w:nsid w:val="57E4CCAF"/>
    <w:multiLevelType w:val="hybridMultilevel"/>
    <w:lvl w:ilvl="0">
      <w:lvlJc w:val="left"/>
      <w:lvlText w:val="2"/>
      <w:numFmt w:val="bullet"/>
      <w:start w:val="1"/>
    </w:lvl>
  </w:abstractNum>
  <w:abstractNum w:abstractNumId="38">
    <w:nsid w:val="7A6D8D3C"/>
    <w:multiLevelType w:val="hybridMultilevel"/>
    <w:lvl w:ilvl="0">
      <w:lvlJc w:val="left"/>
      <w:lvlText w:val="1"/>
      <w:numFmt w:val="bullet"/>
      <w:start w:val="1"/>
    </w:lvl>
  </w:abstractNum>
  <w:abstractNum w:abstractNumId="39">
    <w:nsid w:val="4B588F54"/>
    <w:multiLevelType w:val="hybridMultilevel"/>
    <w:lvl w:ilvl="0">
      <w:lvlJc w:val="left"/>
      <w:lvlText w:val="2"/>
      <w:numFmt w:val="bullet"/>
      <w:start w:val="1"/>
    </w:lvl>
  </w:abstractNum>
  <w:abstractNum w:abstractNumId="40">
    <w:nsid w:val="542289EC"/>
    <w:multiLevelType w:val="hybridMultilevel"/>
    <w:lvl w:ilvl="0">
      <w:lvlJc w:val="left"/>
      <w:lvlText w:val="3"/>
      <w:numFmt w:val="bullet"/>
      <w:start w:val="1"/>
    </w:lvl>
  </w:abstractNum>
  <w:abstractNum w:abstractNumId="41">
    <w:nsid w:val="6DE91B18"/>
    <w:multiLevelType w:val="hybridMultilevel"/>
    <w:lvl w:ilvl="0">
      <w:lvlJc w:val="left"/>
      <w:lvlText w:val="1"/>
      <w:numFmt w:val="bullet"/>
      <w:start w:val="1"/>
    </w:lvl>
  </w:abstractNum>
  <w:abstractNum w:abstractNumId="42">
    <w:nsid w:val="38437FDB"/>
    <w:multiLevelType w:val="hybridMultilevel"/>
    <w:lvl w:ilvl="0">
      <w:lvlJc w:val="left"/>
      <w:lvlText w:val="2"/>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bullet"/>
      <w:start w:val="1"/>
    </w:lvl>
  </w:abstractNum>
  <w:abstractNum w:abstractNumId="45">
    <w:nsid w:val="684A481A"/>
    <w:multiLevelType w:val="hybridMultilevel"/>
    <w:lvl w:ilvl="0">
      <w:lvlJc w:val="left"/>
      <w:lvlText w:val="2"/>
      <w:numFmt w:val="bullet"/>
      <w:start w:val="1"/>
    </w:lvl>
  </w:abstractNum>
  <w:abstractNum w:abstractNumId="46">
    <w:nsid w:val="579478FE"/>
    <w:multiLevelType w:val="hybridMultilevel"/>
    <w:lvl w:ilvl="0">
      <w:lvlJc w:val="left"/>
      <w:lvlText w:val="1"/>
      <w:numFmt w:val="bullet"/>
      <w:start w:val="1"/>
    </w:lvl>
  </w:abstractNum>
  <w:abstractNum w:abstractNumId="47">
    <w:nsid w:val="749ABB43"/>
    <w:multiLevelType w:val="hybridMultilevel"/>
    <w:lvl w:ilvl="0">
      <w:lvlJc w:val="left"/>
      <w:lvlText w:val="2"/>
      <w:numFmt w:val="bullet"/>
      <w:start w:val="1"/>
    </w:lvl>
  </w:abstractNum>
  <w:abstractNum w:abstractNumId="48">
    <w:nsid w:val="3DC240FB"/>
    <w:multiLevelType w:val="hybridMultilevel"/>
    <w:lvl w:ilvl="0">
      <w:lvlJc w:val="left"/>
      <w:lvlText w:val="%1"/>
      <w:numFmt w:val="decimal"/>
      <w:start w:val="32"/>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2019-12-28T19:09:31Z</dcterms:created>
  <dcterms:modified xsi:type="dcterms:W3CDTF">2019-12-28T19:09:31Z</dcterms:modified>
</cp:coreProperties>
</file>